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pStyle w:val="Normal"/>
        <w:ind w:firstLine="720" w:start="720" w:end="0"/>
        <w:jc w:val="end"/>
        <w:rPr>
          <w:rFonts w:ascii="Arial" w:hAnsi="Arial" w:cs="Arial"/>
          <w:b/>
          <w:bCs/>
        </w:rPr>
      </w:pPr>
      <w:r>
        <w:fldChar w:fldCharType="begin">
          <w:ffData>
            <w:name w:val="Dropdown9"/>
            <w:enabled/>
            <w:ddList>
              <w:result w:val="1"/>
              <w:listEntry w:val="SELECT DEAL TYPE"/>
              <w:listEntry w:val="NEW DEAL"/>
              <w:listEntry w:val="SUBSEQUENT INVESTMENT"/>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Roseville Energy Facility, LLC</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rPr>
                    <w:instrText xml:space="preserve"> FORMTEXT </w:instrText>
                  </w:r>
                  <w:r>
                    <w:rPr>
                      <w:rFonts w:cs="Arial" w:ascii="Arial" w:hAnsi="Arial"/>
                      <w:b/>
                      <w:sz w:val="20"/>
                    </w:rPr>
                  </w:r>
                  <w:r>
                    <w:rPr>
                      <w:sz w:val="20"/>
                      <w:b/>
                      <w:rFonts w:cs="Arial" w:ascii="Arial" w:hAnsi="Arial"/>
                    </w:rPr>
                    <w:fldChar w:fldCharType="separate"/>
                  </w:r>
                  <w:r>
                    <w:rPr>
                      <w:rFonts w:cs="Arial" w:ascii="Arial" w:hAnsi="Arial"/>
                      <w:b/>
                      <w:sz w:val="20"/>
                    </w:rPr>
                    <w:t>TBD</w:t>
                  </w:r>
                  <w:r/>
                  <w:r>
                    <w:rPr>
                      <w:sz w:val="20"/>
                      <w:b/>
                      <w:rFonts w:cs="Arial" w:ascii="Arial" w:hAnsi="Arial"/>
                    </w:rPr>
                    <w:fldChar w:fldCharType="end"/>
                  </w:r>
                  <w:r>
                    <w:rPr>
                      <w:rFonts w:cs="Arial" w:ascii="Arial" w:hAnsi="Arial"/>
                      <w:b/>
                      <w:sz w:val="20"/>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1"/>
                          <w:listEntry w:val="SELECT BUSINESS UNIT"/>
                          <w:listEntry w:val="Enron Americas"/>
                          <w:listEntry w:val="Enron Broadband Services"/>
                          <w:listEntry w:val="Enron Corp."/>
                          <w:listEntry w:val="Enron Energy Services"/>
                          <w:listEntry w:val="Enron Energy and Operational Services"/>
                          <w:listEntry w:val="Enron Europe"/>
                          <w:listEntry w:val="Enron Global Assets"/>
                          <w:listEntry w:val="Enron Global Finance"/>
                          <w:listEntry w:val="Enron Global Markets"/>
                          <w:listEntry w:val="Enron Industrial Markets"/>
                          <w:listEntry w:val="Enron Net Works"/>
                          <w:listEntry w:val="Enron Transportation Services"/>
                          <w:listEntry w:val="Enron Wind"/>
                          <w:listEntry w:val="NEPCO"/>
                          <w:listEntry w:val="Northern Border"/>
                          <w:listEntry w:val="Wholesale Services"/>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Michael McDonald</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Energy-Non-Regulated Power Generation</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Unnamed"/>
                        <w:enabled/>
                        <w:ddList>
                          <w:result w:val="2"/>
                          <w:listEntry w:val="SELECT PUBLIC OR PRIVATE"/>
                          <w:listEntry w:val="Public"/>
                          <w:listEntry w:val="Private"/>
                        </w:ddList>
                      </w:ffData>
                    </w:fldChar>
                  </w:r>
                  <w:r>
                    <w:rPr>
                      <w:sz w:val="20"/>
                      <w:rFonts w:cs="Arial" w:ascii="Arial" w:hAnsi="Arial"/>
                    </w:rPr>
                    <w:instrText xml:space="preserve"> FORMDROPDOWN </w:instrText>
                  </w:r>
                  <w:r>
                    <w:rPr>
                      <w:sz w:val="20"/>
                      <w:rFonts w:cs="Arial" w:ascii="Arial" w:hAnsi="Arial"/>
                    </w:rPr>
                    <w:fldChar w:fldCharType="separate"/>
                  </w:r>
                  <w:bookmarkStart w:id="4" w:name="Unnamed"/>
                  <w:bookmarkStart w:id="5" w:name="Unnamed"/>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1"/>
                        <w:enabled/>
                        <w:ddList>
                          <w:result w:val="1"/>
                          <w:listEntry w:val="SELECT MERCHANT, STRATEGIC OR TRADING"/>
                          <w:listEntry w:val="Merchant"/>
                          <w:listEntry w:val="Strategic"/>
                          <w:listEntry w:val="Trading"/>
                        </w:ddList>
                      </w:ffData>
                    </w:fldChar>
                  </w:r>
                  <w:r>
                    <w:rPr>
                      <w:sz w:val="20"/>
                      <w:rFonts w:cs="Arial" w:ascii="Arial" w:hAnsi="Arial"/>
                    </w:rPr>
                    <w:instrText xml:space="preserve"> FORMDROPDOWN </w:instrText>
                  </w:r>
                  <w:r>
                    <w:rPr>
                      <w:sz w:val="20"/>
                      <w:rFonts w:cs="Arial" w:ascii="Arial" w:hAnsi="Arial"/>
                    </w:rPr>
                    <w:fldChar w:fldCharType="separate"/>
                  </w:r>
                  <w:bookmarkStart w:id="6" w:name="Unnamed_Copy_1"/>
                  <w:bookmarkStart w:id="7" w:name="Unnamed_Copy_1"/>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2"/>
                        <w:enabled/>
                        <w:ddList>
                          <w:result w:val="1"/>
                          <w:listEntry w:val="SELECT CONFORMING OR NONCONFORMING"/>
                          <w:listEntry w:val="Conforming"/>
                          <w:listEntry w:val="Nonconforming"/>
                        </w:ddList>
                      </w:ffData>
                    </w:fldChar>
                  </w:r>
                  <w:r>
                    <w:rPr>
                      <w:sz w:val="20"/>
                      <w:rFonts w:cs="Arial" w:ascii="Arial" w:hAnsi="Arial"/>
                    </w:rPr>
                    <w:instrText xml:space="preserve"> FORMDROPDOWN </w:instrText>
                  </w:r>
                  <w:r>
                    <w:rPr>
                      <w:sz w:val="20"/>
                      <w:rFonts w:cs="Arial" w:ascii="Arial" w:hAnsi="Arial"/>
                    </w:rPr>
                    <w:fldChar w:fldCharType="separate"/>
                  </w:r>
                  <w:bookmarkStart w:id="8" w:name="Unnamed_Copy_2"/>
                  <w:bookmarkStart w:id="9" w:name="Unnamed_Copy_2"/>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May 10,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Underwriter:</w:t>
                  </w:r>
                </w:p>
              </w:tc>
              <w:tc>
                <w:tcPr>
                  <w:tcW w:w="2795" w:type="dxa"/>
                  <w:tcBorders/>
                </w:tcPr>
                <w:p>
                  <w:pPr>
                    <w:pStyle w:val="Normal"/>
                    <w:ind w:end="-738"/>
                    <w:rPr>
                      <w:rFonts w:ascii="Arial" w:hAnsi="Arial" w:cs="Arial"/>
                      <w:sz w:val="20"/>
                    </w:rPr>
                  </w:pPr>
                  <w:r>
                    <w:fldChar w:fldCharType="begin">
                      <w:ffData>
                        <w:name w:val="Dropdown7"/>
                        <w:enabled/>
                        <w:ddList>
                          <w:result w:val="4"/>
                          <w:listEntry w:val="SELECT UNDERWRITER"/>
                          <w:listEntry w:val="Dave Gorte"/>
                          <w:listEntry w:val="Brad Larson"/>
                          <w:listEntry w:val="Randy Petersen"/>
                          <w:listEntry w:val="Chip Schneider"/>
                          <w:listEntry w:val="Michael Tribolet"/>
                          <w:listEntry w:val="Karen Barbour"/>
                          <w:listEntry w:val="David Crews"/>
                          <w:listEntry w:val="Jay Hachen"/>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Ethel Koskas</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1"/>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United States</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May 11,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May 11, 2001</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fldChar w:fldCharType="begin">
                <w:ffData>
                  <w:name w:val="Check10"/>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10"/>
            <w:bookmarkStart w:id="23" w:name="Check10"/>
            <w:bookmarkEnd w:id="23"/>
            <w:r>
              <w:rPr>
                <w:rFonts w:cs="Arial" w:ascii="Arial" w:hAnsi="Arial"/>
                <w:sz w:val="18"/>
              </w:rPr>
            </w:r>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BOARD APPROVAL STATUS"/>
                    <w:listEntry w:val="Pending     "/>
                    <w:listEntry w:val="Received     "/>
                    <w:listEntry w:val="Denied     "/>
                    <w:listEntry w:val="N/A          "/>
                  </w:ddList>
                </w:ffData>
              </w:fldChar>
            </w:r>
            <w:r>
              <w:rPr>
                <w:sz w:val="20"/>
                <w:rFonts w:cs="Arial" w:ascii="Arial" w:hAnsi="Arial"/>
              </w:rPr>
              <w:instrText xml:space="preserve"> FORMDROPDOWN </w:instrText>
            </w:r>
            <w:r>
              <w:rPr>
                <w:sz w:val="20"/>
                <w:rFonts w:cs="Arial" w:ascii="Arial" w:hAnsi="Arial"/>
              </w:rPr>
              <w:fldChar w:fldCharType="separate"/>
            </w:r>
            <w:bookmarkStart w:id="24" w:name="Dropdown1"/>
            <w:bookmarkStart w:id="25" w:name="Dropdown1"/>
            <w:bookmarkEnd w:id="25"/>
            <w:r/>
            <w:r>
              <w:rPr>
                <w:sz w:val="20"/>
                <w:rFonts w:cs="Arial" w:ascii="Arial" w:hAnsi="Arial"/>
              </w:rPr>
              <w:fldChar w:fldCharType="end"/>
            </w:r>
            <w:r>
              <w:rPr>
                <w:rFonts w:cs="Arial" w:ascii="Arial" w:hAnsi="Arial"/>
                <w:sz w:val="20"/>
              </w:rPr>
            </w:r>
          </w:p>
        </w:tc>
      </w:tr>
    </w:tbl>
    <w:p>
      <w:pPr>
        <w:sectPr>
          <w:headerReference w:type="default" r:id="rId2"/>
          <w:headerReference w:type="first" r:id="rId3"/>
          <w:footerReference w:type="default" r:id="rId4"/>
          <w:footerReference w:type="first" r:id="rId5"/>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Capital Commitment</w:t>
            </w:r>
          </w:p>
        </w:tc>
        <w:tc>
          <w:tcPr>
            <w:tcW w:w="1332" w:type="dxa"/>
            <w:tcBorders/>
          </w:tcPr>
          <w:p>
            <w:pPr>
              <w:pStyle w:val="Normal"/>
              <w:ind w:end="-36"/>
              <w:jc w:val="end"/>
              <w:rPr>
                <w:rFonts w:ascii="Arial" w:hAnsi="Arial" w:cs="Arial"/>
                <w:sz w:val="20"/>
              </w:rPr>
            </w:pPr>
            <w:r>
              <w:rPr>
                <w:rFonts w:cs="Arial" w:ascii="Arial" w:hAnsi="Arial"/>
                <w:sz w:val="20"/>
              </w:rPr>
              <w:t>$43,700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Guarantees/Bid Bonds</w:t>
            </w:r>
          </w:p>
        </w:tc>
        <w:tc>
          <w:tcPr>
            <w:tcW w:w="1332" w:type="dxa"/>
            <w:tcBorders/>
          </w:tcPr>
          <w:p>
            <w:pPr>
              <w:pStyle w:val="Normal"/>
              <w:ind w:end="-36"/>
              <w:jc w:val="end"/>
              <w:rPr>
                <w:rFonts w:ascii="Arial" w:hAnsi="Arial" w:cs="Arial"/>
                <w:sz w:val="20"/>
              </w:rPr>
            </w:pPr>
            <w:r>
              <w:rPr>
                <w:rFonts w:cs="Arial" w:ascii="Arial" w:hAnsi="Arial"/>
                <w:sz w:val="20"/>
              </w:rPr>
              <w:t>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b/>
                <w:bCs/>
                <w:sz w:val="20"/>
              </w:rPr>
            </w:pPr>
            <w:r>
              <w:rPr>
                <w:rFonts w:cs="Arial" w:ascii="Arial" w:hAnsi="Arial"/>
                <w:b/>
                <w:bCs/>
                <w:sz w:val="20"/>
              </w:rPr>
              <w:t>TOTAL</w:t>
            </w:r>
          </w:p>
        </w:tc>
        <w:tc>
          <w:tcPr>
            <w:tcW w:w="1332" w:type="dxa"/>
            <w:tcBorders>
              <w:top w:val="single" w:sz="4" w:space="0" w:color="000000"/>
            </w:tcBorders>
          </w:tcPr>
          <w:p>
            <w:pPr>
              <w:pStyle w:val="Normal"/>
              <w:ind w:end="-36"/>
              <w:jc w:val="end"/>
              <w:rPr>
                <w:rFonts w:ascii="Arial" w:hAnsi="Arial" w:cs="Arial"/>
                <w:b/>
                <w:bCs/>
                <w:sz w:val="20"/>
              </w:rPr>
            </w:pPr>
            <w:r>
              <w:fldChar w:fldCharType="begin"/>
            </w:r>
            <w:r>
              <w:rPr>
                <w:sz w:val="20"/>
                <w:b/>
                <w:bCs/>
                <w:rFonts w:cs="Arial" w:ascii="Arial" w:hAnsi="Arial"/>
                <w:lang w:val="en-CA" w:eastAsia="en-CA"/>
              </w:rPr>
              <w:instrText xml:space="preserve"> =SUM(ABOVE) \# "$#,##0;($#,##0)" </w:instrText>
            </w:r>
            <w:r>
              <w:rPr>
                <w:rFonts w:cs="Arial" w:ascii="Arial" w:hAnsi="Arial"/>
                <w:b/>
                <w:bCs/>
                <w:sz w:val="20"/>
                <w:lang w:val="en-CA" w:eastAsia="en-CA"/>
              </w:rPr>
            </w:r>
            <w:r>
              <w:rPr>
                <w:sz w:val="20"/>
                <w:b/>
                <w:bCs/>
                <w:rFonts w:cs="Arial" w:ascii="Arial" w:hAnsi="Arial"/>
                <w:lang w:val="en-CA" w:eastAsia="en-CA"/>
              </w:rPr>
              <w:fldChar w:fldCharType="separate"/>
            </w:r>
            <w:r>
              <w:rPr>
                <w:rFonts w:cs="Arial" w:ascii="Arial" w:hAnsi="Arial"/>
                <w:b/>
                <w:bCs/>
                <w:sz w:val="20"/>
                <w:lang w:val="en-CA" w:eastAsia="en-CA"/>
              </w:rPr>
              <w:t>$43,700</w:t>
            </w:r>
            <w:r/>
            <w:r>
              <w:rPr>
                <w:sz w:val="20"/>
                <w:b/>
                <w:bCs/>
                <w:rFonts w:cs="Arial" w:ascii="Arial" w:hAnsi="Arial"/>
                <w:lang w:val="en-CA" w:eastAsia="en-CA"/>
              </w:rPr>
              <w:fldChar w:fldCharType="end"/>
            </w:r>
            <w:r>
              <w:rPr>
                <w:rFonts w:cs="Arial" w:ascii="Arial" w:hAnsi="Arial"/>
                <w:b/>
                <w:bCs/>
                <w:sz w:val="20"/>
                <w:lang w:val="en-CA" w:eastAsia="en-CA"/>
              </w:rPr>
            </w:r>
          </w:p>
        </w:tc>
        <w:tc>
          <w:tcPr>
            <w:tcW w:w="4338" w:type="dxa"/>
            <w:tcBorders/>
          </w:tcPr>
          <w:p>
            <w:pPr>
              <w:pStyle w:val="Normal"/>
              <w:snapToGrid w:val="false"/>
              <w:ind w:end="-36"/>
              <w:rPr>
                <w:rFonts w:ascii="Arial" w:hAnsi="Arial" w:cs="Arial"/>
                <w:b/>
                <w:bCs/>
                <w:sz w:val="20"/>
              </w:rPr>
            </w:pPr>
            <w:r>
              <w:rPr>
                <w:rFonts w:cs="Arial" w:ascii="Arial" w:hAnsi="Arial"/>
                <w:b/>
                <w:bCs/>
                <w:sz w:val="20"/>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t>EXPOSURE SUMMARY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ind w:end="-36"/>
              <w:jc w:val="end"/>
              <w:rPr>
                <w:rFonts w:ascii="Arial" w:hAnsi="Arial" w:cs="Arial"/>
                <w:sz w:val="20"/>
              </w:rPr>
            </w:pPr>
            <w:r>
              <w:rPr>
                <w:rFonts w:cs="Arial" w:ascii="Arial" w:hAnsi="Arial"/>
                <w:sz w:val="20"/>
              </w:rPr>
              <w:t>$43,700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Existing Exposure</w:t>
            </w:r>
          </w:p>
        </w:tc>
        <w:tc>
          <w:tcPr>
            <w:tcW w:w="1332" w:type="dxa"/>
            <w:tcBorders/>
          </w:tcPr>
          <w:p>
            <w:pPr>
              <w:pStyle w:val="Normal"/>
              <w:ind w:end="-36"/>
              <w:jc w:val="end"/>
              <w:rPr>
                <w:rFonts w:ascii="Arial" w:hAnsi="Arial" w:cs="Arial"/>
                <w:sz w:val="20"/>
              </w:rPr>
            </w:pPr>
            <w:r>
              <w:rPr>
                <w:rFonts w:cs="Arial" w:ascii="Arial" w:hAnsi="Arial"/>
                <w:sz w:val="20"/>
              </w:rPr>
              <w:t>900</w:t>
            </w:r>
          </w:p>
        </w:tc>
        <w:tc>
          <w:tcPr>
            <w:tcW w:w="4338" w:type="dxa"/>
            <w:tcBorders/>
          </w:tcPr>
          <w:p>
            <w:pPr>
              <w:pStyle w:val="Normal"/>
              <w:ind w:end="-36"/>
              <w:rPr>
                <w:rFonts w:ascii="Arial" w:hAnsi="Arial" w:cs="Arial"/>
                <w:sz w:val="20"/>
              </w:rPr>
            </w:pPr>
            <w:r>
              <w:rPr>
                <w:rFonts w:cs="Arial" w:ascii="Arial" w:hAnsi="Arial"/>
                <w:sz w:val="20"/>
              </w:rPr>
              <w:t>(I-DASH dated 04/11/01)</w:t>
            </w:r>
          </w:p>
        </w:tc>
      </w:tr>
      <w:tr>
        <w:trPr/>
        <w:tc>
          <w:tcPr>
            <w:tcW w:w="4428" w:type="dxa"/>
            <w:tcBorders/>
          </w:tcPr>
          <w:p>
            <w:pPr>
              <w:pStyle w:val="Normal"/>
              <w:ind w:end="-36"/>
              <w:rPr>
                <w:rFonts w:ascii="Arial" w:hAnsi="Arial" w:cs="Arial"/>
                <w:b/>
                <w:bCs/>
                <w:sz w:val="20"/>
              </w:rPr>
            </w:pPr>
            <w:r>
              <w:rPr>
                <w:rFonts w:cs="Arial" w:ascii="Arial" w:hAnsi="Arial"/>
                <w:b/>
                <w:bCs/>
                <w:sz w:val="20"/>
              </w:rPr>
              <w:t>TOTAL</w:t>
            </w:r>
          </w:p>
        </w:tc>
        <w:tc>
          <w:tcPr>
            <w:tcW w:w="1332" w:type="dxa"/>
            <w:tcBorders>
              <w:top w:val="single" w:sz="4" w:space="0" w:color="000000"/>
            </w:tcBorders>
          </w:tcPr>
          <w:p>
            <w:pPr>
              <w:pStyle w:val="Normal"/>
              <w:ind w:end="-36"/>
              <w:jc w:val="end"/>
              <w:rPr>
                <w:rFonts w:ascii="Arial" w:hAnsi="Arial" w:cs="Arial"/>
                <w:b/>
                <w:bCs/>
                <w:sz w:val="20"/>
              </w:rPr>
            </w:pPr>
            <w:r>
              <w:rPr>
                <w:rFonts w:cs="Arial" w:ascii="Arial" w:hAnsi="Arial"/>
                <w:b/>
                <w:bCs/>
                <w:sz w:val="20"/>
              </w:rPr>
              <w:t>$44,600</w:t>
            </w:r>
          </w:p>
        </w:tc>
        <w:tc>
          <w:tcPr>
            <w:tcW w:w="4338" w:type="dxa"/>
            <w:tcBorders/>
          </w:tcPr>
          <w:p>
            <w:pPr>
              <w:pStyle w:val="Normal"/>
              <w:snapToGrid w:val="false"/>
              <w:ind w:end="-36"/>
              <w:rPr>
                <w:rFonts w:ascii="Arial" w:hAnsi="Arial" w:cs="Arial"/>
                <w:b/>
                <w:bCs/>
                <w:sz w:val="20"/>
              </w:rPr>
            </w:pPr>
            <w:r>
              <w:rPr>
                <w:rFonts w:cs="Arial" w:ascii="Arial" w:hAnsi="Arial"/>
                <w:b/>
                <w:bCs/>
                <w:sz w:val="20"/>
              </w:rPr>
            </w:r>
          </w:p>
        </w:tc>
      </w:tr>
    </w:tbl>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rPr>
          <w:rFonts w:ascii="Arial" w:hAnsi="Arial" w:cs="Arial"/>
          <w:i/>
          <w:i/>
          <w:sz w:val="20"/>
        </w:rPr>
      </w:pPr>
      <w:r>
        <w:rPr>
          <w:rFonts w:cs="Arial" w:ascii="Arial" w:hAnsi="Arial"/>
          <w:i/>
          <w:sz w:val="20"/>
        </w:rPr>
      </w:r>
    </w:p>
    <w:p>
      <w:pPr>
        <w:pStyle w:val="BodyText"/>
        <w:rPr>
          <w:rFonts w:ascii="Arial" w:hAnsi="Arial" w:cs="Arial"/>
          <w:szCs w:val="24"/>
        </w:rPr>
      </w:pPr>
      <w:r>
        <w:rPr>
          <w:rFonts w:cs="Arial" w:ascii="Arial" w:hAnsi="Arial"/>
          <w:szCs w:val="24"/>
        </w:rPr>
        <w:t xml:space="preserve">ENA, through its wholly-owned subsidiary, Roseville Energy Facility, LLC (“REF”), requests approval to invest $44.6 million to commence development of an up to 825MW combined-cycle natural-gas merchant plant in Roseville, California (the “Project”).  This approval covers anticipated project costs through December 2002.  The project will utilize three 1x1 power islands each consisting of one “F” class gas turbine and one steam turbine with duct firing to enhance system output.  The facility will interconnect to the California Independent System Operator (“CAISO”) controlled grid through 230 kV transmission lines owned by the Western Area Power Administration (“WAPA”).  ENA’s exit strategy is to sell REF to a third party prior to the start of construction.  The proforma economics for this DASH assume a commercial operations date (“COD”) of Q1 2005; however, the targeted COD for the project is Q4 2004.  </w:t>
      </w:r>
      <w:r>
        <w:rPr>
          <w:rFonts w:cs="Arial" w:ascii="Arial" w:hAnsi="Arial"/>
          <w:b/>
          <w:bCs/>
          <w:szCs w:val="24"/>
        </w:rPr>
        <w:t>Total project cost is expected to be $624 million.</w:t>
      </w:r>
    </w:p>
    <w:p>
      <w:pPr>
        <w:pStyle w:val="BodyText"/>
        <w:rPr>
          <w:rFonts w:ascii="Arial" w:hAnsi="Arial" w:cs="Arial"/>
          <w:szCs w:val="24"/>
        </w:rPr>
      </w:pPr>
      <w:r>
        <w:rPr>
          <w:rFonts w:cs="Arial" w:ascii="Arial" w:hAnsi="Arial"/>
          <w:szCs w:val="24"/>
        </w:rPr>
      </w:r>
    </w:p>
    <w:p>
      <w:pPr>
        <w:pStyle w:val="BodyText"/>
        <w:rPr>
          <w:rFonts w:ascii="Arial" w:hAnsi="Arial" w:cs="Arial"/>
          <w:szCs w:val="24"/>
        </w:rPr>
      </w:pPr>
      <w:r>
        <w:rPr>
          <w:rFonts w:cs="Arial" w:ascii="Arial" w:hAnsi="Arial"/>
          <w:szCs w:val="24"/>
        </w:rPr>
        <w:t>The Project will be located on land owned by the City of Roseville (the “City”).  ENA and the City have entered into a non-binding MOU incorporating, among other things, lease payments for the site, development costs and fees paid to the city, reimbursement for costs associated with obtaining permits and easements, water rights to potable and recycled water from the City’s treatment plant and proposed potable water interconnections.  Definitive documentation including a Ground Lease, Lease Option, and Development Agreement is expected to be complete by Q3 2001.</w:t>
      </w:r>
    </w:p>
    <w:p>
      <w:pPr>
        <w:pStyle w:val="BodyText"/>
        <w:rPr>
          <w:rFonts w:ascii="Arial" w:hAnsi="Arial" w:cs="Arial"/>
          <w:szCs w:val="24"/>
        </w:rPr>
      </w:pPr>
      <w:r>
        <w:rPr>
          <w:rFonts w:cs="Arial" w:ascii="Arial" w:hAnsi="Arial"/>
          <w:szCs w:val="24"/>
        </w:rPr>
      </w:r>
    </w:p>
    <w:p>
      <w:pPr>
        <w:pStyle w:val="BodyText"/>
        <w:rPr/>
      </w:pPr>
      <w:r>
        <w:rPr>
          <w:rFonts w:cs="Arial" w:ascii="Arial" w:hAnsi="Arial"/>
          <w:szCs w:val="24"/>
        </w:rPr>
        <w:t xml:space="preserve">Of the amount requested in this DASH, $32.0 million will be used to purchase emission reduction credits (“ERCs”) and $12.6 million for development costs.  </w:t>
      </w:r>
      <w:r>
        <w:rPr>
          <w:rFonts w:cs="Arial" w:ascii="Arial" w:hAnsi="Arial"/>
          <w:b/>
          <w:bCs/>
          <w:szCs w:val="24"/>
        </w:rPr>
        <w:t>The $12.6 million will not be recoverable in the case of a project termination, assuming the $5 million development contingency is spent.</w:t>
      </w:r>
      <w:r>
        <w:rPr>
          <w:rFonts w:cs="Arial" w:ascii="Arial" w:hAnsi="Arial"/>
          <w:szCs w:val="24"/>
        </w:rPr>
        <w:t xml:space="preserve">  A detailed listing of ERC sources and tonnage is included in Appendix A.  A summary of development costs and a timeline of expenditures by milestone are included in Appendix B.  </w:t>
      </w:r>
      <w:r>
        <w:rPr>
          <w:rFonts w:cs="Arial" w:ascii="Arial" w:hAnsi="Arial"/>
          <w:b/>
          <w:bCs/>
          <w:szCs w:val="24"/>
        </w:rPr>
        <w:t>The deal team asserts that this will be the only funding request for REF, unless it is determined that a turbine order will likely add value to the Project in the sale process.</w:t>
      </w:r>
    </w:p>
    <w:p>
      <w:pPr>
        <w:pStyle w:val="BodyText"/>
        <w:rPr>
          <w:rFonts w:ascii="Arial" w:hAnsi="Arial" w:cs="Arial"/>
          <w:b/>
          <w:bCs/>
          <w:szCs w:val="24"/>
        </w:rPr>
      </w:pPr>
      <w:r>
        <w:rPr>
          <w:rFonts w:cs="Arial" w:ascii="Arial" w:hAnsi="Arial"/>
          <w:b/>
          <w:bCs/>
          <w:szCs w:val="24"/>
        </w:rPr>
      </w:r>
    </w:p>
    <w:tbl>
      <w:tblPr>
        <w:tblW w:w="5400" w:type="dxa"/>
        <w:jc w:val="start"/>
        <w:tblInd w:w="2628" w:type="dxa"/>
        <w:tblLayout w:type="fixed"/>
        <w:tblCellMar>
          <w:top w:w="0" w:type="dxa"/>
          <w:start w:w="108" w:type="dxa"/>
          <w:bottom w:w="0" w:type="dxa"/>
          <w:end w:w="108" w:type="dxa"/>
        </w:tblCellMar>
      </w:tblPr>
      <w:tblGrid>
        <w:gridCol w:w="3880"/>
        <w:gridCol w:w="1520"/>
      </w:tblGrid>
      <w:tr>
        <w:trPr/>
        <w:tc>
          <w:tcPr>
            <w:tcW w:w="540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Break-down of Development Costs ($MMs)</w:t>
            </w:r>
          </w:p>
        </w:tc>
      </w:tr>
      <w:tr>
        <w:trPr/>
        <w:tc>
          <w:tcPr>
            <w:tcW w:w="38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Environmental Consultants</w:t>
              <w:tab/>
              <w:tab/>
            </w:r>
          </w:p>
        </w:tc>
        <w:tc>
          <w:tcPr>
            <w:tcW w:w="152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1.8</w:t>
            </w:r>
          </w:p>
        </w:tc>
      </w:tr>
      <w:tr>
        <w:trPr/>
        <w:tc>
          <w:tcPr>
            <w:tcW w:w="38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Engineering Consultants</w:t>
              <w:tab/>
              <w:tab/>
            </w:r>
          </w:p>
        </w:tc>
        <w:tc>
          <w:tcPr>
            <w:tcW w:w="152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1.2</w:t>
            </w:r>
          </w:p>
        </w:tc>
      </w:tr>
      <w:tr>
        <w:trPr/>
        <w:tc>
          <w:tcPr>
            <w:tcW w:w="38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Pre-Financial Closing Legal Fees</w:t>
            </w:r>
          </w:p>
        </w:tc>
        <w:tc>
          <w:tcPr>
            <w:tcW w:w="152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2.0</w:t>
            </w:r>
          </w:p>
        </w:tc>
      </w:tr>
      <w:tr>
        <w:trPr/>
        <w:tc>
          <w:tcPr>
            <w:tcW w:w="38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Construction/Project Management</w:t>
            </w:r>
          </w:p>
        </w:tc>
        <w:tc>
          <w:tcPr>
            <w:tcW w:w="152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2.0</w:t>
            </w:r>
          </w:p>
        </w:tc>
      </w:tr>
      <w:tr>
        <w:trPr/>
        <w:tc>
          <w:tcPr>
            <w:tcW w:w="38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Other</w:t>
            </w:r>
          </w:p>
        </w:tc>
        <w:tc>
          <w:tcPr>
            <w:tcW w:w="152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0.6</w:t>
            </w:r>
          </w:p>
        </w:tc>
      </w:tr>
      <w:tr>
        <w:trPr/>
        <w:tc>
          <w:tcPr>
            <w:tcW w:w="38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Contingency</w:t>
            </w:r>
          </w:p>
        </w:tc>
        <w:tc>
          <w:tcPr>
            <w:tcW w:w="152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sz w:val="20"/>
              </w:rPr>
            </w:pPr>
            <w:r>
              <w:rPr>
                <w:rFonts w:cs="Arial" w:ascii="Arial" w:hAnsi="Arial"/>
                <w:sz w:val="20"/>
              </w:rPr>
              <w:t>5.0</w:t>
            </w:r>
          </w:p>
        </w:tc>
      </w:tr>
      <w:tr>
        <w:trPr/>
        <w:tc>
          <w:tcPr>
            <w:tcW w:w="38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0"/>
              </w:rPr>
            </w:pPr>
            <w:r>
              <w:rPr>
                <w:rFonts w:eastAsia="Arial" w:cs="Arial" w:ascii="Arial" w:hAnsi="Arial"/>
                <w:b/>
                <w:bCs/>
                <w:sz w:val="20"/>
              </w:rPr>
              <w:t xml:space="preserve">   </w:t>
            </w:r>
            <w:r>
              <w:rPr>
                <w:rFonts w:cs="Arial" w:ascii="Arial" w:hAnsi="Arial"/>
                <w:b/>
                <w:bCs/>
                <w:sz w:val="20"/>
              </w:rPr>
              <w:t>TOTAL</w:t>
            </w:r>
          </w:p>
        </w:tc>
        <w:tc>
          <w:tcPr>
            <w:tcW w:w="152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bCs/>
                <w:sz w:val="20"/>
              </w:rPr>
            </w:pPr>
            <w:r>
              <w:rPr>
                <w:rFonts w:cs="Arial" w:ascii="Arial" w:hAnsi="Arial"/>
                <w:b/>
                <w:bCs/>
                <w:sz w:val="20"/>
              </w:rPr>
              <w:t>12.6</w:t>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t>TRANSACTION SOURCES AND USES OF FUNDS</w:t>
      </w:r>
    </w:p>
    <w:tbl>
      <w:tblPr>
        <w:tblW w:w="9990" w:type="dxa"/>
        <w:jc w:val="start"/>
        <w:tblInd w:w="378" w:type="dxa"/>
        <w:tblLayout w:type="fixed"/>
        <w:tblCellMar>
          <w:top w:w="0" w:type="dxa"/>
          <w:start w:w="108" w:type="dxa"/>
          <w:bottom w:w="0" w:type="dxa"/>
          <w:end w:w="108" w:type="dxa"/>
        </w:tblCellMar>
      </w:tblPr>
      <w:tblGrid>
        <w:gridCol w:w="3870"/>
        <w:gridCol w:w="1080"/>
        <w:gridCol w:w="360"/>
        <w:gridCol w:w="3600"/>
        <w:gridCol w:w="1080"/>
      </w:tblGrid>
      <w:tr>
        <w:trPr/>
        <w:tc>
          <w:tcPr>
            <w:tcW w:w="3870" w:type="dxa"/>
            <w:tcBorders/>
          </w:tcPr>
          <w:p>
            <w:pPr>
              <w:pStyle w:val="Normal"/>
              <w:snapToGrid w:val="false"/>
              <w:rPr>
                <w:rFonts w:ascii="Arial" w:hAnsi="Arial" w:cs="Arial"/>
                <w:sz w:val="20"/>
              </w:rPr>
            </w:pPr>
            <w:r>
              <w:rPr>
                <w:rFonts w:cs="Arial" w:ascii="Arial" w:hAnsi="Arial"/>
                <w:sz w:val="20"/>
              </w:rPr>
            </w:r>
          </w:p>
        </w:tc>
        <w:tc>
          <w:tcPr>
            <w:tcW w:w="1080" w:type="dxa"/>
            <w:tcBorders/>
          </w:tcPr>
          <w:p>
            <w:pPr>
              <w:pStyle w:val="Normal"/>
              <w:jc w:val="end"/>
              <w:rPr>
                <w:rFonts w:ascii="Arial" w:hAnsi="Arial" w:cs="Arial"/>
                <w:sz w:val="20"/>
                <w:u w:val="single"/>
              </w:rPr>
            </w:pPr>
            <w:r>
              <w:rPr>
                <w:rFonts w:cs="Arial" w:ascii="Arial" w:hAnsi="Arial"/>
                <w:sz w:val="20"/>
                <w:u w:val="single"/>
              </w:rPr>
              <w:t>Sources</w:t>
            </w:r>
          </w:p>
        </w:tc>
        <w:tc>
          <w:tcPr>
            <w:tcW w:w="360" w:type="dxa"/>
            <w:tcBorders/>
          </w:tcPr>
          <w:p>
            <w:pPr>
              <w:pStyle w:val="Normal"/>
              <w:snapToGrid w:val="false"/>
              <w:jc w:val="end"/>
              <w:rPr>
                <w:rFonts w:ascii="Arial" w:hAnsi="Arial" w:cs="Arial"/>
                <w:sz w:val="20"/>
                <w:u w:val="single"/>
              </w:rPr>
            </w:pPr>
            <w:r>
              <w:rPr>
                <w:rFonts w:cs="Arial" w:ascii="Arial" w:hAnsi="Arial"/>
                <w:sz w:val="20"/>
                <w:u w:val="single"/>
              </w:rPr>
            </w:r>
          </w:p>
        </w:tc>
        <w:tc>
          <w:tcPr>
            <w:tcW w:w="3600" w:type="dxa"/>
            <w:tcBorders/>
          </w:tcPr>
          <w:p>
            <w:pPr>
              <w:pStyle w:val="Normal"/>
              <w:snapToGrid w:val="false"/>
              <w:jc w:val="end"/>
              <w:rPr>
                <w:rFonts w:ascii="Arial" w:hAnsi="Arial" w:cs="Arial"/>
                <w:sz w:val="20"/>
                <w:u w:val="single"/>
              </w:rPr>
            </w:pPr>
            <w:r>
              <w:rPr>
                <w:rFonts w:cs="Arial" w:ascii="Arial" w:hAnsi="Arial"/>
                <w:sz w:val="20"/>
                <w:u w:val="single"/>
              </w:rPr>
            </w:r>
          </w:p>
        </w:tc>
        <w:tc>
          <w:tcPr>
            <w:tcW w:w="1080" w:type="dxa"/>
            <w:tcBorders/>
          </w:tcPr>
          <w:p>
            <w:pPr>
              <w:pStyle w:val="Normal"/>
              <w:jc w:val="end"/>
              <w:rPr>
                <w:rFonts w:ascii="Arial" w:hAnsi="Arial" w:cs="Arial"/>
                <w:sz w:val="20"/>
                <w:u w:val="single"/>
              </w:rPr>
            </w:pPr>
            <w:r>
              <w:rPr>
                <w:rFonts w:cs="Arial" w:ascii="Arial" w:hAnsi="Arial"/>
                <w:sz w:val="20"/>
                <w:u w:val="single"/>
              </w:rPr>
              <w:t>Uses</w:t>
            </w:r>
          </w:p>
        </w:tc>
      </w:tr>
      <w:tr>
        <w:trPr/>
        <w:tc>
          <w:tcPr>
            <w:tcW w:w="3870" w:type="dxa"/>
            <w:tcBorders/>
          </w:tcPr>
          <w:p>
            <w:pPr>
              <w:pStyle w:val="Normal"/>
              <w:rPr>
                <w:rFonts w:ascii="Arial" w:hAnsi="Arial" w:cs="Arial"/>
                <w:sz w:val="20"/>
              </w:rPr>
            </w:pPr>
            <w:r>
              <w:rPr>
                <w:rFonts w:cs="Arial" w:ascii="Arial" w:hAnsi="Arial"/>
                <w:sz w:val="20"/>
              </w:rPr>
              <w:t>Enron Equity</w:t>
            </w:r>
          </w:p>
        </w:tc>
        <w:tc>
          <w:tcPr>
            <w:tcW w:w="1080" w:type="dxa"/>
            <w:tcBorders/>
          </w:tcPr>
          <w:p>
            <w:pPr>
              <w:pStyle w:val="Normal"/>
              <w:jc w:val="end"/>
              <w:rPr>
                <w:rFonts w:ascii="Arial" w:hAnsi="Arial" w:cs="Arial"/>
                <w:sz w:val="20"/>
              </w:rPr>
            </w:pPr>
            <w:r>
              <w:rPr>
                <w:rFonts w:cs="Arial" w:ascii="Arial" w:hAnsi="Arial"/>
                <w:sz w:val="20"/>
              </w:rPr>
              <w:t>44,600</w:t>
            </w:r>
          </w:p>
        </w:tc>
        <w:tc>
          <w:tcPr>
            <w:tcW w:w="360" w:type="dxa"/>
            <w:tcBorders/>
          </w:tcPr>
          <w:p>
            <w:pPr>
              <w:pStyle w:val="Normal"/>
              <w:snapToGrid w:val="false"/>
              <w:jc w:val="end"/>
              <w:rPr>
                <w:rFonts w:ascii="Arial" w:hAnsi="Arial" w:cs="Arial"/>
                <w:sz w:val="20"/>
              </w:rPr>
            </w:pPr>
            <w:r>
              <w:rPr>
                <w:rFonts w:cs="Arial" w:ascii="Arial" w:hAnsi="Arial"/>
                <w:sz w:val="20"/>
              </w:rPr>
            </w:r>
          </w:p>
        </w:tc>
        <w:tc>
          <w:tcPr>
            <w:tcW w:w="3600" w:type="dxa"/>
            <w:tcBorders/>
          </w:tcPr>
          <w:p>
            <w:pPr>
              <w:pStyle w:val="Header"/>
              <w:widowControl/>
              <w:tabs>
                <w:tab w:val="clear" w:pos="4320"/>
                <w:tab w:val="clear" w:pos="8640"/>
              </w:tabs>
              <w:rPr>
                <w:rFonts w:ascii="Arial" w:hAnsi="Arial" w:cs="Arial"/>
                <w:szCs w:val="24"/>
              </w:rPr>
            </w:pPr>
            <w:r>
              <w:rPr>
                <w:rFonts w:cs="Arial" w:ascii="Arial" w:hAnsi="Arial"/>
                <w:szCs w:val="24"/>
              </w:rPr>
              <w:t>ERCs Optioned or Purchased</w:t>
            </w:r>
          </w:p>
        </w:tc>
        <w:tc>
          <w:tcPr>
            <w:tcW w:w="1080" w:type="dxa"/>
            <w:tcBorders/>
          </w:tcPr>
          <w:p>
            <w:pPr>
              <w:pStyle w:val="Normal"/>
              <w:jc w:val="end"/>
              <w:rPr>
                <w:rFonts w:ascii="Arial" w:hAnsi="Arial" w:cs="Arial"/>
                <w:sz w:val="20"/>
              </w:rPr>
            </w:pPr>
            <w:r>
              <w:rPr>
                <w:rFonts w:cs="Arial" w:ascii="Arial" w:hAnsi="Arial"/>
                <w:sz w:val="20"/>
              </w:rPr>
              <w:t>13,635</w:t>
            </w:r>
          </w:p>
        </w:tc>
      </w:tr>
      <w:tr>
        <w:trPr/>
        <w:tc>
          <w:tcPr>
            <w:tcW w:w="3870" w:type="dxa"/>
            <w:tcBorders/>
          </w:tcPr>
          <w:p>
            <w:pPr>
              <w:pStyle w:val="Normal"/>
              <w:snapToGrid w:val="false"/>
              <w:rPr>
                <w:rFonts w:ascii="Arial" w:hAnsi="Arial" w:cs="Arial"/>
                <w:sz w:val="20"/>
              </w:rPr>
            </w:pPr>
            <w:r>
              <w:rPr>
                <w:rFonts w:cs="Arial" w:ascii="Arial" w:hAnsi="Arial"/>
                <w:sz w:val="20"/>
              </w:rPr>
            </w:r>
          </w:p>
        </w:tc>
        <w:tc>
          <w:tcPr>
            <w:tcW w:w="1080" w:type="dxa"/>
            <w:tcBorders/>
          </w:tcPr>
          <w:p>
            <w:pPr>
              <w:pStyle w:val="Normal"/>
              <w:snapToGrid w:val="false"/>
              <w:jc w:val="end"/>
              <w:rPr>
                <w:rFonts w:ascii="Arial" w:hAnsi="Arial" w:cs="Arial"/>
                <w:sz w:val="20"/>
              </w:rPr>
            </w:pPr>
            <w:r>
              <w:rPr>
                <w:rFonts w:cs="Arial" w:ascii="Arial" w:hAnsi="Arial"/>
                <w:sz w:val="20"/>
              </w:rPr>
            </w:r>
          </w:p>
        </w:tc>
        <w:tc>
          <w:tcPr>
            <w:tcW w:w="360" w:type="dxa"/>
            <w:tcBorders/>
          </w:tcPr>
          <w:p>
            <w:pPr>
              <w:pStyle w:val="Normal"/>
              <w:snapToGrid w:val="false"/>
              <w:jc w:val="end"/>
              <w:rPr>
                <w:rFonts w:ascii="Arial" w:hAnsi="Arial" w:cs="Arial"/>
                <w:sz w:val="20"/>
              </w:rPr>
            </w:pPr>
            <w:r>
              <w:rPr>
                <w:rFonts w:cs="Arial" w:ascii="Arial" w:hAnsi="Arial"/>
                <w:sz w:val="20"/>
              </w:rPr>
            </w:r>
          </w:p>
        </w:tc>
        <w:tc>
          <w:tcPr>
            <w:tcW w:w="3600" w:type="dxa"/>
            <w:tcBorders/>
          </w:tcPr>
          <w:p>
            <w:pPr>
              <w:pStyle w:val="Header"/>
              <w:widowControl/>
              <w:tabs>
                <w:tab w:val="clear" w:pos="4320"/>
                <w:tab w:val="clear" w:pos="8640"/>
              </w:tabs>
              <w:rPr>
                <w:rFonts w:ascii="Arial" w:hAnsi="Arial" w:cs="Arial"/>
                <w:szCs w:val="24"/>
              </w:rPr>
            </w:pPr>
            <w:r>
              <w:rPr>
                <w:rFonts w:cs="Arial" w:ascii="Arial" w:hAnsi="Arial"/>
                <w:szCs w:val="24"/>
              </w:rPr>
              <w:t>ERCs in negotiation</w:t>
            </w:r>
          </w:p>
        </w:tc>
        <w:tc>
          <w:tcPr>
            <w:tcW w:w="1080" w:type="dxa"/>
            <w:tcBorders/>
          </w:tcPr>
          <w:p>
            <w:pPr>
              <w:pStyle w:val="Normal"/>
              <w:jc w:val="end"/>
              <w:rPr>
                <w:rFonts w:ascii="Arial" w:hAnsi="Arial" w:cs="Arial"/>
                <w:sz w:val="20"/>
              </w:rPr>
            </w:pPr>
            <w:r>
              <w:rPr>
                <w:rFonts w:cs="Arial" w:ascii="Arial" w:hAnsi="Arial"/>
                <w:sz w:val="20"/>
              </w:rPr>
              <w:t>16,365</w:t>
            </w:r>
          </w:p>
        </w:tc>
      </w:tr>
      <w:tr>
        <w:trPr/>
        <w:tc>
          <w:tcPr>
            <w:tcW w:w="3870" w:type="dxa"/>
            <w:tcBorders/>
          </w:tcPr>
          <w:p>
            <w:pPr>
              <w:pStyle w:val="Normal"/>
              <w:snapToGrid w:val="false"/>
              <w:rPr>
                <w:rFonts w:ascii="Arial" w:hAnsi="Arial" w:cs="Arial"/>
                <w:sz w:val="20"/>
              </w:rPr>
            </w:pPr>
            <w:r>
              <w:rPr>
                <w:rFonts w:cs="Arial" w:ascii="Arial" w:hAnsi="Arial"/>
                <w:sz w:val="20"/>
              </w:rPr>
            </w:r>
          </w:p>
        </w:tc>
        <w:tc>
          <w:tcPr>
            <w:tcW w:w="1080" w:type="dxa"/>
            <w:tcBorders/>
          </w:tcPr>
          <w:p>
            <w:pPr>
              <w:pStyle w:val="Normal"/>
              <w:snapToGrid w:val="false"/>
              <w:jc w:val="end"/>
              <w:rPr>
                <w:rFonts w:ascii="Arial" w:hAnsi="Arial" w:cs="Arial"/>
                <w:sz w:val="20"/>
              </w:rPr>
            </w:pPr>
            <w:r>
              <w:rPr>
                <w:rFonts w:cs="Arial" w:ascii="Arial" w:hAnsi="Arial"/>
                <w:sz w:val="20"/>
              </w:rPr>
            </w:r>
          </w:p>
        </w:tc>
        <w:tc>
          <w:tcPr>
            <w:tcW w:w="360" w:type="dxa"/>
            <w:tcBorders/>
          </w:tcPr>
          <w:p>
            <w:pPr>
              <w:pStyle w:val="Normal"/>
              <w:snapToGrid w:val="false"/>
              <w:jc w:val="end"/>
              <w:rPr>
                <w:rFonts w:ascii="Arial" w:hAnsi="Arial" w:cs="Arial"/>
                <w:sz w:val="20"/>
              </w:rPr>
            </w:pPr>
            <w:r>
              <w:rPr>
                <w:rFonts w:cs="Arial" w:ascii="Arial" w:hAnsi="Arial"/>
                <w:sz w:val="20"/>
              </w:rPr>
            </w:r>
          </w:p>
        </w:tc>
        <w:tc>
          <w:tcPr>
            <w:tcW w:w="3600" w:type="dxa"/>
            <w:tcBorders/>
          </w:tcPr>
          <w:p>
            <w:pPr>
              <w:pStyle w:val="Header"/>
              <w:widowControl/>
              <w:tabs>
                <w:tab w:val="clear" w:pos="4320"/>
                <w:tab w:val="clear" w:pos="8640"/>
              </w:tabs>
              <w:rPr>
                <w:rFonts w:ascii="Arial" w:hAnsi="Arial" w:cs="Arial"/>
                <w:szCs w:val="24"/>
              </w:rPr>
            </w:pPr>
            <w:r>
              <w:rPr>
                <w:rFonts w:cs="Arial" w:ascii="Arial" w:hAnsi="Arial"/>
                <w:szCs w:val="24"/>
              </w:rPr>
              <w:t>Spreckels Tracy ERCs</w:t>
            </w:r>
          </w:p>
        </w:tc>
        <w:tc>
          <w:tcPr>
            <w:tcW w:w="1080" w:type="dxa"/>
            <w:tcBorders/>
          </w:tcPr>
          <w:p>
            <w:pPr>
              <w:pStyle w:val="Normal"/>
              <w:jc w:val="end"/>
              <w:rPr>
                <w:rFonts w:ascii="Arial" w:hAnsi="Arial" w:cs="Arial"/>
                <w:sz w:val="20"/>
              </w:rPr>
            </w:pPr>
            <w:r>
              <w:rPr>
                <w:rFonts w:cs="Arial" w:ascii="Arial" w:hAnsi="Arial"/>
                <w:sz w:val="20"/>
              </w:rPr>
              <w:t>1,980</w:t>
            </w:r>
          </w:p>
        </w:tc>
      </w:tr>
      <w:tr>
        <w:trPr/>
        <w:tc>
          <w:tcPr>
            <w:tcW w:w="3870" w:type="dxa"/>
            <w:tcBorders/>
          </w:tcPr>
          <w:p>
            <w:pPr>
              <w:pStyle w:val="Normal"/>
              <w:snapToGrid w:val="false"/>
              <w:rPr>
                <w:rFonts w:ascii="Arial" w:hAnsi="Arial" w:cs="Arial"/>
                <w:sz w:val="20"/>
              </w:rPr>
            </w:pPr>
            <w:r>
              <w:rPr>
                <w:rFonts w:cs="Arial" w:ascii="Arial" w:hAnsi="Arial"/>
                <w:sz w:val="20"/>
              </w:rPr>
            </w:r>
          </w:p>
        </w:tc>
        <w:tc>
          <w:tcPr>
            <w:tcW w:w="1080" w:type="dxa"/>
            <w:tcBorders/>
          </w:tcPr>
          <w:p>
            <w:pPr>
              <w:pStyle w:val="Normal"/>
              <w:snapToGrid w:val="false"/>
              <w:jc w:val="end"/>
              <w:rPr>
                <w:rFonts w:ascii="Arial" w:hAnsi="Arial" w:cs="Arial"/>
                <w:sz w:val="20"/>
              </w:rPr>
            </w:pPr>
            <w:r>
              <w:rPr>
                <w:rFonts w:cs="Arial" w:ascii="Arial" w:hAnsi="Arial"/>
                <w:sz w:val="20"/>
              </w:rPr>
            </w:r>
          </w:p>
        </w:tc>
        <w:tc>
          <w:tcPr>
            <w:tcW w:w="360" w:type="dxa"/>
            <w:tcBorders/>
          </w:tcPr>
          <w:p>
            <w:pPr>
              <w:pStyle w:val="Normal"/>
              <w:snapToGrid w:val="false"/>
              <w:jc w:val="end"/>
              <w:rPr>
                <w:rFonts w:ascii="Arial" w:hAnsi="Arial" w:cs="Arial"/>
                <w:sz w:val="20"/>
              </w:rPr>
            </w:pPr>
            <w:r>
              <w:rPr>
                <w:rFonts w:cs="Arial" w:ascii="Arial" w:hAnsi="Arial"/>
                <w:sz w:val="20"/>
              </w:rPr>
            </w:r>
          </w:p>
        </w:tc>
        <w:tc>
          <w:tcPr>
            <w:tcW w:w="3600" w:type="dxa"/>
            <w:tcBorders/>
          </w:tcPr>
          <w:p>
            <w:pPr>
              <w:pStyle w:val="Header"/>
              <w:widowControl/>
              <w:tabs>
                <w:tab w:val="clear" w:pos="4320"/>
                <w:tab w:val="clear" w:pos="8640"/>
              </w:tabs>
              <w:rPr>
                <w:rFonts w:ascii="Arial" w:hAnsi="Arial" w:cs="Arial"/>
                <w:szCs w:val="24"/>
              </w:rPr>
            </w:pPr>
            <w:r>
              <w:rPr>
                <w:rFonts w:cs="Arial" w:ascii="Arial" w:hAnsi="Arial"/>
                <w:szCs w:val="24"/>
              </w:rPr>
              <w:t>Development Costs</w:t>
            </w:r>
          </w:p>
        </w:tc>
        <w:tc>
          <w:tcPr>
            <w:tcW w:w="1080" w:type="dxa"/>
            <w:tcBorders/>
          </w:tcPr>
          <w:p>
            <w:pPr>
              <w:pStyle w:val="Normal"/>
              <w:jc w:val="end"/>
              <w:rPr>
                <w:rFonts w:ascii="Arial" w:hAnsi="Arial" w:cs="Arial"/>
                <w:sz w:val="20"/>
              </w:rPr>
            </w:pPr>
            <w:r>
              <w:rPr>
                <w:rFonts w:cs="Arial" w:ascii="Arial" w:hAnsi="Arial"/>
                <w:sz w:val="20"/>
              </w:rPr>
              <w:t>12,620</w:t>
            </w:r>
          </w:p>
        </w:tc>
      </w:tr>
      <w:tr>
        <w:trPr/>
        <w:tc>
          <w:tcPr>
            <w:tcW w:w="3870" w:type="dxa"/>
            <w:tcBorders/>
          </w:tcPr>
          <w:p>
            <w:pPr>
              <w:pStyle w:val="Normal"/>
              <w:rPr>
                <w:rFonts w:ascii="Arial" w:hAnsi="Arial" w:cs="Arial"/>
                <w:b/>
                <w:bCs/>
                <w:sz w:val="20"/>
              </w:rPr>
            </w:pPr>
            <w:r>
              <w:rPr>
                <w:rFonts w:cs="Arial" w:ascii="Arial" w:hAnsi="Arial"/>
                <w:b/>
                <w:bCs/>
                <w:sz w:val="20"/>
              </w:rPr>
              <w:t>Total</w:t>
            </w:r>
          </w:p>
        </w:tc>
        <w:tc>
          <w:tcPr>
            <w:tcW w:w="1080" w:type="dxa"/>
            <w:tcBorders>
              <w:top w:val="single" w:sz="6" w:space="0" w:color="000000"/>
            </w:tcBorders>
          </w:tcPr>
          <w:p>
            <w:pPr>
              <w:pStyle w:val="Normal"/>
              <w:jc w:val="end"/>
              <w:rPr>
                <w:rFonts w:ascii="Arial" w:hAnsi="Arial" w:cs="Arial"/>
                <w:b/>
                <w:bCs/>
                <w:sz w:val="20"/>
              </w:rPr>
            </w:pPr>
            <w:r>
              <w:rPr>
                <w:rFonts w:cs="Arial" w:ascii="Arial" w:hAnsi="Arial"/>
                <w:b/>
                <w:bCs/>
                <w:sz w:val="20"/>
              </w:rPr>
              <w:t>44,600</w:t>
            </w:r>
          </w:p>
        </w:tc>
        <w:tc>
          <w:tcPr>
            <w:tcW w:w="360" w:type="dxa"/>
            <w:tcBorders/>
          </w:tcPr>
          <w:p>
            <w:pPr>
              <w:pStyle w:val="Normal"/>
              <w:snapToGrid w:val="false"/>
              <w:jc w:val="end"/>
              <w:rPr>
                <w:rFonts w:ascii="Arial" w:hAnsi="Arial" w:cs="Arial"/>
                <w:b/>
                <w:bCs/>
                <w:sz w:val="20"/>
              </w:rPr>
            </w:pPr>
            <w:r>
              <w:rPr>
                <w:rFonts w:cs="Arial" w:ascii="Arial" w:hAnsi="Arial"/>
                <w:b/>
                <w:bCs/>
                <w:sz w:val="20"/>
              </w:rPr>
            </w:r>
          </w:p>
        </w:tc>
        <w:tc>
          <w:tcPr>
            <w:tcW w:w="3600" w:type="dxa"/>
            <w:tcBorders/>
          </w:tcPr>
          <w:p>
            <w:pPr>
              <w:pStyle w:val="Header"/>
              <w:widowControl/>
              <w:tabs>
                <w:tab w:val="clear" w:pos="4320"/>
                <w:tab w:val="clear" w:pos="8640"/>
              </w:tabs>
              <w:rPr>
                <w:rFonts w:ascii="Arial" w:hAnsi="Arial" w:cs="Arial"/>
                <w:b/>
                <w:bCs/>
                <w:szCs w:val="24"/>
              </w:rPr>
            </w:pPr>
            <w:r>
              <w:rPr>
                <w:rFonts w:cs="Arial" w:ascii="Arial" w:hAnsi="Arial"/>
                <w:b/>
                <w:bCs/>
                <w:szCs w:val="24"/>
              </w:rPr>
              <w:t>Total</w:t>
            </w:r>
          </w:p>
        </w:tc>
        <w:tc>
          <w:tcPr>
            <w:tcW w:w="1080" w:type="dxa"/>
            <w:tcBorders>
              <w:top w:val="single" w:sz="6" w:space="0" w:color="000000"/>
            </w:tcBorders>
          </w:tcPr>
          <w:p>
            <w:pPr>
              <w:pStyle w:val="Normal"/>
              <w:jc w:val="end"/>
              <w:rPr>
                <w:rFonts w:ascii="Arial" w:hAnsi="Arial" w:cs="Arial"/>
                <w:b/>
                <w:bCs/>
                <w:sz w:val="20"/>
              </w:rPr>
            </w:pPr>
            <w:r>
              <w:rPr>
                <w:rFonts w:cs="Arial" w:ascii="Arial" w:hAnsi="Arial"/>
                <w:b/>
                <w:bCs/>
                <w:sz w:val="20"/>
              </w:rPr>
              <w:t>44,600</w:t>
            </w:r>
          </w:p>
        </w:tc>
      </w:tr>
    </w:tbl>
    <w:p>
      <w:pPr>
        <w:pStyle w:val="Normal"/>
        <w:pBdr>
          <w:bottom w:val="single" w:sz="8" w:space="0" w:color="000000"/>
        </w:pBdr>
        <w:rPr>
          <w:rFonts w:ascii="Arial" w:hAnsi="Arial" w:cs="Arial"/>
          <w:sz w:val="20"/>
        </w:rPr>
      </w:pPr>
      <w:r>
        <w:rPr>
          <w:rFonts w:cs="Arial" w:ascii="Arial" w:hAnsi="Arial"/>
          <w:sz w:val="20"/>
        </w:rPr>
      </w:r>
    </w:p>
    <w:p>
      <w:pPr>
        <w:pStyle w:val="Normal"/>
        <w:pBdr>
          <w:bottom w:val="single" w:sz="8" w:space="1" w:color="000000"/>
        </w:pBdr>
        <w:rPr>
          <w:rFonts w:ascii="Arial" w:hAnsi="Arial" w:cs="Arial"/>
          <w:sz w:val="20"/>
        </w:rPr>
      </w:pPr>
      <w:r>
        <w:rPr>
          <w:rFonts w:cs="Arial" w:ascii="Arial" w:hAnsi="Arial"/>
          <w:sz w:val="20"/>
        </w:rPr>
      </w:r>
    </w:p>
    <w:tbl>
      <w:tblPr>
        <w:tblW w:w="10260" w:type="dxa"/>
        <w:jc w:val="start"/>
        <w:tblInd w:w="108" w:type="dxa"/>
        <w:tblLayout w:type="fixed"/>
        <w:tblCellMar>
          <w:top w:w="0" w:type="dxa"/>
          <w:start w:w="108" w:type="dxa"/>
          <w:bottom w:w="0" w:type="dxa"/>
          <w:end w:w="108" w:type="dxa"/>
        </w:tblCellMar>
      </w:tblPr>
      <w:tblGrid>
        <w:gridCol w:w="270"/>
        <w:gridCol w:w="2790"/>
        <w:gridCol w:w="1260"/>
        <w:gridCol w:w="1440"/>
        <w:gridCol w:w="720"/>
        <w:gridCol w:w="2700"/>
        <w:gridCol w:w="1080"/>
      </w:tblGrid>
      <w:tr>
        <w:trPr>
          <w:trHeight w:val="342" w:hRule="atLeast"/>
        </w:trPr>
        <w:tc>
          <w:tcPr>
            <w:tcW w:w="10260" w:type="dxa"/>
            <w:gridSpan w:val="7"/>
            <w:tcBorders/>
          </w:tcPr>
          <w:p>
            <w:pPr>
              <w:pStyle w:val="Normal"/>
              <w:rPr>
                <w:rFonts w:ascii="Arial" w:hAnsi="Arial" w:cs="Arial"/>
                <w:sz w:val="20"/>
              </w:rPr>
            </w:pPr>
            <w:r>
              <w:rPr>
                <w:rFonts w:cs="Arial" w:ascii="Arial" w:hAnsi="Arial"/>
                <w:b/>
                <w:bCs/>
                <w:iCs/>
                <w:sz w:val="20"/>
              </w:rPr>
              <w:t xml:space="preserve">UNLEVERED PROJECT RETURN SUMMARY- </w:t>
            </w:r>
            <w:r>
              <w:rPr>
                <w:rFonts w:cs="Arial" w:ascii="Arial" w:hAnsi="Arial"/>
                <w:b/>
                <w:bCs/>
                <w:i/>
                <w:sz w:val="20"/>
              </w:rPr>
              <w:t>no inflation on HENWOOD Curves</w:t>
            </w:r>
          </w:p>
        </w:tc>
      </w:tr>
      <w:tr>
        <w:trPr>
          <w:trHeight w:val="360" w:hRule="atLeast"/>
        </w:trPr>
        <w:tc>
          <w:tcPr>
            <w:tcW w:w="270" w:type="dxa"/>
            <w:tcBorders/>
            <w:tcMar>
              <w:start w:w="0" w:type="dxa"/>
              <w:end w:w="0" w:type="dxa"/>
            </w:tcMar>
          </w:tcPr>
          <w:p>
            <w:pPr>
              <w:pStyle w:val="Normal"/>
              <w:rPr>
                <w:rFonts w:ascii="Arial" w:hAnsi="Arial" w:cs="Arial"/>
                <w:sz w:val="20"/>
              </w:rPr>
            </w:pPr>
            <w:r>
              <w:rPr>
                <w:rFonts w:cs="Arial" w:ascii="Arial" w:hAnsi="Arial"/>
                <w:sz w:val="20"/>
              </w:rPr>
            </w:r>
          </w:p>
        </w:tc>
        <w:tc>
          <w:tcPr>
            <w:tcW w:w="2790" w:type="dxa"/>
            <w:tcBorders/>
          </w:tcPr>
          <w:p>
            <w:pPr>
              <w:pStyle w:val="Normal"/>
              <w:snapToGrid w:val="false"/>
              <w:rPr>
                <w:rFonts w:ascii="Arial" w:hAnsi="Arial" w:cs="Arial"/>
                <w:sz w:val="20"/>
              </w:rPr>
            </w:pPr>
            <w:r>
              <w:rPr>
                <w:rFonts w:cs="Arial" w:ascii="Arial" w:hAnsi="Arial"/>
                <w:sz w:val="20"/>
              </w:rPr>
            </w:r>
          </w:p>
          <w:p>
            <w:pPr>
              <w:pStyle w:val="Normal"/>
              <w:rPr>
                <w:rFonts w:ascii="Arial" w:hAnsi="Arial" w:cs="Arial"/>
                <w:sz w:val="20"/>
                <w:u w:val="single"/>
              </w:rPr>
            </w:pPr>
            <w:r>
              <w:rPr>
                <w:rFonts w:cs="Arial" w:ascii="Arial" w:hAnsi="Arial"/>
                <w:sz w:val="20"/>
                <w:u w:val="single"/>
              </w:rPr>
              <w:t>Return Components:</w:t>
            </w:r>
          </w:p>
        </w:tc>
        <w:tc>
          <w:tcPr>
            <w:tcW w:w="1260" w:type="dxa"/>
            <w:tcBorders/>
          </w:tcPr>
          <w:p>
            <w:pPr>
              <w:pStyle w:val="Normal"/>
              <w:ind w:end="-63"/>
              <w:jc w:val="center"/>
              <w:rPr>
                <w:rFonts w:ascii="Arial" w:hAnsi="Arial" w:cs="Arial"/>
                <w:sz w:val="19"/>
              </w:rPr>
            </w:pPr>
            <w:r>
              <w:rPr>
                <w:rFonts w:cs="Arial" w:ascii="Arial" w:hAnsi="Arial"/>
                <w:sz w:val="19"/>
              </w:rPr>
              <w:t>PV @</w:t>
            </w:r>
          </w:p>
          <w:p>
            <w:pPr>
              <w:pStyle w:val="Normal"/>
              <w:ind w:end="-63"/>
              <w:jc w:val="center"/>
              <w:rPr>
                <w:rFonts w:ascii="Arial" w:hAnsi="Arial" w:cs="Arial"/>
                <w:sz w:val="20"/>
                <w:u w:val="single"/>
              </w:rPr>
            </w:pPr>
            <w:r>
              <w:rPr>
                <w:rFonts w:cs="Arial" w:ascii="Arial" w:hAnsi="Arial"/>
                <w:sz w:val="19"/>
                <w:u w:val="single"/>
              </w:rPr>
              <w:t>Capital Price</w:t>
            </w:r>
          </w:p>
        </w:tc>
        <w:tc>
          <w:tcPr>
            <w:tcW w:w="1440" w:type="dxa"/>
            <w:tcBorders/>
          </w:tcPr>
          <w:p>
            <w:pPr>
              <w:pStyle w:val="Heading3"/>
              <w:widowControl/>
              <w:ind w:end="-63"/>
              <w:jc w:val="center"/>
              <w:rPr>
                <w:rFonts w:ascii="Arial" w:hAnsi="Arial" w:cs="Arial"/>
                <w:b w:val="false"/>
              </w:rPr>
            </w:pPr>
            <w:r>
              <w:rPr>
                <w:rFonts w:cs="Arial" w:ascii="Arial" w:hAnsi="Arial"/>
                <w:b w:val="false"/>
              </w:rPr>
              <w:t>Cumulative</w:t>
            </w:r>
          </w:p>
          <w:p>
            <w:pPr>
              <w:pStyle w:val="Heading3"/>
              <w:widowControl/>
              <w:ind w:end="-63"/>
              <w:jc w:val="center"/>
              <w:rPr>
                <w:rFonts w:ascii="Arial" w:hAnsi="Arial" w:cs="Arial"/>
                <w:b w:val="false"/>
              </w:rPr>
            </w:pPr>
            <w:r>
              <w:rPr>
                <w:rFonts w:cs="Arial" w:ascii="Arial" w:hAnsi="Arial"/>
                <w:b w:val="false"/>
                <w:u w:val="single"/>
              </w:rPr>
              <w:t>IRR</w:t>
            </w:r>
          </w:p>
        </w:tc>
        <w:tc>
          <w:tcPr>
            <w:tcW w:w="720" w:type="dxa"/>
            <w:tcBorders/>
          </w:tcPr>
          <w:p>
            <w:pPr>
              <w:pStyle w:val="Heading3"/>
              <w:widowControl/>
              <w:snapToGrid w:val="false"/>
              <w:ind w:end="-63"/>
              <w:rPr>
                <w:rFonts w:ascii="Arial" w:hAnsi="Arial" w:cs="Arial"/>
                <w:b w:val="false"/>
              </w:rPr>
            </w:pPr>
            <w:r>
              <w:rPr>
                <w:rFonts w:cs="Arial" w:ascii="Arial" w:hAnsi="Arial"/>
                <w:b w:val="false"/>
              </w:rPr>
            </w:r>
          </w:p>
        </w:tc>
        <w:tc>
          <w:tcPr>
            <w:tcW w:w="2700" w:type="dxa"/>
            <w:tcBorders/>
          </w:tcPr>
          <w:p>
            <w:pPr>
              <w:pStyle w:val="Heading3"/>
              <w:widowControl/>
              <w:snapToGrid w:val="false"/>
              <w:ind w:end="-63"/>
              <w:rPr>
                <w:rFonts w:ascii="Arial" w:hAnsi="Arial" w:cs="Arial"/>
                <w:b w:val="false"/>
              </w:rPr>
            </w:pPr>
            <w:r>
              <w:rPr>
                <w:rFonts w:cs="Arial" w:ascii="Arial" w:hAnsi="Arial"/>
                <w:b w:val="false"/>
              </w:rPr>
            </w:r>
          </w:p>
          <w:p>
            <w:pPr>
              <w:pStyle w:val="Normal"/>
              <w:rPr>
                <w:rFonts w:ascii="Arial" w:hAnsi="Arial" w:cs="Arial"/>
                <w:sz w:val="20"/>
              </w:rPr>
            </w:pPr>
            <w:r>
              <w:rPr>
                <w:rFonts w:cs="Arial" w:ascii="Arial" w:hAnsi="Arial"/>
                <w:sz w:val="20"/>
                <w:u w:val="single"/>
              </w:rPr>
              <w:t>Capital Price Components</w:t>
            </w:r>
          </w:p>
        </w:tc>
        <w:tc>
          <w:tcPr>
            <w:tcW w:w="1080" w:type="dxa"/>
            <w:tcBorders/>
          </w:tcPr>
          <w:p>
            <w:pPr>
              <w:pStyle w:val="Normal"/>
              <w:snapToGrid w:val="false"/>
              <w:ind w:end="-63"/>
              <w:rPr>
                <w:rFonts w:ascii="Arial" w:hAnsi="Arial" w:cs="Arial"/>
                <w:sz w:val="20"/>
              </w:rPr>
            </w:pPr>
            <w:r>
              <w:rPr>
                <w:rFonts w:cs="Arial" w:ascii="Arial" w:hAnsi="Arial"/>
                <w:sz w:val="20"/>
              </w:rPr>
            </w:r>
          </w:p>
        </w:tc>
      </w:tr>
      <w:tr>
        <w:trPr>
          <w:trHeight w:val="162" w:hRule="atLeast"/>
        </w:trPr>
        <w:tc>
          <w:tcPr>
            <w:tcW w:w="270" w:type="dxa"/>
            <w:tcBorders/>
            <w:tcMar>
              <w:start w:w="0" w:type="dxa"/>
              <w:end w:w="0" w:type="dxa"/>
            </w:tcMar>
          </w:tcPr>
          <w:p>
            <w:pPr>
              <w:pStyle w:val="Normal"/>
              <w:rPr>
                <w:rFonts w:ascii="Arial" w:hAnsi="Arial" w:cs="Arial"/>
                <w:b/>
                <w:sz w:val="20"/>
              </w:rPr>
            </w:pPr>
            <w:r>
              <w:rPr>
                <w:rFonts w:cs="Arial" w:ascii="Arial" w:hAnsi="Arial"/>
                <w:b/>
                <w:sz w:val="20"/>
              </w:rPr>
            </w:r>
          </w:p>
        </w:tc>
        <w:tc>
          <w:tcPr>
            <w:tcW w:w="279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Cash Outflows</w:t>
            </w:r>
          </w:p>
        </w:tc>
        <w:tc>
          <w:tcPr>
            <w:tcW w:w="1260" w:type="dxa"/>
            <w:tcBorders/>
          </w:tcPr>
          <w:p>
            <w:pPr>
              <w:pStyle w:val="Normal"/>
              <w:jc w:val="end"/>
              <w:rPr>
                <w:rFonts w:ascii="Arial" w:hAnsi="Arial" w:cs="Arial"/>
                <w:sz w:val="20"/>
              </w:rPr>
            </w:pPr>
            <w:r>
              <w:rPr>
                <w:rFonts w:cs="Arial" w:ascii="Arial" w:hAnsi="Arial"/>
                <w:sz w:val="20"/>
              </w:rPr>
              <w:t>(477,841)</w:t>
            </w:r>
          </w:p>
        </w:tc>
        <w:tc>
          <w:tcPr>
            <w:tcW w:w="144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720" w:type="dxa"/>
            <w:tcBorders/>
          </w:tcPr>
          <w:p>
            <w:pPr>
              <w:pStyle w:val="Heading9"/>
              <w:widowControl/>
              <w:snapToGrid w:val="false"/>
              <w:ind w:start="0" w:end="-63"/>
              <w:rPr>
                <w:rFonts w:ascii="Arial" w:hAnsi="Arial" w:cs="Arial"/>
                <w:b w:val="false"/>
              </w:rPr>
            </w:pPr>
            <w:r>
              <w:rPr>
                <w:rFonts w:cs="Arial" w:ascii="Arial" w:hAnsi="Arial"/>
                <w:b w:val="false"/>
              </w:rPr>
            </w:r>
          </w:p>
        </w:tc>
        <w:tc>
          <w:tcPr>
            <w:tcW w:w="2700" w:type="dxa"/>
            <w:tcBorders/>
          </w:tcPr>
          <w:p>
            <w:pPr>
              <w:pStyle w:val="Heading9"/>
              <w:widowControl/>
              <w:ind w:start="0" w:end="-63"/>
              <w:rPr>
                <w:rFonts w:ascii="Arial" w:hAnsi="Arial" w:cs="Arial"/>
                <w:b w:val="false"/>
              </w:rPr>
            </w:pPr>
            <w:r>
              <w:rPr>
                <w:rFonts w:cs="Arial" w:ascii="Arial" w:hAnsi="Arial"/>
                <w:b w:val="false"/>
              </w:rPr>
              <w:t>Risk free rate (%):</w:t>
            </w:r>
          </w:p>
        </w:tc>
        <w:tc>
          <w:tcPr>
            <w:tcW w:w="1080" w:type="dxa"/>
            <w:tcBorders/>
          </w:tcPr>
          <w:p>
            <w:pPr>
              <w:pStyle w:val="Normal"/>
              <w:ind w:end="-69"/>
              <w:jc w:val="end"/>
              <w:rPr>
                <w:rFonts w:ascii="Arial" w:hAnsi="Arial" w:cs="Arial"/>
                <w:bCs/>
                <w:sz w:val="20"/>
              </w:rPr>
            </w:pPr>
            <w:r>
              <w:rPr>
                <w:rFonts w:cs="Arial" w:ascii="Arial" w:hAnsi="Arial"/>
                <w:bCs/>
                <w:sz w:val="20"/>
              </w:rPr>
              <w:t>5.77</w:t>
            </w:r>
          </w:p>
        </w:tc>
      </w:tr>
      <w:tr>
        <w:trPr>
          <w:trHeight w:val="189" w:hRule="atLeast"/>
        </w:trPr>
        <w:tc>
          <w:tcPr>
            <w:tcW w:w="270" w:type="dxa"/>
            <w:tcBorders/>
            <w:tcMar>
              <w:start w:w="0" w:type="dxa"/>
              <w:end w:w="0" w:type="dxa"/>
            </w:tcMar>
          </w:tcPr>
          <w:p>
            <w:pPr>
              <w:pStyle w:val="Normal"/>
              <w:rPr>
                <w:rFonts w:ascii="Arial" w:hAnsi="Arial" w:cs="Arial"/>
                <w:b/>
                <w:bCs/>
                <w:sz w:val="20"/>
              </w:rPr>
            </w:pPr>
            <w:r>
              <w:rPr>
                <w:rFonts w:cs="Arial" w:ascii="Arial" w:hAnsi="Arial"/>
                <w:b/>
                <w:bCs/>
                <w:sz w:val="20"/>
              </w:rPr>
            </w:r>
          </w:p>
        </w:tc>
        <w:tc>
          <w:tcPr>
            <w:tcW w:w="279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Intermed. Cash Flows</w:t>
            </w:r>
          </w:p>
        </w:tc>
        <w:tc>
          <w:tcPr>
            <w:tcW w:w="1260" w:type="dxa"/>
            <w:tcBorders/>
          </w:tcPr>
          <w:p>
            <w:pPr>
              <w:pStyle w:val="Normal"/>
              <w:jc w:val="end"/>
              <w:rPr>
                <w:rFonts w:ascii="Arial" w:hAnsi="Arial" w:cs="Arial"/>
                <w:sz w:val="20"/>
              </w:rPr>
            </w:pPr>
            <w:r>
              <w:rPr>
                <w:rFonts w:cs="Arial" w:ascii="Arial" w:hAnsi="Arial"/>
                <w:sz w:val="20"/>
              </w:rPr>
              <w:t>423,804</w:t>
            </w:r>
          </w:p>
        </w:tc>
        <w:tc>
          <w:tcPr>
            <w:tcW w:w="144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720" w:type="dxa"/>
            <w:tcBorders/>
          </w:tcPr>
          <w:p>
            <w:pPr>
              <w:pStyle w:val="Heading9"/>
              <w:widowControl/>
              <w:snapToGrid w:val="false"/>
              <w:ind w:start="0" w:end="-63"/>
              <w:rPr>
                <w:rFonts w:ascii="Arial" w:hAnsi="Arial" w:cs="Arial"/>
                <w:b w:val="false"/>
              </w:rPr>
            </w:pPr>
            <w:r>
              <w:rPr>
                <w:rFonts w:cs="Arial" w:ascii="Arial" w:hAnsi="Arial"/>
                <w:b w:val="false"/>
              </w:rPr>
            </w:r>
          </w:p>
        </w:tc>
        <w:tc>
          <w:tcPr>
            <w:tcW w:w="2700" w:type="dxa"/>
            <w:tcBorders/>
          </w:tcPr>
          <w:p>
            <w:pPr>
              <w:pStyle w:val="Heading9"/>
              <w:widowControl/>
              <w:ind w:start="0" w:end="-63"/>
              <w:rPr>
                <w:rFonts w:ascii="Arial" w:hAnsi="Arial" w:cs="Arial"/>
                <w:b w:val="false"/>
              </w:rPr>
            </w:pPr>
            <w:r>
              <w:rPr>
                <w:rFonts w:cs="Arial" w:ascii="Arial" w:hAnsi="Arial"/>
                <w:b w:val="false"/>
              </w:rPr>
              <w:t>Equity Premium (%):</w:t>
            </w:r>
          </w:p>
        </w:tc>
        <w:tc>
          <w:tcPr>
            <w:tcW w:w="1080" w:type="dxa"/>
            <w:tcBorders/>
          </w:tcPr>
          <w:p>
            <w:pPr>
              <w:pStyle w:val="Normal"/>
              <w:ind w:end="-69"/>
              <w:jc w:val="end"/>
              <w:rPr>
                <w:rFonts w:ascii="Arial" w:hAnsi="Arial" w:cs="Arial"/>
                <w:bCs/>
                <w:sz w:val="20"/>
              </w:rPr>
            </w:pPr>
            <w:r>
              <w:rPr>
                <w:rFonts w:cs="Arial" w:ascii="Arial" w:hAnsi="Arial"/>
                <w:bCs/>
                <w:sz w:val="20"/>
              </w:rPr>
              <w:t>3.56</w:t>
            </w:r>
          </w:p>
        </w:tc>
      </w:tr>
      <w:tr>
        <w:trPr>
          <w:trHeight w:val="207" w:hRule="atLeast"/>
        </w:trPr>
        <w:tc>
          <w:tcPr>
            <w:tcW w:w="270" w:type="dxa"/>
            <w:tcBorders/>
            <w:tcMar>
              <w:start w:w="0" w:type="dxa"/>
              <w:end w:w="0" w:type="dxa"/>
            </w:tcMar>
          </w:tcPr>
          <w:p>
            <w:pPr>
              <w:pStyle w:val="Normal"/>
              <w:rPr>
                <w:rFonts w:ascii="Arial" w:hAnsi="Arial" w:cs="Arial"/>
                <w:b/>
                <w:bCs/>
                <w:sz w:val="20"/>
              </w:rPr>
            </w:pPr>
            <w:r>
              <w:rPr>
                <w:rFonts w:cs="Arial" w:ascii="Arial" w:hAnsi="Arial"/>
                <w:b/>
                <w:bCs/>
                <w:sz w:val="20"/>
              </w:rPr>
            </w:r>
          </w:p>
        </w:tc>
        <w:tc>
          <w:tcPr>
            <w:tcW w:w="279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Terminal Value</w:t>
            </w:r>
          </w:p>
        </w:tc>
        <w:tc>
          <w:tcPr>
            <w:tcW w:w="1260" w:type="dxa"/>
            <w:tcBorders/>
          </w:tcPr>
          <w:p>
            <w:pPr>
              <w:pStyle w:val="Normal"/>
              <w:jc w:val="end"/>
              <w:rPr>
                <w:rFonts w:ascii="Arial" w:hAnsi="Arial" w:cs="Arial"/>
                <w:sz w:val="20"/>
              </w:rPr>
            </w:pPr>
            <w:r>
              <w:rPr>
                <w:rFonts w:cs="Arial" w:ascii="Arial" w:hAnsi="Arial"/>
                <w:sz w:val="20"/>
              </w:rPr>
              <w:t>32,108</w:t>
            </w:r>
          </w:p>
        </w:tc>
        <w:tc>
          <w:tcPr>
            <w:tcW w:w="144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720" w:type="dxa"/>
            <w:tcBorders/>
          </w:tcPr>
          <w:p>
            <w:pPr>
              <w:pStyle w:val="Normal"/>
              <w:snapToGrid w:val="false"/>
              <w:ind w:end="-63"/>
              <w:rPr>
                <w:rFonts w:ascii="Arial" w:hAnsi="Arial" w:cs="Arial"/>
                <w:b w:val="false"/>
                <w:sz w:val="20"/>
              </w:rPr>
            </w:pPr>
            <w:r>
              <w:rPr>
                <w:rFonts w:cs="Arial" w:ascii="Arial" w:hAnsi="Arial"/>
                <w:b w:val="false"/>
                <w:sz w:val="20"/>
              </w:rPr>
            </w:r>
          </w:p>
        </w:tc>
        <w:tc>
          <w:tcPr>
            <w:tcW w:w="2700" w:type="dxa"/>
            <w:tcBorders/>
          </w:tcPr>
          <w:p>
            <w:pPr>
              <w:pStyle w:val="Normal"/>
              <w:ind w:end="-63"/>
              <w:rPr>
                <w:rFonts w:ascii="Arial" w:hAnsi="Arial" w:cs="Arial"/>
                <w:bCs/>
                <w:sz w:val="20"/>
              </w:rPr>
            </w:pPr>
            <w:r>
              <w:rPr>
                <w:rFonts w:cs="Arial" w:ascii="Arial" w:hAnsi="Arial"/>
                <w:bCs/>
                <w:sz w:val="20"/>
              </w:rPr>
              <w:t>Credit Premium (%):</w:t>
            </w:r>
          </w:p>
        </w:tc>
        <w:tc>
          <w:tcPr>
            <w:tcW w:w="1080" w:type="dxa"/>
            <w:tcBorders/>
          </w:tcPr>
          <w:p>
            <w:pPr>
              <w:pStyle w:val="Normal"/>
              <w:snapToGrid w:val="false"/>
              <w:ind w:end="-63"/>
              <w:jc w:val="end"/>
              <w:rPr>
                <w:rFonts w:ascii="Arial" w:hAnsi="Arial" w:cs="Arial"/>
                <w:bCs/>
                <w:sz w:val="20"/>
              </w:rPr>
            </w:pPr>
            <w:r>
              <w:rPr>
                <w:rFonts w:cs="Arial" w:ascii="Arial" w:hAnsi="Arial"/>
                <w:bCs/>
                <w:sz w:val="20"/>
              </w:rPr>
            </w:r>
          </w:p>
        </w:tc>
      </w:tr>
      <w:tr>
        <w:trPr>
          <w:trHeight w:val="202" w:hRule="atLeast"/>
        </w:trPr>
        <w:tc>
          <w:tcPr>
            <w:tcW w:w="270" w:type="dxa"/>
            <w:tcBorders/>
            <w:tcMar>
              <w:start w:w="0" w:type="dxa"/>
              <w:end w:w="0" w:type="dxa"/>
            </w:tcMar>
          </w:tcPr>
          <w:p>
            <w:pPr>
              <w:pStyle w:val="Normal"/>
              <w:rPr>
                <w:rFonts w:ascii="Arial" w:hAnsi="Arial" w:cs="Arial"/>
                <w:b/>
                <w:bCs/>
                <w:sz w:val="20"/>
              </w:rPr>
            </w:pPr>
            <w:r>
              <w:rPr>
                <w:rFonts w:cs="Arial" w:ascii="Arial" w:hAnsi="Arial"/>
                <w:b/>
                <w:bCs/>
                <w:sz w:val="20"/>
              </w:rPr>
            </w:r>
          </w:p>
        </w:tc>
        <w:tc>
          <w:tcPr>
            <w:tcW w:w="2790" w:type="dxa"/>
            <w:tcBorders/>
          </w:tcPr>
          <w:p>
            <w:pPr>
              <w:pStyle w:val="Heading9"/>
              <w:widowControl/>
              <w:tabs>
                <w:tab w:val="clear" w:pos="2870"/>
                <w:tab w:val="clear" w:pos="3617"/>
                <w:tab w:val="center" w:pos="2909" w:leader="none"/>
                <w:tab w:val="center" w:pos="4079" w:leader="none"/>
              </w:tabs>
              <w:snapToGrid w:val="false"/>
              <w:ind w:start="0" w:end="-217"/>
              <w:rPr>
                <w:rFonts w:ascii="Arial" w:hAnsi="Arial" w:cs="Arial"/>
                <w:b w:val="false"/>
                <w:sz w:val="20"/>
              </w:rPr>
            </w:pPr>
            <w:r>
              <w:rPr>
                <w:rFonts w:cs="Arial" w:ascii="Arial" w:hAnsi="Arial"/>
                <w:b w:val="false"/>
                <w:sz w:val="20"/>
              </w:rPr>
            </w:r>
          </w:p>
        </w:tc>
        <w:tc>
          <w:tcPr>
            <w:tcW w:w="1260" w:type="dxa"/>
            <w:tcBorders/>
          </w:tcPr>
          <w:p>
            <w:pPr>
              <w:pStyle w:val="Normal"/>
              <w:snapToGrid w:val="false"/>
              <w:jc w:val="end"/>
              <w:rPr>
                <w:rFonts w:ascii="Arial" w:hAnsi="Arial" w:cs="Arial"/>
                <w:b/>
                <w:bCs/>
                <w:sz w:val="20"/>
              </w:rPr>
            </w:pPr>
            <w:r>
              <w:rPr>
                <w:rFonts w:cs="Arial" w:ascii="Arial" w:hAnsi="Arial"/>
                <w:b/>
                <w:bCs/>
                <w:sz w:val="20"/>
              </w:rPr>
            </w:r>
          </w:p>
        </w:tc>
        <w:tc>
          <w:tcPr>
            <w:tcW w:w="144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bCs/>
                <w:sz w:val="20"/>
              </w:rPr>
            </w:pPr>
            <w:r>
              <w:rPr>
                <w:rFonts w:cs="Arial" w:ascii="Arial" w:hAnsi="Arial"/>
                <w:b w:val="false"/>
                <w:bCs/>
                <w:sz w:val="20"/>
              </w:rPr>
            </w:r>
          </w:p>
        </w:tc>
        <w:tc>
          <w:tcPr>
            <w:tcW w:w="720" w:type="dxa"/>
            <w:tcBorders/>
          </w:tcPr>
          <w:p>
            <w:pPr>
              <w:pStyle w:val="Heading9"/>
              <w:widowControl/>
              <w:snapToGrid w:val="false"/>
              <w:ind w:start="0" w:end="-63"/>
              <w:rPr>
                <w:rFonts w:ascii="Arial" w:hAnsi="Arial" w:cs="Arial"/>
                <w:b w:val="false"/>
              </w:rPr>
            </w:pPr>
            <w:r>
              <w:rPr>
                <w:rFonts w:cs="Arial" w:ascii="Arial" w:hAnsi="Arial"/>
                <w:b w:val="false"/>
              </w:rPr>
            </w:r>
          </w:p>
        </w:tc>
        <w:tc>
          <w:tcPr>
            <w:tcW w:w="2700" w:type="dxa"/>
            <w:tcBorders/>
          </w:tcPr>
          <w:p>
            <w:pPr>
              <w:pStyle w:val="Heading9"/>
              <w:widowControl/>
              <w:ind w:start="0" w:end="-63"/>
              <w:rPr>
                <w:rFonts w:ascii="Arial" w:hAnsi="Arial" w:cs="Arial"/>
                <w:b w:val="false"/>
                <w:bCs/>
              </w:rPr>
            </w:pPr>
            <w:r>
              <w:rPr>
                <w:rFonts w:cs="Arial" w:ascii="Arial" w:hAnsi="Arial"/>
                <w:b w:val="false"/>
                <w:bCs/>
              </w:rPr>
              <w:t>Country Premium (%):</w:t>
            </w:r>
          </w:p>
        </w:tc>
        <w:tc>
          <w:tcPr>
            <w:tcW w:w="1080" w:type="dxa"/>
            <w:tcBorders/>
          </w:tcPr>
          <w:p>
            <w:pPr>
              <w:pStyle w:val="Normal"/>
              <w:tabs>
                <w:tab w:val="clear" w:pos="720"/>
                <w:tab w:val="left" w:pos="432" w:leader="none"/>
              </w:tabs>
              <w:snapToGrid w:val="false"/>
              <w:ind w:end="-63"/>
              <w:rPr>
                <w:rFonts w:ascii="Arial" w:hAnsi="Arial" w:cs="Arial"/>
                <w:b w:val="false"/>
                <w:bCs/>
                <w:sz w:val="20"/>
              </w:rPr>
            </w:pPr>
            <w:r>
              <w:rPr>
                <w:rFonts w:cs="Arial" w:ascii="Arial" w:hAnsi="Arial"/>
                <w:b w:val="false"/>
                <w:bCs/>
                <w:sz w:val="20"/>
              </w:rPr>
            </w:r>
          </w:p>
        </w:tc>
      </w:tr>
      <w:tr>
        <w:trPr>
          <w:trHeight w:val="202" w:hRule="atLeast"/>
        </w:trPr>
        <w:tc>
          <w:tcPr>
            <w:tcW w:w="270" w:type="dxa"/>
            <w:tcBorders/>
            <w:tcMar>
              <w:start w:w="0" w:type="dxa"/>
              <w:end w:w="0" w:type="dxa"/>
            </w:tcMar>
          </w:tcPr>
          <w:p>
            <w:pPr>
              <w:pStyle w:val="Normal"/>
              <w:rPr>
                <w:rFonts w:ascii="Arial" w:hAnsi="Arial" w:cs="Arial"/>
                <w:b/>
                <w:bCs/>
                <w:sz w:val="20"/>
              </w:rPr>
            </w:pPr>
            <w:r>
              <w:rPr>
                <w:rFonts w:cs="Arial" w:ascii="Arial" w:hAnsi="Arial"/>
                <w:b/>
                <w:bCs/>
                <w:sz w:val="20"/>
              </w:rPr>
            </w:r>
          </w:p>
        </w:tc>
        <w:tc>
          <w:tcPr>
            <w:tcW w:w="2790" w:type="dxa"/>
            <w:tcBorders>
              <w:bottom w:val="single" w:sz="12" w:space="0" w:color="000000"/>
            </w:tcBorders>
          </w:tcPr>
          <w:p>
            <w:pPr>
              <w:pStyle w:val="Heading9"/>
              <w:widowControl/>
              <w:tabs>
                <w:tab w:val="clear" w:pos="2870"/>
                <w:tab w:val="clear" w:pos="3617"/>
                <w:tab w:val="center" w:pos="2909" w:leader="none"/>
                <w:tab w:val="center" w:pos="4079" w:leader="none"/>
              </w:tabs>
              <w:snapToGrid w:val="false"/>
              <w:ind w:start="0" w:end="-217"/>
              <w:rPr>
                <w:rFonts w:ascii="Arial" w:hAnsi="Arial" w:cs="Arial"/>
                <w:b w:val="false"/>
                <w:sz w:val="20"/>
              </w:rPr>
            </w:pPr>
            <w:r>
              <w:rPr>
                <w:rFonts w:cs="Arial" w:ascii="Arial" w:hAnsi="Arial"/>
                <w:b w:val="false"/>
                <w:sz w:val="20"/>
              </w:rPr>
            </w:r>
          </w:p>
        </w:tc>
        <w:tc>
          <w:tcPr>
            <w:tcW w:w="1260" w:type="dxa"/>
            <w:tcBorders>
              <w:bottom w:val="single" w:sz="12" w:space="0" w:color="000000"/>
            </w:tcBorders>
          </w:tcPr>
          <w:p>
            <w:pPr>
              <w:pStyle w:val="Normal"/>
              <w:snapToGrid w:val="false"/>
              <w:jc w:val="end"/>
              <w:rPr>
                <w:rFonts w:ascii="Arial" w:hAnsi="Arial" w:cs="Arial"/>
                <w:b w:val="false"/>
                <w:sz w:val="20"/>
              </w:rPr>
            </w:pPr>
            <w:r>
              <w:rPr>
                <w:rFonts w:cs="Arial" w:ascii="Arial" w:hAnsi="Arial"/>
                <w:b w:val="false"/>
                <w:sz w:val="20"/>
              </w:rPr>
            </w:r>
          </w:p>
        </w:tc>
        <w:tc>
          <w:tcPr>
            <w:tcW w:w="1440" w:type="dxa"/>
            <w:tcBorders>
              <w:bottom w:val="single" w:sz="12" w:space="0" w:color="000000"/>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720" w:type="dxa"/>
            <w:tcBorders/>
          </w:tcPr>
          <w:p>
            <w:pPr>
              <w:pStyle w:val="Heading9"/>
              <w:widowControl/>
              <w:snapToGrid w:val="false"/>
              <w:ind w:start="0" w:end="-63"/>
              <w:rPr>
                <w:rFonts w:ascii="Arial" w:hAnsi="Arial" w:cs="Arial"/>
                <w:b w:val="false"/>
              </w:rPr>
            </w:pPr>
            <w:r>
              <w:rPr>
                <w:rFonts w:cs="Arial" w:ascii="Arial" w:hAnsi="Arial"/>
                <w:b w:val="false"/>
              </w:rPr>
            </w:r>
          </w:p>
        </w:tc>
        <w:tc>
          <w:tcPr>
            <w:tcW w:w="2700" w:type="dxa"/>
            <w:tcBorders/>
          </w:tcPr>
          <w:p>
            <w:pPr>
              <w:pStyle w:val="Heading9"/>
              <w:widowControl/>
              <w:ind w:start="0" w:end="-63"/>
              <w:rPr>
                <w:rFonts w:ascii="Arial" w:hAnsi="Arial" w:cs="Arial"/>
                <w:b w:val="false"/>
              </w:rPr>
            </w:pPr>
            <w:r>
              <w:rPr>
                <w:rFonts w:cs="Arial" w:ascii="Arial" w:hAnsi="Arial"/>
                <w:b w:val="false"/>
              </w:rPr>
              <w:t>Transaction-Specific (%):</w:t>
            </w:r>
          </w:p>
        </w:tc>
        <w:tc>
          <w:tcPr>
            <w:tcW w:w="1080" w:type="dxa"/>
            <w:tcBorders/>
          </w:tcPr>
          <w:p>
            <w:pPr>
              <w:pStyle w:val="Normal"/>
              <w:tabs>
                <w:tab w:val="clear" w:pos="720"/>
                <w:tab w:val="left" w:pos="432" w:leader="none"/>
              </w:tabs>
              <w:ind w:end="-63"/>
              <w:jc w:val="end"/>
              <w:rPr>
                <w:rFonts w:ascii="Arial" w:hAnsi="Arial" w:cs="Arial"/>
                <w:bCs/>
                <w:sz w:val="20"/>
              </w:rPr>
            </w:pPr>
            <w:r>
              <w:rPr>
                <w:rFonts w:cs="Arial" w:ascii="Arial" w:hAnsi="Arial"/>
                <w:bCs/>
                <w:sz w:val="20"/>
              </w:rPr>
              <w:t>2.67</w:t>
            </w:r>
          </w:p>
        </w:tc>
      </w:tr>
      <w:tr>
        <w:trPr>
          <w:trHeight w:val="195" w:hRule="atLeast"/>
        </w:trPr>
        <w:tc>
          <w:tcPr>
            <w:tcW w:w="270" w:type="dxa"/>
            <w:tcBorders/>
            <w:tcMar>
              <w:start w:w="0" w:type="dxa"/>
              <w:end w:w="0" w:type="dxa"/>
            </w:tcMar>
          </w:tcPr>
          <w:p>
            <w:pPr>
              <w:pStyle w:val="Normal"/>
              <w:rPr>
                <w:rFonts w:ascii="Arial" w:hAnsi="Arial" w:cs="Arial"/>
                <w:b/>
                <w:bCs/>
                <w:sz w:val="20"/>
              </w:rPr>
            </w:pPr>
            <w:r>
              <w:rPr>
                <w:rFonts w:cs="Arial" w:ascii="Arial" w:hAnsi="Arial"/>
                <w:b/>
                <w:bCs/>
                <w:sz w:val="20"/>
              </w:rPr>
            </w:r>
          </w:p>
        </w:tc>
        <w:tc>
          <w:tcPr>
            <w:tcW w:w="279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NPV as of 12/31/2002</w:t>
            </w:r>
          </w:p>
        </w:tc>
        <w:tc>
          <w:tcPr>
            <w:tcW w:w="1260" w:type="dxa"/>
            <w:tcBorders>
              <w:top w:val="single" w:sz="12" w:space="0" w:color="000000"/>
              <w:bottom w:val="single" w:sz="12" w:space="0" w:color="000000"/>
            </w:tcBorders>
          </w:tcPr>
          <w:p>
            <w:pPr>
              <w:pStyle w:val="Normal"/>
              <w:jc w:val="end"/>
              <w:rPr>
                <w:rFonts w:ascii="Arial" w:hAnsi="Arial" w:cs="Arial"/>
                <w:b/>
                <w:bCs/>
                <w:sz w:val="20"/>
              </w:rPr>
            </w:pPr>
            <w:r>
              <w:rPr>
                <w:rFonts w:cs="Arial" w:ascii="Arial" w:hAnsi="Arial"/>
                <w:b/>
                <w:bCs/>
                <w:sz w:val="20"/>
              </w:rPr>
              <w:t>(21,929)</w:t>
            </w:r>
          </w:p>
        </w:tc>
        <w:tc>
          <w:tcPr>
            <w:tcW w:w="144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snapToGrid w:val="false"/>
              <w:ind w:start="0" w:end="-108"/>
              <w:jc w:val="center"/>
              <w:rPr>
                <w:rFonts w:ascii="Arial" w:hAnsi="Arial" w:cs="Arial"/>
                <w:b/>
                <w:bCs/>
                <w:sz w:val="20"/>
              </w:rPr>
            </w:pPr>
            <w:r>
              <w:rPr>
                <w:rFonts w:cs="Arial" w:ascii="Arial" w:hAnsi="Arial"/>
                <w:b/>
                <w:bCs/>
                <w:sz w:val="20"/>
              </w:rPr>
            </w:r>
          </w:p>
        </w:tc>
        <w:tc>
          <w:tcPr>
            <w:tcW w:w="720" w:type="dxa"/>
            <w:tcBorders/>
          </w:tcPr>
          <w:p>
            <w:pPr>
              <w:pStyle w:val="Heading9"/>
              <w:widowControl/>
              <w:snapToGrid w:val="false"/>
              <w:ind w:start="0" w:end="-108"/>
              <w:rPr>
                <w:rFonts w:ascii="Arial" w:hAnsi="Arial" w:cs="Arial"/>
              </w:rPr>
            </w:pPr>
            <w:r>
              <w:rPr>
                <w:rFonts w:cs="Arial" w:ascii="Arial" w:hAnsi="Arial"/>
              </w:rPr>
            </w:r>
          </w:p>
        </w:tc>
        <w:tc>
          <w:tcPr>
            <w:tcW w:w="2700" w:type="dxa"/>
            <w:tcBorders>
              <w:top w:val="single" w:sz="12" w:space="0" w:color="000000"/>
              <w:start w:val="single" w:sz="4" w:space="0" w:color="000000"/>
              <w:bottom w:val="single" w:sz="12" w:space="0" w:color="000000"/>
            </w:tcBorders>
          </w:tcPr>
          <w:p>
            <w:pPr>
              <w:pStyle w:val="Heading9"/>
              <w:widowControl/>
              <w:ind w:start="0" w:end="72"/>
              <w:rPr>
                <w:rFonts w:ascii="Arial" w:hAnsi="Arial" w:cs="Arial"/>
              </w:rPr>
            </w:pPr>
            <w:r>
              <w:rPr>
                <w:rFonts w:cs="Arial" w:ascii="Arial" w:hAnsi="Arial"/>
              </w:rPr>
              <w:t>RAC CAPITAL PRICE:</w:t>
            </w:r>
          </w:p>
        </w:tc>
        <w:tc>
          <w:tcPr>
            <w:tcW w:w="1080" w:type="dxa"/>
            <w:tcBorders>
              <w:top w:val="single" w:sz="12" w:space="0" w:color="000000"/>
              <w:bottom w:val="single" w:sz="12" w:space="0" w:color="000000"/>
              <w:end w:val="single" w:sz="12" w:space="0" w:color="000000"/>
            </w:tcBorders>
          </w:tcPr>
          <w:p>
            <w:pPr>
              <w:pStyle w:val="Normal"/>
              <w:tabs>
                <w:tab w:val="clear" w:pos="720"/>
                <w:tab w:val="left" w:pos="432" w:leader="none"/>
              </w:tabs>
              <w:ind w:end="-63"/>
              <w:jc w:val="end"/>
              <w:rPr>
                <w:rFonts w:ascii="Arial" w:hAnsi="Arial" w:cs="Arial"/>
                <w:b/>
                <w:bCs/>
                <w:sz w:val="20"/>
              </w:rPr>
            </w:pPr>
            <w:r>
              <w:rPr>
                <w:rFonts w:cs="Arial" w:ascii="Arial" w:hAnsi="Arial"/>
                <w:b/>
                <w:bCs/>
                <w:sz w:val="20"/>
              </w:rPr>
              <w:t>12.00%</w:t>
            </w:r>
          </w:p>
        </w:tc>
      </w:tr>
    </w:tbl>
    <w:p>
      <w:pPr>
        <w:pStyle w:val="Normal"/>
        <w:rPr>
          <w:rFonts w:ascii="Arial" w:hAnsi="Arial" w:cs="Arial"/>
          <w:sz w:val="20"/>
        </w:rPr>
      </w:pPr>
      <w:r>
        <w:rPr>
          <w:rFonts w:cs="Arial" w:ascii="Arial" w:hAnsi="Arial"/>
          <w:sz w:val="20"/>
        </w:rPr>
      </w:r>
    </w:p>
    <w:tbl>
      <w:tblPr>
        <w:tblW w:w="10219" w:type="dxa"/>
        <w:jc w:val="start"/>
        <w:tblInd w:w="108" w:type="dxa"/>
        <w:tblLayout w:type="fixed"/>
        <w:tblCellMar>
          <w:top w:w="0" w:type="dxa"/>
          <w:start w:w="108" w:type="dxa"/>
          <w:bottom w:w="0" w:type="dxa"/>
          <w:end w:w="108" w:type="dxa"/>
        </w:tblCellMar>
      </w:tblPr>
      <w:tblGrid>
        <w:gridCol w:w="237"/>
        <w:gridCol w:w="2823"/>
        <w:gridCol w:w="1260"/>
        <w:gridCol w:w="1440"/>
        <w:gridCol w:w="720"/>
        <w:gridCol w:w="2768"/>
        <w:gridCol w:w="971"/>
      </w:tblGrid>
      <w:tr>
        <w:trPr>
          <w:trHeight w:val="342" w:hRule="atLeast"/>
        </w:trPr>
        <w:tc>
          <w:tcPr>
            <w:tcW w:w="10219" w:type="dxa"/>
            <w:gridSpan w:val="7"/>
            <w:tcBorders/>
          </w:tcPr>
          <w:p>
            <w:pPr>
              <w:pStyle w:val="Normal"/>
              <w:rPr>
                <w:rFonts w:ascii="Arial" w:hAnsi="Arial" w:cs="Arial"/>
                <w:sz w:val="20"/>
              </w:rPr>
            </w:pPr>
            <w:r>
              <w:rPr>
                <w:rFonts w:cs="Arial" w:ascii="Arial" w:hAnsi="Arial"/>
                <w:b/>
                <w:bCs/>
                <w:iCs/>
                <w:sz w:val="20"/>
              </w:rPr>
              <w:t xml:space="preserve">UNLEVERED PROJECT RETURN SUMMARY – </w:t>
            </w:r>
            <w:r>
              <w:rPr>
                <w:rFonts w:cs="Arial" w:ascii="Arial" w:hAnsi="Arial"/>
                <w:b/>
                <w:bCs/>
                <w:i/>
                <w:sz w:val="20"/>
              </w:rPr>
              <w:t>50% projected CPI inflation on HENWOOD Curves</w:t>
            </w:r>
          </w:p>
        </w:tc>
      </w:tr>
      <w:tr>
        <w:trPr>
          <w:trHeight w:val="360" w:hRule="atLeast"/>
        </w:trPr>
        <w:tc>
          <w:tcPr>
            <w:tcW w:w="237" w:type="dxa"/>
            <w:tcBorders/>
            <w:tcMar>
              <w:start w:w="0" w:type="dxa"/>
              <w:end w:w="0" w:type="dxa"/>
            </w:tcMar>
          </w:tcPr>
          <w:p>
            <w:pPr>
              <w:pStyle w:val="Normal"/>
              <w:rPr>
                <w:rFonts w:ascii="Arial" w:hAnsi="Arial" w:cs="Arial"/>
                <w:sz w:val="20"/>
              </w:rPr>
            </w:pPr>
            <w:r>
              <w:rPr>
                <w:rFonts w:cs="Arial" w:ascii="Arial" w:hAnsi="Arial"/>
                <w:sz w:val="20"/>
              </w:rPr>
            </w:r>
          </w:p>
        </w:tc>
        <w:tc>
          <w:tcPr>
            <w:tcW w:w="2823" w:type="dxa"/>
            <w:tcBorders/>
          </w:tcPr>
          <w:p>
            <w:pPr>
              <w:pStyle w:val="Normal"/>
              <w:snapToGrid w:val="false"/>
              <w:rPr>
                <w:rFonts w:ascii="Arial" w:hAnsi="Arial" w:cs="Arial"/>
                <w:sz w:val="20"/>
              </w:rPr>
            </w:pPr>
            <w:r>
              <w:rPr>
                <w:rFonts w:cs="Arial" w:ascii="Arial" w:hAnsi="Arial"/>
                <w:sz w:val="20"/>
              </w:rPr>
            </w:r>
          </w:p>
          <w:p>
            <w:pPr>
              <w:pStyle w:val="Normal"/>
              <w:rPr>
                <w:rFonts w:ascii="Arial" w:hAnsi="Arial" w:cs="Arial"/>
                <w:sz w:val="20"/>
                <w:u w:val="single"/>
              </w:rPr>
            </w:pPr>
            <w:r>
              <w:rPr>
                <w:rFonts w:cs="Arial" w:ascii="Arial" w:hAnsi="Arial"/>
                <w:sz w:val="20"/>
                <w:u w:val="single"/>
              </w:rPr>
              <w:t>Return Components:</w:t>
            </w:r>
          </w:p>
        </w:tc>
        <w:tc>
          <w:tcPr>
            <w:tcW w:w="1260" w:type="dxa"/>
            <w:tcBorders/>
          </w:tcPr>
          <w:p>
            <w:pPr>
              <w:pStyle w:val="Normal"/>
              <w:ind w:end="-63"/>
              <w:jc w:val="center"/>
              <w:rPr>
                <w:rFonts w:ascii="Arial" w:hAnsi="Arial" w:cs="Arial"/>
                <w:sz w:val="19"/>
              </w:rPr>
            </w:pPr>
            <w:r>
              <w:rPr>
                <w:rFonts w:cs="Arial" w:ascii="Arial" w:hAnsi="Arial"/>
                <w:sz w:val="19"/>
              </w:rPr>
              <w:t>PV @</w:t>
            </w:r>
          </w:p>
          <w:p>
            <w:pPr>
              <w:pStyle w:val="Normal"/>
              <w:ind w:end="-63"/>
              <w:jc w:val="center"/>
              <w:rPr>
                <w:rFonts w:ascii="Arial" w:hAnsi="Arial" w:cs="Arial"/>
                <w:sz w:val="20"/>
                <w:u w:val="single"/>
              </w:rPr>
            </w:pPr>
            <w:r>
              <w:rPr>
                <w:rFonts w:cs="Arial" w:ascii="Arial" w:hAnsi="Arial"/>
                <w:sz w:val="19"/>
                <w:u w:val="single"/>
              </w:rPr>
              <w:t>Capital Price</w:t>
            </w:r>
          </w:p>
        </w:tc>
        <w:tc>
          <w:tcPr>
            <w:tcW w:w="1440" w:type="dxa"/>
            <w:tcBorders/>
          </w:tcPr>
          <w:p>
            <w:pPr>
              <w:pStyle w:val="Heading3"/>
              <w:widowControl/>
              <w:ind w:end="-63"/>
              <w:jc w:val="center"/>
              <w:rPr>
                <w:rFonts w:ascii="Arial" w:hAnsi="Arial" w:cs="Arial"/>
                <w:b w:val="false"/>
              </w:rPr>
            </w:pPr>
            <w:r>
              <w:rPr>
                <w:rFonts w:cs="Arial" w:ascii="Arial" w:hAnsi="Arial"/>
                <w:b w:val="false"/>
              </w:rPr>
              <w:t>Cumulative</w:t>
            </w:r>
          </w:p>
          <w:p>
            <w:pPr>
              <w:pStyle w:val="Heading3"/>
              <w:widowControl/>
              <w:ind w:end="-63"/>
              <w:jc w:val="center"/>
              <w:rPr>
                <w:rFonts w:ascii="Arial" w:hAnsi="Arial" w:cs="Arial"/>
                <w:b w:val="false"/>
              </w:rPr>
            </w:pPr>
            <w:r>
              <w:rPr>
                <w:rFonts w:cs="Arial" w:ascii="Arial" w:hAnsi="Arial"/>
                <w:b w:val="false"/>
                <w:u w:val="single"/>
              </w:rPr>
              <w:t>IRR</w:t>
            </w:r>
          </w:p>
        </w:tc>
        <w:tc>
          <w:tcPr>
            <w:tcW w:w="720" w:type="dxa"/>
            <w:tcBorders/>
          </w:tcPr>
          <w:p>
            <w:pPr>
              <w:pStyle w:val="Heading3"/>
              <w:widowControl/>
              <w:snapToGrid w:val="false"/>
              <w:ind w:end="-63"/>
              <w:rPr>
                <w:rFonts w:ascii="Arial" w:hAnsi="Arial" w:cs="Arial"/>
                <w:b w:val="false"/>
              </w:rPr>
            </w:pPr>
            <w:r>
              <w:rPr>
                <w:rFonts w:cs="Arial" w:ascii="Arial" w:hAnsi="Arial"/>
                <w:b w:val="false"/>
              </w:rPr>
            </w:r>
          </w:p>
        </w:tc>
        <w:tc>
          <w:tcPr>
            <w:tcW w:w="2768" w:type="dxa"/>
            <w:tcBorders/>
          </w:tcPr>
          <w:p>
            <w:pPr>
              <w:pStyle w:val="Heading3"/>
              <w:widowControl/>
              <w:snapToGrid w:val="false"/>
              <w:ind w:end="-63"/>
              <w:rPr>
                <w:rFonts w:ascii="Arial" w:hAnsi="Arial" w:cs="Arial"/>
                <w:b w:val="false"/>
              </w:rPr>
            </w:pPr>
            <w:r>
              <w:rPr>
                <w:rFonts w:cs="Arial" w:ascii="Arial" w:hAnsi="Arial"/>
                <w:b w:val="false"/>
              </w:rPr>
            </w:r>
          </w:p>
          <w:p>
            <w:pPr>
              <w:pStyle w:val="Normal"/>
              <w:rPr>
                <w:rFonts w:ascii="Arial" w:hAnsi="Arial" w:cs="Arial"/>
                <w:sz w:val="20"/>
              </w:rPr>
            </w:pPr>
            <w:r>
              <w:rPr>
                <w:rFonts w:cs="Arial" w:ascii="Arial" w:hAnsi="Arial"/>
                <w:sz w:val="20"/>
                <w:u w:val="single"/>
              </w:rPr>
              <w:t>Capital Price Components</w:t>
            </w:r>
          </w:p>
        </w:tc>
        <w:tc>
          <w:tcPr>
            <w:tcW w:w="971" w:type="dxa"/>
            <w:tcBorders/>
          </w:tcPr>
          <w:p>
            <w:pPr>
              <w:pStyle w:val="Normal"/>
              <w:snapToGrid w:val="false"/>
              <w:ind w:end="-63"/>
              <w:rPr>
                <w:rFonts w:ascii="Arial" w:hAnsi="Arial" w:cs="Arial"/>
                <w:sz w:val="20"/>
              </w:rPr>
            </w:pPr>
            <w:r>
              <w:rPr>
                <w:rFonts w:cs="Arial" w:ascii="Arial" w:hAnsi="Arial"/>
                <w:sz w:val="20"/>
              </w:rPr>
            </w:r>
          </w:p>
        </w:tc>
      </w:tr>
      <w:tr>
        <w:trPr>
          <w:trHeight w:val="162" w:hRule="atLeast"/>
        </w:trPr>
        <w:tc>
          <w:tcPr>
            <w:tcW w:w="237" w:type="dxa"/>
            <w:tcBorders/>
            <w:tcMar>
              <w:start w:w="0" w:type="dxa"/>
              <w:end w:w="0" w:type="dxa"/>
            </w:tcMar>
          </w:tcPr>
          <w:p>
            <w:pPr>
              <w:pStyle w:val="Normal"/>
              <w:rPr>
                <w:rFonts w:ascii="Arial" w:hAnsi="Arial" w:cs="Arial"/>
                <w:b/>
                <w:sz w:val="20"/>
              </w:rPr>
            </w:pPr>
            <w:r>
              <w:rPr>
                <w:rFonts w:cs="Arial" w:ascii="Arial" w:hAnsi="Arial"/>
                <w:b/>
                <w:sz w:val="20"/>
              </w:rPr>
            </w:r>
          </w:p>
        </w:tc>
        <w:tc>
          <w:tcPr>
            <w:tcW w:w="2823"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Cash Outflows</w:t>
            </w:r>
          </w:p>
        </w:tc>
        <w:tc>
          <w:tcPr>
            <w:tcW w:w="1260" w:type="dxa"/>
            <w:tcBorders/>
          </w:tcPr>
          <w:p>
            <w:pPr>
              <w:pStyle w:val="Normal"/>
              <w:jc w:val="end"/>
              <w:rPr>
                <w:rFonts w:ascii="Arial" w:hAnsi="Arial" w:cs="Arial"/>
                <w:sz w:val="20"/>
              </w:rPr>
            </w:pPr>
            <w:r>
              <w:rPr>
                <w:rFonts w:cs="Arial" w:ascii="Arial" w:hAnsi="Arial"/>
                <w:sz w:val="20"/>
              </w:rPr>
              <w:t>(477,841)</w:t>
            </w:r>
          </w:p>
        </w:tc>
        <w:tc>
          <w:tcPr>
            <w:tcW w:w="144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720" w:type="dxa"/>
            <w:tcBorders/>
          </w:tcPr>
          <w:p>
            <w:pPr>
              <w:pStyle w:val="Heading9"/>
              <w:widowControl/>
              <w:snapToGrid w:val="false"/>
              <w:ind w:start="0" w:end="-63"/>
              <w:rPr>
                <w:rFonts w:ascii="Arial" w:hAnsi="Arial" w:cs="Arial"/>
                <w:b w:val="false"/>
              </w:rPr>
            </w:pPr>
            <w:r>
              <w:rPr>
                <w:rFonts w:cs="Arial" w:ascii="Arial" w:hAnsi="Arial"/>
                <w:b w:val="false"/>
              </w:rPr>
            </w:r>
          </w:p>
        </w:tc>
        <w:tc>
          <w:tcPr>
            <w:tcW w:w="2768" w:type="dxa"/>
            <w:tcBorders/>
          </w:tcPr>
          <w:p>
            <w:pPr>
              <w:pStyle w:val="Heading9"/>
              <w:widowControl/>
              <w:ind w:start="0" w:end="-63"/>
              <w:rPr>
                <w:rFonts w:ascii="Arial" w:hAnsi="Arial" w:cs="Arial"/>
                <w:b w:val="false"/>
              </w:rPr>
            </w:pPr>
            <w:r>
              <w:rPr>
                <w:rFonts w:cs="Arial" w:ascii="Arial" w:hAnsi="Arial"/>
                <w:b w:val="false"/>
              </w:rPr>
              <w:t>Risk free rate (%):</w:t>
            </w:r>
          </w:p>
        </w:tc>
        <w:tc>
          <w:tcPr>
            <w:tcW w:w="971" w:type="dxa"/>
            <w:tcBorders/>
          </w:tcPr>
          <w:p>
            <w:pPr>
              <w:pStyle w:val="Normal"/>
              <w:ind w:end="-69"/>
              <w:jc w:val="end"/>
              <w:rPr>
                <w:rFonts w:ascii="Arial" w:hAnsi="Arial" w:cs="Arial"/>
                <w:bCs/>
                <w:sz w:val="20"/>
              </w:rPr>
            </w:pPr>
            <w:r>
              <w:rPr>
                <w:rFonts w:cs="Arial" w:ascii="Arial" w:hAnsi="Arial"/>
                <w:bCs/>
                <w:sz w:val="20"/>
              </w:rPr>
              <w:t>5.77</w:t>
            </w:r>
          </w:p>
        </w:tc>
      </w:tr>
      <w:tr>
        <w:trPr>
          <w:trHeight w:val="189" w:hRule="atLeast"/>
        </w:trPr>
        <w:tc>
          <w:tcPr>
            <w:tcW w:w="237" w:type="dxa"/>
            <w:tcBorders/>
            <w:tcMar>
              <w:start w:w="0" w:type="dxa"/>
              <w:end w:w="0" w:type="dxa"/>
            </w:tcMar>
          </w:tcPr>
          <w:p>
            <w:pPr>
              <w:pStyle w:val="Normal"/>
              <w:rPr>
                <w:rFonts w:ascii="Arial" w:hAnsi="Arial" w:cs="Arial"/>
                <w:b/>
                <w:bCs/>
                <w:sz w:val="20"/>
              </w:rPr>
            </w:pPr>
            <w:r>
              <w:rPr>
                <w:rFonts w:cs="Arial" w:ascii="Arial" w:hAnsi="Arial"/>
                <w:b/>
                <w:bCs/>
                <w:sz w:val="20"/>
              </w:rPr>
            </w:r>
          </w:p>
        </w:tc>
        <w:tc>
          <w:tcPr>
            <w:tcW w:w="2823"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Intermed. Cash Flows</w:t>
            </w:r>
          </w:p>
        </w:tc>
        <w:tc>
          <w:tcPr>
            <w:tcW w:w="1260" w:type="dxa"/>
            <w:tcBorders/>
          </w:tcPr>
          <w:p>
            <w:pPr>
              <w:pStyle w:val="Normal"/>
              <w:jc w:val="end"/>
              <w:rPr>
                <w:rFonts w:ascii="Arial" w:hAnsi="Arial" w:cs="Arial"/>
                <w:sz w:val="20"/>
              </w:rPr>
            </w:pPr>
            <w:r>
              <w:rPr>
                <w:rFonts w:cs="Arial" w:ascii="Arial" w:hAnsi="Arial"/>
                <w:sz w:val="20"/>
              </w:rPr>
              <w:t>495,895</w:t>
            </w:r>
          </w:p>
        </w:tc>
        <w:tc>
          <w:tcPr>
            <w:tcW w:w="144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720" w:type="dxa"/>
            <w:tcBorders/>
          </w:tcPr>
          <w:p>
            <w:pPr>
              <w:pStyle w:val="Heading9"/>
              <w:widowControl/>
              <w:snapToGrid w:val="false"/>
              <w:ind w:start="0" w:end="-63"/>
              <w:rPr>
                <w:rFonts w:ascii="Arial" w:hAnsi="Arial" w:cs="Arial"/>
                <w:b w:val="false"/>
              </w:rPr>
            </w:pPr>
            <w:r>
              <w:rPr>
                <w:rFonts w:cs="Arial" w:ascii="Arial" w:hAnsi="Arial"/>
                <w:b w:val="false"/>
              </w:rPr>
            </w:r>
          </w:p>
        </w:tc>
        <w:tc>
          <w:tcPr>
            <w:tcW w:w="2768" w:type="dxa"/>
            <w:tcBorders/>
          </w:tcPr>
          <w:p>
            <w:pPr>
              <w:pStyle w:val="Heading9"/>
              <w:widowControl/>
              <w:ind w:start="0" w:end="-63"/>
              <w:rPr>
                <w:rFonts w:ascii="Arial" w:hAnsi="Arial" w:cs="Arial"/>
                <w:b w:val="false"/>
              </w:rPr>
            </w:pPr>
            <w:r>
              <w:rPr>
                <w:rFonts w:cs="Arial" w:ascii="Arial" w:hAnsi="Arial"/>
                <w:b w:val="false"/>
              </w:rPr>
              <w:t>Equity Premium (%):</w:t>
            </w:r>
          </w:p>
        </w:tc>
        <w:tc>
          <w:tcPr>
            <w:tcW w:w="971" w:type="dxa"/>
            <w:tcBorders/>
          </w:tcPr>
          <w:p>
            <w:pPr>
              <w:pStyle w:val="Normal"/>
              <w:ind w:end="-69"/>
              <w:jc w:val="end"/>
              <w:rPr>
                <w:rFonts w:ascii="Arial" w:hAnsi="Arial" w:cs="Arial"/>
                <w:bCs/>
                <w:sz w:val="20"/>
              </w:rPr>
            </w:pPr>
            <w:r>
              <w:rPr>
                <w:rFonts w:cs="Arial" w:ascii="Arial" w:hAnsi="Arial"/>
                <w:bCs/>
                <w:sz w:val="20"/>
              </w:rPr>
              <w:t>3.56</w:t>
            </w:r>
          </w:p>
        </w:tc>
      </w:tr>
      <w:tr>
        <w:trPr>
          <w:trHeight w:val="207" w:hRule="atLeast"/>
        </w:trPr>
        <w:tc>
          <w:tcPr>
            <w:tcW w:w="237" w:type="dxa"/>
            <w:tcBorders/>
            <w:tcMar>
              <w:start w:w="0" w:type="dxa"/>
              <w:end w:w="0" w:type="dxa"/>
            </w:tcMar>
          </w:tcPr>
          <w:p>
            <w:pPr>
              <w:pStyle w:val="Normal"/>
              <w:rPr>
                <w:rFonts w:ascii="Arial" w:hAnsi="Arial" w:cs="Arial"/>
                <w:b/>
                <w:bCs/>
                <w:sz w:val="20"/>
              </w:rPr>
            </w:pPr>
            <w:r>
              <w:rPr>
                <w:rFonts w:cs="Arial" w:ascii="Arial" w:hAnsi="Arial"/>
                <w:b/>
                <w:bCs/>
                <w:sz w:val="20"/>
              </w:rPr>
            </w:r>
          </w:p>
        </w:tc>
        <w:tc>
          <w:tcPr>
            <w:tcW w:w="2823"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Terminal Value</w:t>
            </w:r>
          </w:p>
        </w:tc>
        <w:tc>
          <w:tcPr>
            <w:tcW w:w="1260" w:type="dxa"/>
            <w:tcBorders/>
          </w:tcPr>
          <w:p>
            <w:pPr>
              <w:pStyle w:val="Normal"/>
              <w:jc w:val="end"/>
              <w:rPr>
                <w:rFonts w:ascii="Arial" w:hAnsi="Arial" w:cs="Arial"/>
                <w:sz w:val="20"/>
              </w:rPr>
            </w:pPr>
            <w:r>
              <w:rPr>
                <w:rFonts w:cs="Arial" w:ascii="Arial" w:hAnsi="Arial"/>
                <w:sz w:val="20"/>
              </w:rPr>
              <w:t>44,250</w:t>
            </w:r>
          </w:p>
        </w:tc>
        <w:tc>
          <w:tcPr>
            <w:tcW w:w="144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720" w:type="dxa"/>
            <w:tcBorders/>
          </w:tcPr>
          <w:p>
            <w:pPr>
              <w:pStyle w:val="Normal"/>
              <w:snapToGrid w:val="false"/>
              <w:ind w:end="-63"/>
              <w:rPr>
                <w:rFonts w:ascii="Arial" w:hAnsi="Arial" w:cs="Arial"/>
                <w:b w:val="false"/>
                <w:sz w:val="20"/>
              </w:rPr>
            </w:pPr>
            <w:r>
              <w:rPr>
                <w:rFonts w:cs="Arial" w:ascii="Arial" w:hAnsi="Arial"/>
                <w:b w:val="false"/>
                <w:sz w:val="20"/>
              </w:rPr>
            </w:r>
          </w:p>
        </w:tc>
        <w:tc>
          <w:tcPr>
            <w:tcW w:w="2768" w:type="dxa"/>
            <w:tcBorders/>
          </w:tcPr>
          <w:p>
            <w:pPr>
              <w:pStyle w:val="Normal"/>
              <w:ind w:end="-63"/>
              <w:rPr>
                <w:rFonts w:ascii="Arial" w:hAnsi="Arial" w:cs="Arial"/>
                <w:bCs/>
                <w:sz w:val="20"/>
              </w:rPr>
            </w:pPr>
            <w:r>
              <w:rPr>
                <w:rFonts w:cs="Arial" w:ascii="Arial" w:hAnsi="Arial"/>
                <w:bCs/>
                <w:sz w:val="20"/>
              </w:rPr>
              <w:t>Credit Premium (%):</w:t>
            </w:r>
          </w:p>
        </w:tc>
        <w:tc>
          <w:tcPr>
            <w:tcW w:w="971" w:type="dxa"/>
            <w:tcBorders/>
          </w:tcPr>
          <w:p>
            <w:pPr>
              <w:pStyle w:val="Normal"/>
              <w:snapToGrid w:val="false"/>
              <w:ind w:end="-63"/>
              <w:jc w:val="end"/>
              <w:rPr>
                <w:rFonts w:ascii="Arial" w:hAnsi="Arial" w:cs="Arial"/>
                <w:bCs/>
                <w:sz w:val="20"/>
              </w:rPr>
            </w:pPr>
            <w:r>
              <w:rPr>
                <w:rFonts w:cs="Arial" w:ascii="Arial" w:hAnsi="Arial"/>
                <w:bCs/>
                <w:sz w:val="20"/>
              </w:rPr>
            </w:r>
          </w:p>
        </w:tc>
      </w:tr>
      <w:tr>
        <w:trPr>
          <w:trHeight w:val="202" w:hRule="atLeast"/>
        </w:trPr>
        <w:tc>
          <w:tcPr>
            <w:tcW w:w="237" w:type="dxa"/>
            <w:tcBorders/>
            <w:tcMar>
              <w:start w:w="0" w:type="dxa"/>
              <w:end w:w="0" w:type="dxa"/>
            </w:tcMar>
          </w:tcPr>
          <w:p>
            <w:pPr>
              <w:pStyle w:val="Normal"/>
              <w:rPr>
                <w:rFonts w:ascii="Arial" w:hAnsi="Arial" w:cs="Arial"/>
                <w:b/>
                <w:bCs/>
                <w:sz w:val="20"/>
              </w:rPr>
            </w:pPr>
            <w:r>
              <w:rPr>
                <w:rFonts w:cs="Arial" w:ascii="Arial" w:hAnsi="Arial"/>
                <w:b/>
                <w:bCs/>
                <w:sz w:val="20"/>
              </w:rPr>
            </w:r>
          </w:p>
        </w:tc>
        <w:tc>
          <w:tcPr>
            <w:tcW w:w="2823" w:type="dxa"/>
            <w:tcBorders/>
          </w:tcPr>
          <w:p>
            <w:pPr>
              <w:pStyle w:val="Heading9"/>
              <w:widowControl/>
              <w:tabs>
                <w:tab w:val="clear" w:pos="2870"/>
                <w:tab w:val="clear" w:pos="3617"/>
                <w:tab w:val="center" w:pos="2909" w:leader="none"/>
                <w:tab w:val="center" w:pos="4079" w:leader="none"/>
              </w:tabs>
              <w:snapToGrid w:val="false"/>
              <w:ind w:start="0" w:end="-217"/>
              <w:rPr>
                <w:rFonts w:ascii="Arial" w:hAnsi="Arial" w:cs="Arial"/>
                <w:b w:val="false"/>
                <w:sz w:val="20"/>
              </w:rPr>
            </w:pPr>
            <w:r>
              <w:rPr>
                <w:rFonts w:cs="Arial" w:ascii="Arial" w:hAnsi="Arial"/>
                <w:b w:val="false"/>
                <w:sz w:val="20"/>
              </w:rPr>
            </w:r>
          </w:p>
        </w:tc>
        <w:tc>
          <w:tcPr>
            <w:tcW w:w="1260" w:type="dxa"/>
            <w:tcBorders/>
          </w:tcPr>
          <w:p>
            <w:pPr>
              <w:pStyle w:val="Normal"/>
              <w:snapToGrid w:val="false"/>
              <w:jc w:val="end"/>
              <w:rPr>
                <w:rFonts w:ascii="Arial" w:hAnsi="Arial" w:cs="Arial"/>
                <w:b/>
                <w:bCs/>
                <w:sz w:val="20"/>
              </w:rPr>
            </w:pPr>
            <w:r>
              <w:rPr>
                <w:rFonts w:cs="Arial" w:ascii="Arial" w:hAnsi="Arial"/>
                <w:b/>
                <w:bCs/>
                <w:sz w:val="20"/>
              </w:rPr>
            </w:r>
          </w:p>
        </w:tc>
        <w:tc>
          <w:tcPr>
            <w:tcW w:w="144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bCs/>
                <w:sz w:val="20"/>
              </w:rPr>
            </w:pPr>
            <w:r>
              <w:rPr>
                <w:rFonts w:cs="Arial" w:ascii="Arial" w:hAnsi="Arial"/>
                <w:b w:val="false"/>
                <w:bCs/>
                <w:sz w:val="20"/>
              </w:rPr>
            </w:r>
          </w:p>
        </w:tc>
        <w:tc>
          <w:tcPr>
            <w:tcW w:w="720" w:type="dxa"/>
            <w:tcBorders/>
          </w:tcPr>
          <w:p>
            <w:pPr>
              <w:pStyle w:val="Heading9"/>
              <w:widowControl/>
              <w:snapToGrid w:val="false"/>
              <w:ind w:start="0" w:end="-63"/>
              <w:rPr>
                <w:rFonts w:ascii="Arial" w:hAnsi="Arial" w:cs="Arial"/>
                <w:b w:val="false"/>
              </w:rPr>
            </w:pPr>
            <w:r>
              <w:rPr>
                <w:rFonts w:cs="Arial" w:ascii="Arial" w:hAnsi="Arial"/>
                <w:b w:val="false"/>
              </w:rPr>
            </w:r>
          </w:p>
        </w:tc>
        <w:tc>
          <w:tcPr>
            <w:tcW w:w="2768" w:type="dxa"/>
            <w:tcBorders/>
          </w:tcPr>
          <w:p>
            <w:pPr>
              <w:pStyle w:val="Heading9"/>
              <w:widowControl/>
              <w:ind w:start="0" w:end="-63"/>
              <w:rPr>
                <w:rFonts w:ascii="Arial" w:hAnsi="Arial" w:cs="Arial"/>
                <w:b w:val="false"/>
                <w:bCs/>
              </w:rPr>
            </w:pPr>
            <w:r>
              <w:rPr>
                <w:rFonts w:cs="Arial" w:ascii="Arial" w:hAnsi="Arial"/>
                <w:b w:val="false"/>
                <w:bCs/>
              </w:rPr>
              <w:t>Country Premium (%):</w:t>
            </w:r>
          </w:p>
        </w:tc>
        <w:tc>
          <w:tcPr>
            <w:tcW w:w="971" w:type="dxa"/>
            <w:tcBorders/>
          </w:tcPr>
          <w:p>
            <w:pPr>
              <w:pStyle w:val="Normal"/>
              <w:tabs>
                <w:tab w:val="clear" w:pos="720"/>
                <w:tab w:val="left" w:pos="432" w:leader="none"/>
              </w:tabs>
              <w:snapToGrid w:val="false"/>
              <w:ind w:end="-63"/>
              <w:jc w:val="end"/>
              <w:rPr>
                <w:rFonts w:ascii="Arial" w:hAnsi="Arial" w:cs="Arial"/>
                <w:b w:val="false"/>
                <w:bCs/>
                <w:sz w:val="20"/>
              </w:rPr>
            </w:pPr>
            <w:r>
              <w:rPr>
                <w:rFonts w:cs="Arial" w:ascii="Arial" w:hAnsi="Arial"/>
                <w:b w:val="false"/>
                <w:bCs/>
                <w:sz w:val="20"/>
              </w:rPr>
            </w:r>
          </w:p>
        </w:tc>
      </w:tr>
      <w:tr>
        <w:trPr>
          <w:trHeight w:val="202" w:hRule="atLeast"/>
        </w:trPr>
        <w:tc>
          <w:tcPr>
            <w:tcW w:w="237" w:type="dxa"/>
            <w:tcBorders/>
            <w:tcMar>
              <w:start w:w="0" w:type="dxa"/>
              <w:end w:w="0" w:type="dxa"/>
            </w:tcMar>
          </w:tcPr>
          <w:p>
            <w:pPr>
              <w:pStyle w:val="Normal"/>
              <w:rPr>
                <w:rFonts w:ascii="Arial" w:hAnsi="Arial" w:cs="Arial"/>
                <w:b/>
                <w:bCs/>
                <w:sz w:val="20"/>
              </w:rPr>
            </w:pPr>
            <w:r>
              <w:rPr>
                <w:rFonts w:cs="Arial" w:ascii="Arial" w:hAnsi="Arial"/>
                <w:b/>
                <w:bCs/>
                <w:sz w:val="20"/>
              </w:rPr>
            </w:r>
          </w:p>
        </w:tc>
        <w:tc>
          <w:tcPr>
            <w:tcW w:w="2823" w:type="dxa"/>
            <w:tcBorders>
              <w:bottom w:val="single" w:sz="12" w:space="0" w:color="000000"/>
            </w:tcBorders>
          </w:tcPr>
          <w:p>
            <w:pPr>
              <w:pStyle w:val="Heading9"/>
              <w:widowControl/>
              <w:tabs>
                <w:tab w:val="clear" w:pos="2870"/>
                <w:tab w:val="clear" w:pos="3617"/>
                <w:tab w:val="center" w:pos="2909" w:leader="none"/>
                <w:tab w:val="center" w:pos="4079" w:leader="none"/>
              </w:tabs>
              <w:snapToGrid w:val="false"/>
              <w:ind w:start="0" w:end="-217"/>
              <w:rPr>
                <w:rFonts w:ascii="Arial" w:hAnsi="Arial" w:cs="Arial"/>
                <w:b w:val="false"/>
                <w:sz w:val="20"/>
              </w:rPr>
            </w:pPr>
            <w:r>
              <w:rPr>
                <w:rFonts w:cs="Arial" w:ascii="Arial" w:hAnsi="Arial"/>
                <w:b w:val="false"/>
                <w:sz w:val="20"/>
              </w:rPr>
            </w:r>
          </w:p>
        </w:tc>
        <w:tc>
          <w:tcPr>
            <w:tcW w:w="1260" w:type="dxa"/>
            <w:tcBorders>
              <w:bottom w:val="single" w:sz="12" w:space="0" w:color="000000"/>
            </w:tcBorders>
          </w:tcPr>
          <w:p>
            <w:pPr>
              <w:pStyle w:val="Normal"/>
              <w:snapToGrid w:val="false"/>
              <w:jc w:val="end"/>
              <w:rPr>
                <w:rFonts w:ascii="Arial" w:hAnsi="Arial" w:cs="Arial"/>
                <w:b w:val="false"/>
                <w:sz w:val="20"/>
              </w:rPr>
            </w:pPr>
            <w:r>
              <w:rPr>
                <w:rFonts w:cs="Arial" w:ascii="Arial" w:hAnsi="Arial"/>
                <w:b w:val="false"/>
                <w:sz w:val="20"/>
              </w:rPr>
            </w:r>
          </w:p>
        </w:tc>
        <w:tc>
          <w:tcPr>
            <w:tcW w:w="1440" w:type="dxa"/>
            <w:tcBorders>
              <w:bottom w:val="single" w:sz="12" w:space="0" w:color="000000"/>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720" w:type="dxa"/>
            <w:tcBorders/>
          </w:tcPr>
          <w:p>
            <w:pPr>
              <w:pStyle w:val="Heading9"/>
              <w:widowControl/>
              <w:snapToGrid w:val="false"/>
              <w:ind w:start="0" w:end="-63"/>
              <w:rPr>
                <w:rFonts w:ascii="Arial" w:hAnsi="Arial" w:cs="Arial"/>
                <w:b w:val="false"/>
              </w:rPr>
            </w:pPr>
            <w:r>
              <w:rPr>
                <w:rFonts w:cs="Arial" w:ascii="Arial" w:hAnsi="Arial"/>
                <w:b w:val="false"/>
              </w:rPr>
            </w:r>
          </w:p>
        </w:tc>
        <w:tc>
          <w:tcPr>
            <w:tcW w:w="2768" w:type="dxa"/>
            <w:tcBorders/>
          </w:tcPr>
          <w:p>
            <w:pPr>
              <w:pStyle w:val="Heading9"/>
              <w:widowControl/>
              <w:ind w:start="0" w:end="-63"/>
              <w:rPr>
                <w:rFonts w:ascii="Arial" w:hAnsi="Arial" w:cs="Arial"/>
                <w:b w:val="false"/>
              </w:rPr>
            </w:pPr>
            <w:r>
              <w:rPr>
                <w:rFonts w:cs="Arial" w:ascii="Arial" w:hAnsi="Arial"/>
                <w:b w:val="false"/>
              </w:rPr>
              <w:t>Transaction-Specific (%):</w:t>
            </w:r>
          </w:p>
        </w:tc>
        <w:tc>
          <w:tcPr>
            <w:tcW w:w="971" w:type="dxa"/>
            <w:tcBorders/>
          </w:tcPr>
          <w:p>
            <w:pPr>
              <w:pStyle w:val="Normal"/>
              <w:tabs>
                <w:tab w:val="clear" w:pos="720"/>
                <w:tab w:val="left" w:pos="432" w:leader="none"/>
              </w:tabs>
              <w:ind w:end="-63"/>
              <w:jc w:val="end"/>
              <w:rPr>
                <w:rFonts w:ascii="Arial" w:hAnsi="Arial" w:cs="Arial"/>
                <w:bCs/>
                <w:sz w:val="20"/>
              </w:rPr>
            </w:pPr>
            <w:r>
              <w:rPr>
                <w:rFonts w:cs="Arial" w:ascii="Arial" w:hAnsi="Arial"/>
                <w:bCs/>
                <w:sz w:val="20"/>
              </w:rPr>
              <w:t>2.67</w:t>
            </w:r>
          </w:p>
        </w:tc>
      </w:tr>
      <w:tr>
        <w:trPr>
          <w:trHeight w:val="195" w:hRule="atLeast"/>
        </w:trPr>
        <w:tc>
          <w:tcPr>
            <w:tcW w:w="237" w:type="dxa"/>
            <w:tcBorders/>
            <w:tcMar>
              <w:start w:w="0" w:type="dxa"/>
              <w:end w:w="0" w:type="dxa"/>
            </w:tcMar>
          </w:tcPr>
          <w:p>
            <w:pPr>
              <w:pStyle w:val="Normal"/>
              <w:rPr>
                <w:rFonts w:ascii="Arial" w:hAnsi="Arial" w:cs="Arial"/>
                <w:b/>
                <w:bCs/>
                <w:sz w:val="20"/>
              </w:rPr>
            </w:pPr>
            <w:r>
              <w:rPr>
                <w:rFonts w:cs="Arial" w:ascii="Arial" w:hAnsi="Arial"/>
                <w:b/>
                <w:bCs/>
                <w:sz w:val="20"/>
              </w:rPr>
            </w:r>
          </w:p>
        </w:tc>
        <w:tc>
          <w:tcPr>
            <w:tcW w:w="2823"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NPV as of 12/31/2002</w:t>
            </w:r>
          </w:p>
        </w:tc>
        <w:tc>
          <w:tcPr>
            <w:tcW w:w="1260" w:type="dxa"/>
            <w:tcBorders>
              <w:top w:val="single" w:sz="12" w:space="0" w:color="000000"/>
              <w:bottom w:val="single" w:sz="12" w:space="0" w:color="000000"/>
            </w:tcBorders>
          </w:tcPr>
          <w:p>
            <w:pPr>
              <w:pStyle w:val="Normal"/>
              <w:jc w:val="end"/>
              <w:rPr>
                <w:rFonts w:ascii="Arial" w:hAnsi="Arial" w:cs="Arial"/>
                <w:b/>
                <w:bCs/>
                <w:sz w:val="20"/>
              </w:rPr>
            </w:pPr>
            <w:r>
              <w:rPr>
                <w:rFonts w:cs="Arial" w:ascii="Arial" w:hAnsi="Arial"/>
                <w:b/>
                <w:bCs/>
                <w:sz w:val="20"/>
              </w:rPr>
              <w:t>62,304</w:t>
            </w:r>
          </w:p>
        </w:tc>
        <w:tc>
          <w:tcPr>
            <w:tcW w:w="144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snapToGrid w:val="false"/>
              <w:ind w:start="0" w:end="-108"/>
              <w:jc w:val="center"/>
              <w:rPr>
                <w:rFonts w:ascii="Arial" w:hAnsi="Arial" w:cs="Arial"/>
                <w:b/>
                <w:bCs/>
                <w:sz w:val="20"/>
              </w:rPr>
            </w:pPr>
            <w:r>
              <w:rPr>
                <w:rFonts w:cs="Arial" w:ascii="Arial" w:hAnsi="Arial"/>
                <w:b/>
                <w:bCs/>
                <w:sz w:val="20"/>
              </w:rPr>
            </w:r>
          </w:p>
        </w:tc>
        <w:tc>
          <w:tcPr>
            <w:tcW w:w="720" w:type="dxa"/>
            <w:tcBorders/>
          </w:tcPr>
          <w:p>
            <w:pPr>
              <w:pStyle w:val="Heading9"/>
              <w:widowControl/>
              <w:snapToGrid w:val="false"/>
              <w:ind w:start="0" w:end="-108"/>
              <w:rPr>
                <w:rFonts w:ascii="Arial" w:hAnsi="Arial" w:cs="Arial"/>
              </w:rPr>
            </w:pPr>
            <w:r>
              <w:rPr>
                <w:rFonts w:cs="Arial" w:ascii="Arial" w:hAnsi="Arial"/>
              </w:rPr>
            </w:r>
          </w:p>
        </w:tc>
        <w:tc>
          <w:tcPr>
            <w:tcW w:w="2768" w:type="dxa"/>
            <w:tcBorders>
              <w:top w:val="single" w:sz="12" w:space="0" w:color="000000"/>
              <w:start w:val="single" w:sz="4" w:space="0" w:color="000000"/>
              <w:bottom w:val="single" w:sz="12" w:space="0" w:color="000000"/>
            </w:tcBorders>
          </w:tcPr>
          <w:p>
            <w:pPr>
              <w:pStyle w:val="Heading9"/>
              <w:widowControl/>
              <w:ind w:start="0" w:end="72"/>
              <w:rPr>
                <w:rFonts w:ascii="Arial" w:hAnsi="Arial" w:cs="Arial"/>
              </w:rPr>
            </w:pPr>
            <w:r>
              <w:rPr>
                <w:rFonts w:cs="Arial" w:ascii="Arial" w:hAnsi="Arial"/>
              </w:rPr>
              <w:t>RAC CAPITAL PRICE:</w:t>
            </w:r>
          </w:p>
        </w:tc>
        <w:tc>
          <w:tcPr>
            <w:tcW w:w="971" w:type="dxa"/>
            <w:tcBorders>
              <w:top w:val="single" w:sz="12" w:space="0" w:color="000000"/>
              <w:bottom w:val="single" w:sz="12" w:space="0" w:color="000000"/>
              <w:end w:val="single" w:sz="12" w:space="0" w:color="000000"/>
            </w:tcBorders>
          </w:tcPr>
          <w:p>
            <w:pPr>
              <w:pStyle w:val="Normal"/>
              <w:tabs>
                <w:tab w:val="clear" w:pos="720"/>
                <w:tab w:val="left" w:pos="432" w:leader="none"/>
              </w:tabs>
              <w:ind w:end="-63"/>
              <w:jc w:val="end"/>
              <w:rPr>
                <w:rFonts w:ascii="Arial" w:hAnsi="Arial" w:cs="Arial"/>
                <w:b/>
                <w:bCs/>
                <w:sz w:val="20"/>
              </w:rPr>
            </w:pPr>
            <w:r>
              <w:rPr>
                <w:rFonts w:cs="Arial" w:ascii="Arial" w:hAnsi="Arial"/>
                <w:b/>
                <w:bCs/>
                <w:sz w:val="20"/>
              </w:rPr>
              <w:t>12.00%</w:t>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b/>
          <w:bCs/>
          <w:color w:val="0000FF"/>
          <w:sz w:val="20"/>
        </w:rPr>
      </w:pPr>
      <w:r>
        <w:rPr>
          <w:rFonts w:cs="Arial" w:ascii="Arial" w:hAnsi="Arial"/>
          <w:sz w:val="20"/>
        </w:rPr>
        <w:t>The above preliminary analysis is provided to indicate the sensitivity of values for a fully developed project assuming commencement of construction in January 2003.  Henwood power and gas curves are used as a proxy for third-party commodity price projections.  Given that different developers use different inflation assumptions for modeling, RAC has modeled two inflation scenarios, a 0% inflation case and a 50% Enron-CPI case, to indicate a range of potential values for the project in January 2003 dollars.  In addition to power curve inflation, other drivers that will greatly influence the overall value of the Project to a third party include the status of the California regulatory environment and the permitting/construction of other California and western U.S. power projects as of the sales date.</w:t>
      </w:r>
      <w:r>
        <w:rPr>
          <w:rFonts w:cs="Arial" w:ascii="Arial" w:hAnsi="Arial"/>
          <w:b/>
          <w:bCs/>
          <w:color w:val="0000FF"/>
          <w:sz w:val="20"/>
        </w:rPr>
        <w:t xml:space="preserve">  </w:t>
      </w:r>
      <w:r>
        <w:rPr>
          <w:rFonts w:cs="Arial" w:ascii="Arial" w:hAnsi="Arial"/>
          <w:b/>
          <w:bCs/>
          <w:sz w:val="20"/>
        </w:rPr>
        <w:t xml:space="preserve">This valuation is for indicative purposes only and does not attempt to provide a full valuation from an Enron merchant equity investment perspective.  No allowance for development risk has been accounted for and no liquidity discount has been taken. </w:t>
      </w:r>
    </w:p>
    <w:p>
      <w:pPr>
        <w:pStyle w:val="Normal"/>
        <w:rPr>
          <w:rFonts w:ascii="Arial" w:hAnsi="Arial" w:cs="Arial"/>
          <w:b/>
          <w:bCs/>
          <w:color w:val="0000FF"/>
          <w:sz w:val="20"/>
        </w:rPr>
      </w:pPr>
      <w:r>
        <w:rPr>
          <w:rFonts w:cs="Arial" w:ascii="Arial" w:hAnsi="Arial"/>
          <w:b/>
          <w:bCs/>
          <w:color w:val="0000FF"/>
          <w:sz w:val="20"/>
        </w:rPr>
      </w:r>
    </w:p>
    <w:p>
      <w:pPr>
        <w:pStyle w:val="Heading1"/>
        <w:pBdr>
          <w:top w:val="single" w:sz="8" w:space="1" w:color="000000"/>
        </w:pBdr>
        <w:ind w:hanging="0" w:start="0" w:end="-36"/>
        <w:rPr>
          <w:rFonts w:ascii="Arial" w:hAnsi="Arial" w:cs="Arial"/>
          <w:b w:val="false"/>
        </w:rPr>
      </w:pPr>
      <w:r>
        <w:rPr>
          <w:rFonts w:cs="Arial" w:ascii="Arial" w:hAnsi="Arial"/>
        </w:rPr>
        <w:t xml:space="preserve">CASH FLOW SUMMARY </w:t>
      </w:r>
    </w:p>
    <w:p>
      <w:pPr>
        <w:pStyle w:val="Normal"/>
        <w:rPr>
          <w:rFonts w:ascii="Arial" w:hAnsi="Arial" w:cs="Arial"/>
          <w:b/>
          <w:bCs/>
          <w:sz w:val="20"/>
        </w:rPr>
      </w:pPr>
      <w:r>
        <w:rPr>
          <w:rFonts w:cs="Arial" w:ascii="Arial" w:hAnsi="Arial"/>
          <w:b/>
          <w:bCs/>
          <w:sz w:val="20"/>
        </w:rPr>
      </w:r>
    </w:p>
    <w:p>
      <w:pPr>
        <w:pStyle w:val="BodyText3"/>
        <w:rPr/>
      </w:pPr>
      <w:r>
        <w:rPr/>
        <w:t>Availability is assigned an extreme value distribution with mode set at 96% and scale of 3.36% (thus a 94% mean). Heat rate has a 7000 Kwh /BTU mean and a 2% standard deviation. Terminal value is the present value of future cash flows over the 10-year “terminal period” following the initial 20-year “operating period”, discounted at 12%.</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TRANSACTION UPSIDES/OPTIONALITY</w:t>
      </w:r>
    </w:p>
    <w:p>
      <w:pPr>
        <w:pStyle w:val="Normal"/>
        <w:rPr>
          <w:rFonts w:ascii="Arial" w:hAnsi="Arial" w:cs="Arial"/>
          <w:i/>
          <w:i/>
        </w:rPr>
      </w:pPr>
      <w:r>
        <w:rPr>
          <w:rFonts w:cs="Arial" w:ascii="Arial" w:hAnsi="Arial"/>
          <w:i/>
        </w:rPr>
      </w:r>
    </w:p>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The Roseville/Sacramento area has experienced significant electric load growth without the addition of significant generation capacity.  Summer peak load for the region has increased more than 88% over the past 10 years.  With a very small amount of generation in the region, the electric system is short both electricity and ancillary services.  Additionally, the area is hampered by a shortage of emission offsets.  As a result, the deal team expects a generating asset in this location with ERCs to command substantial value.</w:t>
      </w:r>
    </w:p>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r>
    </w:p>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With the decommissioning of the California PowerExchange (“PX”), the California Department of Water Resources (“CDWR”) has been negotiating long-term power purchase agreements to stabilize price volatility and lock in lower rates in the near-term.  Given Roseville’s location and low heat rate of 7000 (HHV), the Project is well positioned to sell to CDWR and other wholesale purchasers such as municipal utilities.</w:t>
      </w:r>
    </w:p>
    <w:p>
      <w:pPr>
        <w:pStyle w:val="Normal"/>
        <w:ind w:end="-36"/>
        <w:rPr>
          <w:rFonts w:ascii="Arial" w:hAnsi="Arial" w:cs="Arial"/>
          <w:sz w:val="20"/>
        </w:rPr>
      </w:pPr>
      <w:r>
        <w:rPr>
          <w:rFonts w:cs="Arial" w:ascii="Arial" w:hAnsi="Arial"/>
          <w:sz w:val="20"/>
        </w:rPr>
      </w:r>
    </w:p>
    <w:p>
      <w:pPr>
        <w:pStyle w:val="Normal"/>
        <w:pBdr>
          <w:top w:val="single" w:sz="8" w:space="1" w:color="000000"/>
        </w:pBdr>
        <w:ind w:end="-36"/>
        <w:rPr/>
      </w:pPr>
      <w:r>
        <w:rPr>
          <w:rFonts w:cs="Arial" w:ascii="Arial" w:hAnsi="Arial"/>
          <w:b/>
          <w:sz w:val="20"/>
        </w:rPr>
        <w:t>EXIT STRATEGY</w:t>
      </w:r>
      <w:r>
        <w:rPr>
          <w:rFonts w:cs="Arial" w:ascii="Arial" w:hAnsi="Arial"/>
          <w:sz w:val="20"/>
        </w:rPr>
        <w:t xml:space="preserve"> </w:t>
      </w:r>
    </w:p>
    <w:p>
      <w:pPr>
        <w:pStyle w:val="Normal"/>
        <w:pBdr>
          <w:top w:val="single" w:sz="8" w:space="1" w:color="000000"/>
        </w:pBdr>
        <w:ind w:end="-36"/>
        <w:rPr>
          <w:rFonts w:ascii="Arial" w:hAnsi="Arial" w:cs="Arial"/>
          <w:sz w:val="20"/>
        </w:rPr>
      </w:pPr>
      <w:r>
        <w:rPr>
          <w:rFonts w:cs="Arial" w:ascii="Arial" w:hAnsi="Arial"/>
          <w:sz w:val="20"/>
        </w:rPr>
      </w:r>
    </w:p>
    <w:p>
      <w:pPr>
        <w:pStyle w:val="Normal"/>
        <w:autoSpaceDE w:val="false"/>
        <w:spacing w:lineRule="atLeast" w:line="240"/>
        <w:rPr>
          <w:rFonts w:ascii="Arial" w:hAnsi="Arial" w:cs="Arial"/>
          <w:sz w:val="20"/>
          <w:szCs w:val="20"/>
        </w:rPr>
      </w:pPr>
      <w:r>
        <w:rPr>
          <w:rFonts w:cs="Arial" w:ascii="Arial" w:hAnsi="Arial"/>
          <w:sz w:val="20"/>
          <w:szCs w:val="20"/>
        </w:rPr>
        <w:t>The deal team’s exit strategy is to sell the plant to a third party upon receipt of permits.  As shown in the milestone schedule below, ENA anticipates being in a position to sell the project in Q4 2002 after receiving permit decisions in Q3 2002.  If ENA is unable to complete development it will either sell the project partially developed and/or sell the ERCs to other brokers, projects or developers.</w:t>
      </w:r>
    </w:p>
    <w:p>
      <w:pPr>
        <w:pStyle w:val="Normal"/>
        <w:rPr>
          <w:rFonts w:ascii="Arial" w:hAnsi="Arial" w:cs="Arial"/>
          <w:sz w:val="20"/>
          <w:szCs w:val="20"/>
        </w:rPr>
      </w:pPr>
      <w:r>
        <w:rPr>
          <w:rFonts w:cs="Arial" w:ascii="Arial" w:hAnsi="Arial"/>
          <w:sz w:val="20"/>
          <w:szCs w:val="20"/>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RISK MATRIX</w:t>
      </w:r>
    </w:p>
    <w:p>
      <w:pPr>
        <w:pStyle w:val="Header"/>
        <w:widowControl/>
        <w:tabs>
          <w:tab w:val="clear" w:pos="4320"/>
          <w:tab w:val="clear" w:pos="8640"/>
        </w:tabs>
        <w:rPr>
          <w:rFonts w:ascii="Arial" w:hAnsi="Arial" w:cs="Arial"/>
          <w:b/>
          <w:i/>
          <w:i/>
        </w:rPr>
      </w:pPr>
      <w:r>
        <w:rPr>
          <w:rFonts w:cs="Arial" w:ascii="Arial" w:hAnsi="Arial"/>
          <w:b/>
          <w:i/>
        </w:rPr>
      </w:r>
    </w:p>
    <w:tbl>
      <w:tblPr>
        <w:tblW w:w="10260" w:type="dxa"/>
        <w:jc w:val="start"/>
        <w:tblInd w:w="108" w:type="dxa"/>
        <w:tblLayout w:type="fixed"/>
        <w:tblCellMar>
          <w:top w:w="0" w:type="dxa"/>
          <w:start w:w="108" w:type="dxa"/>
          <w:bottom w:w="0" w:type="dxa"/>
          <w:end w:w="108" w:type="dxa"/>
        </w:tblCellMar>
      </w:tblPr>
      <w:tblGrid>
        <w:gridCol w:w="3240"/>
        <w:gridCol w:w="7020"/>
      </w:tblGrid>
      <w:tr>
        <w:trPr/>
        <w:tc>
          <w:tcPr>
            <w:tcW w:w="324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70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Development &amp; Construction Risk</w:t>
            </w:r>
          </w:p>
        </w:tc>
        <w:tc>
          <w:tcPr>
            <w:tcW w:w="702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szCs w:val="20"/>
              </w:rPr>
            </w:pPr>
            <w:r>
              <w:rPr>
                <w:rFonts w:cs="Arial" w:ascii="Arial" w:hAnsi="Arial"/>
                <w:sz w:val="20"/>
                <w:szCs w:val="20"/>
              </w:rPr>
              <w:t xml:space="preserve">Based on the deal team’s experience from both the Pastoria and Pittsburg projects, the development costs do not appear to be at risk of rising significantly from the projections.  Items at risk are the turbine progress payments and the EPC cost given the tightness in both of these markets.  ENA may attempt to negotiate a turbine agreement that will fix this amount during our negotiations or may develop the Project without turbines.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rPr>
              <w:t>ENA expects to sell REF with a fully negotiated, but unexecuted, EPC contract in place.</w:t>
            </w:r>
            <w:r>
              <w:rPr>
                <w:rFonts w:cs="Arial" w:ascii="Arial" w:hAnsi="Arial"/>
                <w:sz w:val="20"/>
                <w:szCs w:val="20"/>
              </w:rPr>
              <w:t xml:space="preserve">  The contract will include all major equipment commitments.  The process of choosing an EPC contractor will begin in Q2 2002.  ENA’s estimated EPC cost of $388MM is based on price increases since the Pastoria EPC contract was finalized.  These costs are expected to rise due to the recent scarcity of equipment and labor.</w:t>
            </w:r>
          </w:p>
          <w:p>
            <w:pPr>
              <w:pStyle w:val="Normal"/>
              <w:jc w:val="both"/>
              <w:rPr>
                <w:rFonts w:ascii="Arial" w:hAnsi="Arial" w:eastAsia="Arial" w:cs="Arial"/>
                <w:sz w:val="20"/>
                <w:szCs w:val="20"/>
              </w:rPr>
            </w:pPr>
            <w:r>
              <w:rPr>
                <w:rFonts w:eastAsia="Arial" w:cs="Arial" w:ascii="Arial" w:hAnsi="Arial"/>
                <w:sz w:val="20"/>
                <w:szCs w:val="20"/>
              </w:rPr>
              <w:t xml:space="preserve"> </w:t>
            </w:r>
          </w:p>
          <w:p>
            <w:pPr>
              <w:pStyle w:val="Normal"/>
              <w:jc w:val="both"/>
              <w:rPr>
                <w:rFonts w:ascii="Arial" w:hAnsi="Arial" w:cs="Arial"/>
                <w:color w:val="FF0000"/>
                <w:sz w:val="20"/>
              </w:rPr>
            </w:pPr>
            <w:r>
              <w:rPr>
                <w:rFonts w:cs="Arial" w:ascii="Arial" w:hAnsi="Arial"/>
                <w:sz w:val="20"/>
              </w:rPr>
              <w:t>While a non-binding MOU has been executed with the City, definitive agreements (which will address basic project requirements such as site control and water supply) have not been negotiated or finalized.  Other basic requirements such as zoning changes and easement rights from multiple third-parties have not been negotiated.  ENA will be paying the City a minimum of $900,000 in early development costs and fees associated with the initial development phase.</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Environmental / Permitting Risk</w:t>
            </w:r>
          </w:p>
        </w:tc>
        <w:tc>
          <w:tcPr>
            <w:tcW w:w="702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color w:val="0000FF"/>
                <w:sz w:val="20"/>
                <w:szCs w:val="20"/>
              </w:rPr>
            </w:pPr>
            <w:r>
              <w:rPr>
                <w:rFonts w:cs="Arial" w:ascii="Arial" w:hAnsi="Arial"/>
                <w:sz w:val="20"/>
                <w:szCs w:val="20"/>
              </w:rPr>
              <w:t>Many permits are required for this project.  The two key permits will come from the California Energy Commission (“CEC”) and the EPA.  In the case of Pittsburg and Pastoria, ENA was successful in obtaining the required permits, however, given that each project and location is unique, there remains a risk that REF will not receive an EPA PSD permit or a CEC license.</w:t>
            </w:r>
          </w:p>
          <w:p>
            <w:pPr>
              <w:pStyle w:val="Normal"/>
              <w:jc w:val="both"/>
              <w:rPr>
                <w:rFonts w:ascii="Arial" w:hAnsi="Arial" w:cs="Arial"/>
                <w:color w:val="0000FF"/>
                <w:sz w:val="20"/>
                <w:szCs w:val="20"/>
              </w:rPr>
            </w:pPr>
            <w:r>
              <w:rPr>
                <w:rFonts w:cs="Arial" w:ascii="Arial" w:hAnsi="Arial"/>
                <w:color w:val="0000FF"/>
                <w:sz w:val="20"/>
                <w:szCs w:val="20"/>
              </w:rPr>
            </w:r>
          </w:p>
          <w:p>
            <w:pPr>
              <w:pStyle w:val="Normal"/>
              <w:jc w:val="both"/>
              <w:rPr>
                <w:rFonts w:ascii="Arial" w:hAnsi="Arial" w:cs="Arial"/>
                <w:sz w:val="20"/>
              </w:rPr>
            </w:pPr>
            <w:r>
              <w:rPr>
                <w:rFonts w:cs="Arial" w:ascii="Arial" w:hAnsi="Arial"/>
                <w:sz w:val="20"/>
                <w:szCs w:val="20"/>
              </w:rPr>
              <w:t>The deal team does not deem this to be a major risk in light of the lack of sufficient generation in an area of high load growth.</w:t>
            </w:r>
          </w:p>
        </w:tc>
      </w:tr>
      <w:tr>
        <w:trPr/>
        <w:tc>
          <w:tcPr>
            <w:tcW w:w="324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rFonts w:ascii="Arial" w:hAnsi="Arial" w:cs="Arial"/>
              </w:rPr>
            </w:pPr>
            <w:r>
              <w:rPr>
                <w:rFonts w:cs="Arial" w:ascii="Arial" w:hAnsi="Arial"/>
              </w:rPr>
              <w:t>Emission Reduction Credit Risk</w:t>
            </w:r>
          </w:p>
          <w:p>
            <w:pPr>
              <w:pStyle w:val="Normal"/>
              <w:rPr>
                <w:rFonts w:ascii="Arial" w:hAnsi="Arial" w:cs="Arial"/>
                <w:sz w:val="20"/>
              </w:rPr>
            </w:pPr>
            <w:r>
              <w:rPr>
                <w:rFonts w:cs="Arial" w:ascii="Arial" w:hAnsi="Arial"/>
                <w:sz w:val="20"/>
              </w:rPr>
            </w:r>
          </w:p>
        </w:tc>
        <w:tc>
          <w:tcPr>
            <w:tcW w:w="702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szCs w:val="20"/>
              </w:rPr>
            </w:pPr>
            <w:r>
              <w:rPr>
                <w:rFonts w:cs="Arial" w:ascii="Arial" w:hAnsi="Arial"/>
                <w:sz w:val="20"/>
                <w:szCs w:val="20"/>
              </w:rPr>
              <w:t>ENA has had good success in identifying and obtaining ERCs in both the Pittsburg and Pastoria projects.  ENA has already purchased or optioned approximately half of the total tonnage required.  ENA has also identified other potential sources and is working on plans to create ERCs as needed.</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If the Project does not proceed, the deal team contends that the risk of the ERCs losing all value is low based on the active market for ERCs in the greater Sacramento area.  There are some restrictions on transferring ERCs across air districts (see further discussion in Appendices C &amp; D), which are potentially more problematic in the case of the Georgia-Pacific ERC’s.  Both FP&amp;L and Calpine are developing projects in the general area and are also actively bidding for ERCs.  Other potential sources in the area such as U.C. Davis, NEC Corp., Hewlett-Packard, SMUD and brokers.</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California Political Risk</w:t>
            </w:r>
          </w:p>
        </w:tc>
        <w:tc>
          <w:tcPr>
            <w:tcW w:w="702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szCs w:val="20"/>
              </w:rPr>
              <w:t>Region-wide price caps are being implemented and a windfall profits tax is currently being debated in the California Assembly as possible remedies for the California energy crisis.  Reaction from the power industry may include a halting of existing development, a driving out of new generation projects in California, and a reduction in the number of potential buyers for the project.  However, this type of action would further exacerbate the existing supply/demand imbalance and potentially result in opportunities for bi-lateral agreements with existing utilities and wholesale purchasers of electricity like CDWR.  Ultimately, the market must return to rational economic principles; at present, it remains a question of “when”.</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Credit / Market Risk</w:t>
            </w:r>
          </w:p>
        </w:tc>
        <w:tc>
          <w:tcPr>
            <w:tcW w:w="702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No off-take contracts have been negotiated, however, it is assumed that the Project will enter into one or more long-term bi-lateral power sales/tolling arrangements with investment grade entities.</w:t>
            </w:r>
          </w:p>
        </w:tc>
      </w:tr>
      <w:tr>
        <w:trPr/>
        <w:tc>
          <w:tcPr>
            <w:tcW w:w="324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rFonts w:ascii="Arial" w:hAnsi="Arial" w:cs="Arial"/>
                <w:szCs w:val="24"/>
              </w:rPr>
            </w:pPr>
            <w:r>
              <w:rPr>
                <w:rFonts w:cs="Arial" w:ascii="Arial" w:hAnsi="Arial"/>
                <w:szCs w:val="24"/>
              </w:rPr>
              <w:t>Gas/Power Transmisssion</w:t>
            </w:r>
          </w:p>
        </w:tc>
        <w:tc>
          <w:tcPr>
            <w:tcW w:w="7020" w:type="dxa"/>
            <w:tcBorders>
              <w:top w:val="single" w:sz="6" w:space="0" w:color="000000"/>
              <w:start w:val="single" w:sz="6" w:space="0" w:color="000000"/>
              <w:bottom w:val="single" w:sz="6" w:space="0" w:color="000000"/>
              <w:end w:val="single" w:sz="6" w:space="0" w:color="000000"/>
            </w:tcBorders>
          </w:tcPr>
          <w:p>
            <w:pPr>
              <w:pStyle w:val="Normal"/>
              <w:jc w:val="both"/>
              <w:rPr/>
            </w:pPr>
            <w:r>
              <w:rPr>
                <w:rFonts w:cs="Arial" w:ascii="Arial" w:hAnsi="Arial"/>
                <w:sz w:val="20"/>
              </w:rPr>
              <w:t xml:space="preserve">The proposed interconnection option with WAPA will require system mitigation and upgrades of approximately $10 MM.  Based on discussions with WAPA management and the current market circumstances, it appears likely that a new Regional Transmission Operator (“RTO”) will emerge in the WSCC.  This may include WAPA joining the CAISO or new hybrid organization.  </w:t>
            </w:r>
            <w:r>
              <w:rPr>
                <w:rFonts w:cs="Arial" w:ascii="Arial" w:hAnsi="Arial"/>
                <w:b/>
                <w:bCs/>
                <w:sz w:val="20"/>
              </w:rPr>
              <w:t>Under the current CAISO structure and in other RTOs around the nation, wheeling charges are normally borne by the load and not the generator and; therefore, an approximate $5 million charge, per annum, has not been reflected in the proforma.</w:t>
            </w:r>
            <w:r>
              <w:rPr>
                <w:rFonts w:cs="Arial" w:ascii="Arial" w:hAnsi="Arial"/>
                <w:sz w:val="20"/>
              </w:rPr>
              <w:t xml:space="preserve">  Additionally, the mitigations and upgrades that ENA will be performing should support WAPA’s system.  ENA has been told by WAPA that in return for system upgrades, the cost of such upgrades will, in part, offset annual costs under the tariff.</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Preliminary studies by both PG&amp;E and ENA engineering consultants have determined that a 3.5 mile extension will be needed for gas supply.  The cost of this extension is included in the proforma.  The deal team believes that easements for this line will not be an issue due to local community support for the project.  However, it is anticipated that some landowners in the right-of-way for this line will resist.  To mitigate this risk, alternate routes minimizing the number of landowners are being considered.  System reinforcement will be needed given the volume of gas and pressure required for the Project.  The cost of this upgrade has not been assessed.  A deal team estimate of $20MM has been included in the proforma.  This cost will be revisited once PG&amp;E completes its study.   </w:t>
            </w:r>
            <w:r>
              <w:rPr/>
              <w:t xml:space="preserve">   </w:t>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rPr>
          <w:rFonts w:ascii="Arial" w:hAnsi="Arial" w:cs="Arial"/>
          <w:b w:val="false"/>
        </w:rPr>
      </w:pPr>
      <w:r>
        <w:rPr>
          <w:rFonts w:cs="Arial" w:ascii="Arial" w:hAnsi="Arial"/>
        </w:rPr>
        <w:t>KEY SUCCESS FACTORS</w:t>
      </w:r>
    </w:p>
    <w:p>
      <w:pPr>
        <w:pStyle w:val="Normal"/>
        <w:rPr>
          <w:rFonts w:ascii="Arial" w:hAnsi="Arial" w:cs="Arial"/>
          <w:b/>
          <w:sz w:val="20"/>
        </w:rPr>
      </w:pPr>
      <w:r>
        <w:rPr>
          <w:rFonts w:cs="Arial" w:ascii="Arial" w:hAnsi="Arial"/>
          <w:b/>
          <w:sz w:val="20"/>
        </w:rPr>
      </w:r>
    </w:p>
    <w:tbl>
      <w:tblPr>
        <w:tblW w:w="10260" w:type="dxa"/>
        <w:jc w:val="start"/>
        <w:tblInd w:w="108" w:type="dxa"/>
        <w:tblLayout w:type="fixed"/>
        <w:tblCellMar>
          <w:top w:w="0" w:type="dxa"/>
          <w:start w:w="108" w:type="dxa"/>
          <w:bottom w:w="0" w:type="dxa"/>
          <w:end w:w="108" w:type="dxa"/>
        </w:tblCellMar>
      </w:tblPr>
      <w:tblGrid>
        <w:gridCol w:w="4212"/>
        <w:gridCol w:w="720"/>
        <w:gridCol w:w="5328"/>
      </w:tblGrid>
      <w:tr>
        <w:trPr/>
        <w:tc>
          <w:tcPr>
            <w:tcW w:w="42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5328" w:type="dxa"/>
            <w:tcBorders>
              <w:top w:val="single" w:sz="4" w:space="0" w:color="000000"/>
              <w:start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Poor                                                                  Excellent</w:t>
            </w:r>
          </w:p>
        </w:tc>
      </w:tr>
      <w:tr>
        <w:trPr/>
        <w:tc>
          <w:tcPr>
            <w:tcW w:w="4212"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3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r>
        <w:trPr/>
        <w:tc>
          <w:tcPr>
            <w:tcW w:w="42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3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r>
        <w:trPr/>
        <w:tc>
          <w:tcPr>
            <w:tcW w:w="42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32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r>
        <w:trPr/>
        <w:tc>
          <w:tcPr>
            <w:tcW w:w="42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c>
          <w:tcPr>
            <w:tcW w:w="53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r>
      <w:tr>
        <w:trPr/>
        <w:tc>
          <w:tcPr>
            <w:tcW w:w="42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3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bl>
    <w:p>
      <w:pPr>
        <w:pStyle w:val="Header"/>
        <w:widowControl/>
        <w:tabs>
          <w:tab w:val="clear" w:pos="4320"/>
          <w:tab w:val="clear" w:pos="8640"/>
        </w:tabs>
        <w:rPr>
          <w:rFonts w:ascii="Arial" w:hAnsi="Arial" w:cs="Arial"/>
        </w:rPr>
      </w:pPr>
      <w:r>
        <w:rPr>
          <w:rFonts w:cs="Arial" w:ascii="Arial" w:hAnsi="Arial"/>
        </w:rPr>
      </w:r>
    </w:p>
    <w:p>
      <w:pPr>
        <w:pStyle w:val="Normal"/>
        <w:pBdr>
          <w:top w:val="single" w:sz="8" w:space="1" w:color="000000"/>
        </w:pBdr>
        <w:rPr>
          <w:rFonts w:ascii="Arial" w:hAnsi="Arial" w:cs="Arial"/>
          <w:b/>
          <w:sz w:val="20"/>
        </w:rPr>
      </w:pPr>
      <w:r>
        <w:rPr>
          <w:rFonts w:cs="Arial" w:ascii="Arial" w:hAnsi="Arial"/>
          <w:b/>
          <w:sz w:val="20"/>
        </w:rPr>
        <w:t>OTHER RAC COMMENTS</w:t>
      </w:r>
    </w:p>
    <w:p>
      <w:pPr>
        <w:pStyle w:val="Normal"/>
        <w:pBdr>
          <w:top w:val="single" w:sz="8" w:space="1" w:color="000000"/>
        </w:pBdr>
        <w:rPr>
          <w:rFonts w:ascii="Arial" w:hAnsi="Arial" w:cs="Arial"/>
          <w:b/>
          <w:sz w:val="20"/>
        </w:rPr>
      </w:pPr>
      <w:r>
        <w:rPr>
          <w:rFonts w:cs="Arial" w:ascii="Arial" w:hAnsi="Arial"/>
          <w:b/>
          <w:sz w:val="20"/>
        </w:rPr>
      </w:r>
    </w:p>
    <w:p>
      <w:pPr>
        <w:pStyle w:val="BodyText2"/>
        <w:rPr/>
      </w:pPr>
      <w:r>
        <w:rPr/>
        <w:t>In April 2001, Cambridge Energy Research Associates (CERA) estimated for the Western States Coordination Council (WSCC) that nearly 2,429MW of new capacity was completed in 1999 and 2000; 12,685MW of new capacity was presently under construction; and 49,270 MW of new capacity had been announced for the WSCC region, which includes California and surrounding western states.  The “proposed” additions, alone, approximate the peak demand in all of California for the year 2000.  From a micro perspective, the deal team believes that the supply scarcity in the Roseville/Northern California load pocket will allow the Project to retain its value despite the capacity additions in the west as a whole.  From a macro perspective, as new projects come online in the WSCC, it is clear that the supply/demand imbalance for the west will soon begin to abate.  This relief will likely begin to appear in early 2002 as capacity reserve margins begin rise from 7% to 12% and higher thereafter.  Depending upon the dynamics of power flow into and around northern California, this projected trend may indicate that upon commercial operation of the Roseville Project, market capacity will have moved well beyond the constraints experienced in 2000 and 2001.</w:t>
      </w:r>
    </w:p>
    <w:p>
      <w:pPr>
        <w:pStyle w:val="BodyText2"/>
        <w:rPr/>
      </w:pPr>
      <w:r>
        <w:rPr/>
      </w:r>
    </w:p>
    <w:p>
      <w:pPr>
        <w:pStyle w:val="BodyText2"/>
        <w:rPr/>
      </w:pPr>
      <w:r>
        <w:rPr/>
        <w:t>With imposition of price caps and the passage of a windfall profits tax in the California Senate, there has been little indication that a rational political and economic climate fostering a long-term solution in California will emerge, near term.  Although it appears bi-lateral sales of power will become the trading standard, the future with regard to transmission control and tariffs, as well as the creditworthiness of the market participants, is uncertain.  These circumstances put the economic potential of REF at greater risk than the potential for Pittsburg and Pastoria at the same stage in their respective period of development.</w:t>
      </w:r>
    </w:p>
    <w:p>
      <w:pPr>
        <w:pStyle w:val="BodyText2"/>
        <w:rPr/>
      </w:pPr>
      <w:r>
        <w:rPr/>
      </w:r>
    </w:p>
    <w:p>
      <w:pPr>
        <w:pStyle w:val="BodyText2"/>
        <w:rPr/>
      </w:pPr>
      <w:r>
        <w:rPr/>
        <w:t xml:space="preserve">The REF Project is in the very earliest stages of development.  Although an MOU has been executed with the City, site control and linears are not in-hand and most development-related matters are far from resolution.  Also, CERA has reported a large amount of volatility in the value of southern California emissions credits during 1999, 2000 and 2001, particularly with respect to NOx.  It is not certain how this translates into volatility for the Sacramento/Roseville region to the north, however, it does indicate that the value of these credits is highly dependent upon supply and demand at any given point in time.  </w:t>
      </w:r>
      <w:r>
        <w:rPr>
          <w:b/>
          <w:bCs w:val="false"/>
        </w:rPr>
        <w:t>Given this early stage of development, the uncertain status of other California and western U.S. power projects in development, and the evolving California regulatory situation, the risk of non-completion is significant; therefore, ENA’s ability to re-market the ERCs is critical to the preservation of up to $32 million of capital committed in this DASH.</w:t>
      </w:r>
    </w:p>
    <w:p>
      <w:pPr>
        <w:pStyle w:val="Heading6"/>
        <w:ind w:hanging="0" w:start="0"/>
        <w:rPr>
          <w:rFonts w:ascii="Arial" w:hAnsi="Arial" w:cs="Arial"/>
          <w:b w:val="false"/>
          <w:bCs/>
        </w:rPr>
      </w:pPr>
      <w:r>
        <w:rPr>
          <w:rFonts w:cs="Arial" w:ascii="Arial" w:hAnsi="Arial"/>
          <w:b w:val="false"/>
          <w:bCs/>
        </w:rPr>
      </w:r>
    </w:p>
    <w:p>
      <w:pPr>
        <w:pStyle w:val="Heading7"/>
        <w:ind w:hanging="0" w:start="0"/>
        <w:rPr/>
      </w:pPr>
      <w:r>
        <w:rPr/>
        <w:t>Status of Critical Path Items</w:t>
      </w:r>
    </w:p>
    <w:p>
      <w:pPr>
        <w:pStyle w:val="Normal"/>
        <w:rPr/>
      </w:pPr>
      <w:r>
        <w:rPr/>
      </w:r>
    </w:p>
    <w:tbl>
      <w:tblPr>
        <w:tblW w:w="10332" w:type="dxa"/>
        <w:jc w:val="start"/>
        <w:tblInd w:w="108" w:type="dxa"/>
        <w:tblLayout w:type="fixed"/>
        <w:tblCellMar>
          <w:top w:w="0" w:type="dxa"/>
          <w:start w:w="108" w:type="dxa"/>
          <w:bottom w:w="0" w:type="dxa"/>
          <w:end w:w="108" w:type="dxa"/>
        </w:tblCellMar>
      </w:tblPr>
      <w:tblGrid>
        <w:gridCol w:w="2610"/>
        <w:gridCol w:w="7722"/>
      </w:tblGrid>
      <w:tr>
        <w:trPr/>
        <w:tc>
          <w:tcPr>
            <w:tcW w:w="261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rFonts w:ascii="Arial" w:hAnsi="Arial" w:cs="Arial"/>
                <w:b/>
                <w:szCs w:val="24"/>
              </w:rPr>
            </w:pPr>
            <w:r>
              <w:rPr>
                <w:rFonts w:cs="Arial" w:ascii="Arial" w:hAnsi="Arial"/>
                <w:b/>
                <w:szCs w:val="24"/>
              </w:rPr>
              <w:t>Item</w:t>
            </w:r>
          </w:p>
        </w:tc>
        <w:tc>
          <w:tcPr>
            <w:tcW w:w="7722"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rFonts w:ascii="Arial" w:hAnsi="Arial" w:cs="Arial"/>
                <w:b/>
                <w:szCs w:val="24"/>
              </w:rPr>
            </w:pPr>
            <w:r>
              <w:rPr>
                <w:rFonts w:cs="Arial" w:ascii="Arial" w:hAnsi="Arial"/>
                <w:b/>
                <w:szCs w:val="24"/>
              </w:rPr>
              <w:t>Status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bCs/>
                <w:szCs w:val="24"/>
              </w:rPr>
            </w:pPr>
            <w:r>
              <w:rPr>
                <w:rFonts w:cs="Arial" w:ascii="Arial" w:hAnsi="Arial"/>
                <w:bCs/>
                <w:szCs w:val="24"/>
              </w:rPr>
              <w:t>File Air Permit Application</w:t>
            </w:r>
          </w:p>
        </w:tc>
        <w:tc>
          <w:tcPr>
            <w:tcW w:w="772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The Air Permit was filed on Nov. 21, 2000 and a decision is expected by August 2001.</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Obtain transfer of credits From the Yolo-Solano Air Quality Management District.</w:t>
            </w:r>
          </w:p>
        </w:tc>
        <w:tc>
          <w:tcPr>
            <w:tcW w:w="772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ENA is in discussions with the Air District staff about the Ag Engine Program as a goodwill gesture to expedite the transfer of the credits.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Secure the Georgia Pacific, Lincoln Brand Feeds and Lauppe Farms ERCs</w:t>
            </w:r>
          </w:p>
        </w:tc>
        <w:tc>
          <w:tcPr>
            <w:tcW w:w="772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ENA has secured the Lincoln Brand Feeds credits, and has option agreements in place with the rest of these parties to secure the credits outright.</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Purchase of other ERCs</w:t>
            </w:r>
          </w:p>
        </w:tc>
        <w:tc>
          <w:tcPr>
            <w:tcW w:w="772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Negotiations are in progress with other identified ERC creation sources (Builder’s Pre-Stain, Sierra Pine, Wallace Ranches, Union Pacific Railroad and others).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Complete gas and power interconnection studies</w:t>
            </w:r>
          </w:p>
        </w:tc>
        <w:tc>
          <w:tcPr>
            <w:tcW w:w="772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Applications for these studies have been filed.  Studies are expected to be complete by September 2001.</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Prepare CEC and EPA PSD applications</w:t>
            </w:r>
          </w:p>
        </w:tc>
        <w:tc>
          <w:tcPr>
            <w:tcW w:w="772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These applications are being prepared with an expected filing date of Q3 2001.  Approval is expected Q3 2002.</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Water Supply</w:t>
            </w:r>
          </w:p>
        </w:tc>
        <w:tc>
          <w:tcPr>
            <w:tcW w:w="772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REF will obtain the necessary water supply from the City of Roseville Water Department.  They are constructing a waste treatment facility adjacent to the plant that will provide REF with reclaimed water for use in the plant, as well as provide make-up and fire water for the facility.  Preliminary discussions have been made with further negotiations to take place within the next two months.</w:t>
            </w:r>
          </w:p>
        </w:tc>
      </w:tr>
    </w:tbl>
    <w:p>
      <w:pPr>
        <w:pStyle w:val="Normal"/>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Header"/>
        <w:widowControl/>
        <w:tabs>
          <w:tab w:val="clear" w:pos="4320"/>
          <w:tab w:val="clear" w:pos="8640"/>
        </w:tabs>
        <w:rPr>
          <w:rFonts w:ascii="Arial" w:hAnsi="Arial" w:cs="Arial"/>
          <w:bCs/>
          <w:szCs w:val="24"/>
        </w:rPr>
      </w:pPr>
      <w:r>
        <w:rPr>
          <w:rFonts w:cs="Arial" w:ascii="Arial" w:hAnsi="Arial"/>
          <w:bCs/>
          <w:szCs w:val="24"/>
        </w:rPr>
        <w:t>None</w:t>
      </w:r>
      <w:r>
        <w:br w:type="page"/>
      </w:r>
    </w:p>
    <w:p>
      <w:pPr>
        <w:pStyle w:val="Normal"/>
        <w:rPr>
          <w:rFonts w:ascii="Arial" w:hAnsi="Arial" w:cs="Arial"/>
          <w:b/>
          <w:bCs/>
          <w:sz w:val="20"/>
          <w:szCs w:val="24"/>
        </w:rPr>
      </w:pPr>
      <w:r>
        <w:rPr>
          <w:rFonts w:cs="Arial" w:ascii="Arial" w:hAnsi="Arial"/>
          <w:b/>
          <w:bCs/>
          <w:sz w:val="20"/>
          <w:szCs w:val="24"/>
        </w:rPr>
      </w:r>
    </w:p>
    <w:p>
      <w:pPr>
        <w:pStyle w:val="Normal"/>
        <w:pBdr>
          <w:top w:val="single" w:sz="8" w:space="1" w:color="000000"/>
        </w:pBdr>
        <w:rPr>
          <w:rFonts w:ascii="Arial" w:hAnsi="Arial" w:cs="Arial"/>
          <w:b/>
          <w:sz w:val="20"/>
        </w:rPr>
      </w:pPr>
      <w:r>
        <w:rPr>
          <w:rFonts w:cs="Arial" w:ascii="Arial" w:hAnsi="Arial"/>
          <w:b/>
          <w:sz w:val="20"/>
        </w:rPr>
        <w:t>MILESTONES</w:t>
      </w:r>
    </w:p>
    <w:p>
      <w:pPr>
        <w:pStyle w:val="Normal"/>
        <w:pBdr>
          <w:top w:val="single" w:sz="8" w:space="1" w:color="000000"/>
        </w:pBdr>
        <w:rPr>
          <w:rFonts w:ascii="Arial" w:hAnsi="Arial" w:cs="Arial"/>
          <w:b/>
          <w:sz w:val="20"/>
        </w:rPr>
      </w:pPr>
      <w:r>
        <w:rPr>
          <w:rFonts w:cs="Arial" w:ascii="Arial" w:hAnsi="Arial"/>
          <w:b/>
          <w:sz w:val="20"/>
        </w:rPr>
      </w:r>
    </w:p>
    <w:tbl>
      <w:tblPr>
        <w:tblW w:w="10260" w:type="dxa"/>
        <w:jc w:val="start"/>
        <w:tblInd w:w="108" w:type="dxa"/>
        <w:tblLayout w:type="fixed"/>
        <w:tblCellMar>
          <w:top w:w="0" w:type="dxa"/>
          <w:start w:w="108" w:type="dxa"/>
          <w:bottom w:w="0" w:type="dxa"/>
          <w:end w:w="108" w:type="dxa"/>
        </w:tblCellMar>
      </w:tblPr>
      <w:tblGrid>
        <w:gridCol w:w="2340"/>
        <w:gridCol w:w="792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Date</w:t>
            </w:r>
          </w:p>
        </w:tc>
        <w:tc>
          <w:tcPr>
            <w:tcW w:w="79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Action Item</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May 11, 2001</w:t>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Secure Georgia Pacific, Lincoln Brand Feeds and Lauppe Farms ERC purchase agreements</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June 30, 2001</w:t>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Complete ERC Option Agreements with Sierra Pine, Builder’s Pre-Stain, Wallace Ranches and Union Pacific Railroad</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September 30, 2001</w:t>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Sign Lease Option, Ground Lease and Development Agreements with the City</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September 30, 2001</w:t>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File CEC and EPA PSD permit applications</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December 31, 2001</w:t>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Execute ERC projects for Sierra Pine, Builder’s Pre-Stain, Wallace Ranches and Union Pacific Railroad</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December 31, 2001</w:t>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Implement the Ag Engine Program in Yolo-Solano, Sacramento and Placer Air Districts</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June 30, 2002</w:t>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Complete negotiation of EPC contract</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September 30, 2002</w:t>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CEC Decision</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September 30, 2002</w:t>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EPA PSD Decision/Status of plan for project divestiture</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December 31, 2002</w:t>
            </w:r>
          </w:p>
        </w:tc>
        <w:tc>
          <w:tcPr>
            <w:tcW w:w="79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Cs/>
                <w:sz w:val="20"/>
              </w:rPr>
            </w:pPr>
            <w:r>
              <w:rPr>
                <w:rFonts w:cs="Arial" w:ascii="Arial" w:hAnsi="Arial"/>
                <w:bCs/>
                <w:sz w:val="20"/>
              </w:rPr>
              <w:t>Sale of Project</w:t>
            </w:r>
          </w:p>
        </w:tc>
      </w:tr>
    </w:tbl>
    <w:p>
      <w:pPr>
        <w:pStyle w:val="Normal"/>
        <w:pBdr>
          <w:top w:val="single" w:sz="8" w:space="1" w:color="000000"/>
        </w:pBdr>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932"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354"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4"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448" w:type="dxa"/>
            <w:tcBorders/>
          </w:tcPr>
          <w:p>
            <w:pPr>
              <w:pStyle w:val="Normal"/>
              <w:spacing w:before="120" w:after="0"/>
              <w:rPr>
                <w:rFonts w:ascii="Arial" w:hAnsi="Arial" w:cs="Arial"/>
                <w:sz w:val="20"/>
              </w:rPr>
            </w:pPr>
            <w:r>
              <w:rPr>
                <w:rFonts w:cs="Arial" w:ascii="Arial" w:hAnsi="Arial"/>
                <w:sz w:val="20"/>
              </w:rPr>
              <w:t>Originator</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David Parquet/Mike McDonald</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West Mgmt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Chris Calger</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Tech Services</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Brian Redmond</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Accounting</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Cris Sherman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Lavorato/Louise Kitchen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Legal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Frevert/Greg Whalley</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ENE Global Finance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ENE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4" w:space="0" w:color="000000"/>
            </w:tcBorders>
          </w:tcPr>
          <w:p>
            <w:pPr>
              <w:pStyle w:val="Normal"/>
              <w:spacing w:before="120" w:after="0"/>
              <w:rPr>
                <w:rFonts w:ascii="Arial" w:hAnsi="Arial" w:cs="Arial"/>
                <w:sz w:val="20"/>
              </w:rPr>
            </w:pPr>
            <w:r>
              <w:rPr>
                <w:rFonts w:cs="Arial" w:ascii="Arial" w:hAnsi="Arial"/>
                <w:sz w:val="20"/>
              </w:rPr>
              <w:t>Ken Lay/Jeff Skilling</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r>
        <w:br w:type="page"/>
      </w:r>
    </w:p>
    <w:p>
      <w:pPr>
        <w:pStyle w:val="Normal"/>
        <w:rPr>
          <w:rFonts w:ascii="Arial" w:hAnsi="Arial" w:cs="Arial"/>
          <w:b/>
          <w:sz w:val="20"/>
        </w:rPr>
      </w:pPr>
      <w:r>
        <w:rPr>
          <w:rFonts w:cs="Arial" w:ascii="Arial" w:hAnsi="Arial"/>
          <w:b/>
          <w:sz w:val="20"/>
        </w:rPr>
      </w:r>
    </w:p>
    <w:p>
      <w:pPr>
        <w:pStyle w:val="Normal"/>
        <w:rPr>
          <w:rFonts w:ascii="Arial" w:hAnsi="Arial" w:cs="Arial"/>
          <w:b/>
          <w:sz w:val="20"/>
          <w:u w:val="single"/>
        </w:rPr>
      </w:pPr>
      <w:r>
        <w:rPr>
          <w:rFonts w:cs="Arial" w:ascii="Arial" w:hAnsi="Arial"/>
          <w:b/>
          <w:sz w:val="20"/>
          <w:u w:val="single"/>
        </w:rPr>
        <w:t>Global Finance Summary (addendum to DASH)</w:t>
      </w:r>
    </w:p>
    <w:p>
      <w:pPr>
        <w:pStyle w:val="Normal"/>
        <w:jc w:val="end"/>
        <w:rPr>
          <w:rFonts w:ascii="Arial" w:hAnsi="Arial" w:cs="Arial"/>
          <w:b/>
          <w:sz w:val="20"/>
          <w:u w:val="single"/>
        </w:rPr>
      </w:pPr>
      <w:r>
        <w:rPr>
          <w:rFonts w:cs="Arial" w:ascii="Arial" w:hAnsi="Arial"/>
          <w:b/>
          <w:sz w:val="20"/>
          <w:u w:val="single"/>
        </w:rPr>
      </w:r>
    </w:p>
    <w:p>
      <w:pPr>
        <w:pStyle w:val="Normal"/>
        <w:numPr>
          <w:ilvl w:val="0"/>
          <w:numId w:val="2"/>
        </w:numPr>
        <w:rPr>
          <w:rFonts w:ascii="Arial" w:hAnsi="Arial" w:cs="Arial"/>
          <w:b/>
          <w:sz w:val="20"/>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bottom w:val="single" w:sz="4" w:space="0" w:color="000000"/>
            </w:tcBorders>
          </w:tcPr>
          <w:p>
            <w:pPr>
              <w:pStyle w:val="Normal"/>
              <w:jc w:val="end"/>
              <w:rPr>
                <w:rFonts w:ascii="Arial" w:hAnsi="Arial" w:cs="Arial"/>
                <w:sz w:val="20"/>
              </w:rPr>
            </w:pPr>
            <w:r>
              <w:rPr>
                <w:rFonts w:cs="Arial" w:ascii="Arial" w:hAnsi="Arial"/>
                <w:sz w:val="20"/>
              </w:rPr>
              <w:t>Amount ($000s)</w:t>
            </w:r>
          </w:p>
        </w:tc>
      </w:tr>
      <w:tr>
        <w:trPr/>
        <w:tc>
          <w:tcPr>
            <w:tcW w:w="7650" w:type="dxa"/>
            <w:tcBorders/>
          </w:tcPr>
          <w:p>
            <w:pPr>
              <w:pStyle w:val="Normal"/>
              <w:rPr>
                <w:rFonts w:ascii="Arial" w:hAnsi="Arial" w:cs="Arial"/>
                <w:sz w:val="20"/>
              </w:rPr>
            </w:pPr>
            <w:r>
              <w:rPr>
                <w:rFonts w:cs="Arial" w:ascii="Arial" w:hAnsi="Arial"/>
                <w:sz w:val="20"/>
              </w:rPr>
              <w:t>Total Deal/Project Capital Commitment</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Financing</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Syndications</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Net Enron Investment</w:t>
            </w:r>
          </w:p>
        </w:tc>
        <w:tc>
          <w:tcPr>
            <w:tcW w:w="2250" w:type="dxa"/>
            <w:tcBorders>
              <w:top w:val="single" w:sz="4" w:space="0" w:color="000000"/>
              <w:bottom w:val="single" w:sz="4"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w:t>
            </w:r>
            <w:r/>
            <w:r>
              <w:rPr>
                <w:sz w:val="20"/>
                <w:rFonts w:cs="Arial" w:ascii="Arial" w:hAnsi="Arial"/>
                <w:lang w:val="en-CA" w:eastAsia="en-CA"/>
              </w:rPr>
              <w:fldChar w:fldCharType="end"/>
            </w:r>
            <w:r>
              <w:rPr>
                <w:rFonts w:cs="Arial" w:ascii="Arial" w:hAnsi="Arial"/>
                <w:sz w:val="20"/>
                <w:lang w:val="en-CA" w:eastAsia="en-CA"/>
              </w:rPr>
            </w:r>
          </w:p>
        </w:tc>
      </w:tr>
      <w:tr>
        <w:trPr>
          <w:trHeight w:val="60" w:hRule="exact"/>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top w:val="single" w:sz="4" w:space="0" w:color="000000"/>
              <w:bottom w:val="single" w:sz="4" w:space="0" w:color="000000"/>
            </w:tcBorders>
          </w:tcPr>
          <w:p>
            <w:pPr>
              <w:pStyle w:val="Normal"/>
              <w:snapToGrid w:val="false"/>
              <w:jc w:val="end"/>
              <w:rPr>
                <w:rFonts w:ascii="Arial" w:hAnsi="Arial" w:cs="Arial"/>
                <w:sz w:val="20"/>
              </w:rPr>
            </w:pPr>
            <w:r>
              <w:rPr>
                <w:rFonts w:cs="Arial" w:ascii="Arial" w:hAnsi="Arial"/>
                <w:sz w:val="20"/>
              </w:rPr>
            </w:r>
          </w:p>
        </w:tc>
      </w:tr>
      <w:tr>
        <w:trPr>
          <w:trHeight w:val="23" w:hRule="exact"/>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tcPr>
          <w:p>
            <w:pPr>
              <w:pStyle w:val="Normal"/>
              <w:jc w:val="end"/>
              <w:rPr>
                <w:rFonts w:ascii="Arial" w:hAnsi="Arial" w:cs="Arial"/>
                <w:sz w:val="20"/>
              </w:rPr>
            </w:pPr>
            <w:r>
              <w:rPr>
                <w:rFonts w:cs="Arial" w:ascii="Arial" w:hAnsi="Arial"/>
                <w:sz w:val="20"/>
              </w:rPr>
              <w:br/>
            </w:r>
          </w:p>
        </w:tc>
      </w:tr>
    </w:tbl>
    <w:p>
      <w:pPr>
        <w:pStyle w:val="Normal"/>
        <w:rPr>
          <w:rFonts w:ascii="Arial" w:hAnsi="Arial" w:cs="Arial"/>
          <w:sz w:val="20"/>
        </w:rPr>
      </w:pPr>
      <w:r>
        <w:rPr>
          <w:rFonts w:cs="Arial" w:ascii="Arial" w:hAnsi="Arial"/>
          <w:sz w:val="20"/>
        </w:rPr>
      </w:r>
    </w:p>
    <w:p>
      <w:pPr>
        <w:pStyle w:val="Normal"/>
        <w:numPr>
          <w:ilvl w:val="0"/>
          <w:numId w:val="6"/>
        </w:numPr>
        <w:rPr>
          <w:rFonts w:ascii="Arial" w:hAnsi="Arial" w:cs="Arial"/>
          <w:sz w:val="20"/>
        </w:rPr>
      </w:pPr>
      <w:r>
        <w:rPr>
          <w:rFonts w:cs="Arial" w:ascii="Arial" w:hAnsi="Arial"/>
          <w:b/>
          <w:sz w:val="20"/>
        </w:rPr>
        <w:t>Investment terms and pricing:</w:t>
      </w:r>
      <w:r>
        <w:rPr>
          <w:rFonts w:cs="Arial" w:ascii="Arial" w:hAnsi="Arial"/>
          <w:sz w:val="20"/>
        </w:rPr>
        <w:tab/>
        <w:tab/>
      </w:r>
      <w:r>
        <w:rPr>
          <w:rFonts w:cs="Arial" w:ascii="Arial" w:hAnsi="Arial"/>
          <w:b/>
          <w:bCs/>
          <w:sz w:val="20"/>
        </w:rPr>
        <w:t>Market</w:t>
      </w:r>
      <w:r>
        <w:rPr>
          <w:rFonts w:cs="Arial" w:ascii="Arial" w:hAnsi="Arial"/>
          <w:sz w:val="20"/>
        </w:rPr>
        <w:t>,</w:t>
      </w:r>
      <w:r>
        <w:rPr>
          <w:rFonts w:cs="Arial" w:ascii="Arial" w:hAnsi="Arial"/>
          <w:b/>
          <w:bCs/>
          <w:sz w:val="20"/>
        </w:rPr>
        <w:t xml:space="preserve"> Above Market </w:t>
      </w:r>
      <w:r>
        <w:rPr>
          <w:rFonts w:cs="Arial" w:ascii="Arial" w:hAnsi="Arial"/>
          <w:sz w:val="20"/>
        </w:rPr>
        <w:t>or</w:t>
      </w:r>
      <w:r>
        <w:rPr>
          <w:rFonts w:cs="Arial" w:ascii="Arial" w:hAnsi="Arial"/>
          <w:b/>
          <w:bCs/>
          <w:sz w:val="20"/>
        </w:rPr>
        <w:t xml:space="preserve"> Below Market</w:t>
      </w:r>
      <w:r>
        <w:rPr>
          <w:rFonts w:cs="Arial" w:ascii="Arial" w:hAnsi="Arial"/>
          <w:sz w:val="20"/>
        </w:rPr>
        <w:br/>
        <w:br/>
        <w:t>Describe (if necessary):</w:t>
        <w:br/>
        <w:br/>
        <w:br/>
      </w:r>
    </w:p>
    <w:p>
      <w:pPr>
        <w:pStyle w:val="Normal"/>
        <w:numPr>
          <w:ilvl w:val="0"/>
          <w:numId w:val="6"/>
        </w:numPr>
        <w:rPr>
          <w:rFonts w:ascii="Arial" w:hAnsi="Arial" w:cs="Arial"/>
          <w:sz w:val="20"/>
        </w:rPr>
      </w:pPr>
      <w:r>
        <w:rPr>
          <w:rFonts w:cs="Arial" w:ascii="Arial" w:hAnsi="Arial"/>
          <w:b/>
          <w:sz w:val="20"/>
        </w:rPr>
        <w:t>Financing terms and pricing:</w:t>
      </w:r>
      <w:r>
        <w:rPr>
          <w:rFonts w:cs="Arial" w:ascii="Arial" w:hAnsi="Arial"/>
          <w:sz w:val="20"/>
        </w:rPr>
        <w:tab/>
        <w:tab/>
      </w:r>
      <w:r>
        <w:rPr>
          <w:rFonts w:cs="Arial" w:ascii="Arial" w:hAnsi="Arial"/>
          <w:b/>
          <w:bCs/>
          <w:sz w:val="20"/>
        </w:rPr>
        <w:t>Market</w:t>
      </w:r>
      <w:r>
        <w:rPr>
          <w:rFonts w:cs="Arial" w:ascii="Arial" w:hAnsi="Arial"/>
          <w:sz w:val="20"/>
        </w:rPr>
        <w:t>,</w:t>
      </w:r>
      <w:r>
        <w:rPr>
          <w:rFonts w:cs="Arial" w:ascii="Arial" w:hAnsi="Arial"/>
          <w:b/>
          <w:bCs/>
          <w:sz w:val="20"/>
        </w:rPr>
        <w:t xml:space="preserve"> Above Market </w:t>
      </w:r>
      <w:r>
        <w:rPr>
          <w:rFonts w:cs="Arial" w:ascii="Arial" w:hAnsi="Arial"/>
          <w:sz w:val="20"/>
        </w:rPr>
        <w:t>or</w:t>
      </w:r>
      <w:r>
        <w:rPr>
          <w:rFonts w:cs="Arial" w:ascii="Arial" w:hAnsi="Arial"/>
          <w:b/>
          <w:bCs/>
          <w:sz w:val="20"/>
        </w:rPr>
        <w:t xml:space="preserve"> Below Market</w:t>
      </w:r>
      <w:r>
        <w:rPr>
          <w:rFonts w:cs="Arial" w:ascii="Arial" w:hAnsi="Arial"/>
          <w:sz w:val="20"/>
        </w:rPr>
        <w:br/>
        <w:br/>
        <w:t>Describe (if necessary):</w:t>
        <w:br/>
        <w:br/>
        <w:br/>
      </w:r>
    </w:p>
    <w:p>
      <w:pPr>
        <w:pStyle w:val="Normal"/>
        <w:numPr>
          <w:ilvl w:val="0"/>
          <w:numId w:val="6"/>
        </w:numPr>
        <w:rPr>
          <w:rFonts w:ascii="Arial" w:hAnsi="Arial" w:cs="Arial"/>
          <w:sz w:val="20"/>
        </w:rPr>
      </w:pPr>
      <w:r>
        <w:rPr>
          <w:rFonts w:cs="Arial" w:ascii="Arial" w:hAnsi="Arial"/>
          <w:b/>
          <w:sz w:val="20"/>
        </w:rPr>
        <w:t>Legal or practical liquidity restrictions:</w:t>
      </w:r>
      <w:r>
        <w:rPr>
          <w:rFonts w:cs="Arial" w:ascii="Arial" w:hAnsi="Arial"/>
          <w:sz w:val="20"/>
        </w:rPr>
        <w:tab/>
      </w:r>
      <w:r>
        <w:rPr>
          <w:rFonts w:cs="Arial" w:ascii="Arial" w:hAnsi="Arial"/>
          <w:b/>
          <w:bCs/>
          <w:sz w:val="20"/>
        </w:rPr>
        <w:t>Unrestricted</w:t>
      </w:r>
      <w:r>
        <w:rPr>
          <w:rFonts w:cs="Arial" w:ascii="Arial" w:hAnsi="Arial"/>
          <w:sz w:val="20"/>
        </w:rPr>
        <w:t>,</w:t>
      </w:r>
      <w:r>
        <w:rPr>
          <w:rFonts w:cs="Arial" w:ascii="Arial" w:hAnsi="Arial"/>
          <w:b/>
          <w:bCs/>
          <w:sz w:val="20"/>
        </w:rPr>
        <w:t xml:space="preserve"> Legally Restricted </w:t>
      </w:r>
      <w:r>
        <w:rPr>
          <w:rFonts w:cs="Arial" w:ascii="Arial" w:hAnsi="Arial"/>
          <w:sz w:val="20"/>
        </w:rPr>
        <w:t>or</w:t>
      </w:r>
      <w:r>
        <w:rPr>
          <w:rFonts w:cs="Arial" w:ascii="Arial" w:hAnsi="Arial"/>
          <w:b/>
          <w:bCs/>
          <w:sz w:val="20"/>
        </w:rPr>
        <w:t xml:space="preserve"> Practically Restricted</w:t>
      </w:r>
      <w:r>
        <w:rPr>
          <w:rFonts w:cs="Arial" w:ascii="Arial" w:hAnsi="Arial"/>
          <w:sz w:val="20"/>
        </w:rPr>
        <w:br/>
      </w:r>
    </w:p>
    <w:p>
      <w:pPr>
        <w:pStyle w:val="Normal"/>
        <w:ind w:firstLine="360" w:end="0"/>
        <w:rPr>
          <w:rFonts w:ascii="Arial" w:hAnsi="Arial" w:cs="Arial"/>
          <w:sz w:val="20"/>
        </w:rPr>
      </w:pPr>
      <w:r>
        <w:rPr>
          <w:rFonts w:cs="Arial" w:ascii="Arial" w:hAnsi="Arial"/>
          <w:sz w:val="20"/>
        </w:rPr>
        <w:t>Describe (if necessary):</w:t>
        <w:br/>
        <w:br/>
        <w:br/>
      </w:r>
    </w:p>
    <w:p>
      <w:pPr>
        <w:pStyle w:val="Normal"/>
        <w:numPr>
          <w:ilvl w:val="0"/>
          <w:numId w:val="6"/>
        </w:numPr>
        <w:rPr>
          <w:rFonts w:ascii="Arial" w:hAnsi="Arial" w:cs="Arial"/>
          <w:sz w:val="20"/>
        </w:rPr>
      </w:pPr>
      <w:r>
        <w:rPr>
          <w:rFonts w:cs="Arial" w:ascii="Arial" w:hAnsi="Arial"/>
          <w:b/>
          <w:sz w:val="20"/>
        </w:rPr>
        <w:t>Any recourse to Enron (other than investment):</w:t>
      </w:r>
      <w:r>
        <w:rPr>
          <w:rFonts w:cs="Arial" w:ascii="Arial" w:hAnsi="Arial"/>
          <w:sz w:val="20"/>
        </w:rPr>
        <w:tab/>
        <w:tab/>
      </w:r>
      <w:r>
        <w:rPr>
          <w:rFonts w:cs="Arial" w:ascii="Arial" w:hAnsi="Arial"/>
          <w:b/>
          <w:bCs/>
          <w:sz w:val="20"/>
        </w:rPr>
        <w:t xml:space="preserve">Recourse </w:t>
      </w:r>
      <w:r>
        <w:rPr>
          <w:rFonts w:cs="Arial" w:ascii="Arial" w:hAnsi="Arial"/>
          <w:sz w:val="20"/>
        </w:rPr>
        <w:t>or</w:t>
      </w:r>
      <w:r>
        <w:rPr>
          <w:rFonts w:cs="Arial" w:ascii="Arial" w:hAnsi="Arial"/>
          <w:b/>
          <w:bCs/>
          <w:sz w:val="20"/>
        </w:rPr>
        <w:t xml:space="preserve"> No Recourse</w:t>
      </w:r>
      <w:r>
        <w:rPr>
          <w:rFonts w:cs="Arial" w:ascii="Arial" w:hAnsi="Arial"/>
          <w:sz w:val="20"/>
        </w:rPr>
        <w:br/>
        <w:br/>
        <w:t>Describe (if any):</w:t>
        <w:br/>
        <w:br/>
        <w:br/>
      </w:r>
    </w:p>
    <w:p>
      <w:pPr>
        <w:pStyle w:val="Normal"/>
        <w:numPr>
          <w:ilvl w:val="0"/>
          <w:numId w:val="4"/>
        </w:numPr>
        <w:rPr>
          <w:rFonts w:ascii="Arial" w:hAnsi="Arial" w:cs="Arial"/>
          <w:sz w:val="20"/>
        </w:rPr>
      </w:pPr>
      <w:r>
        <w:rPr>
          <w:rFonts w:cs="Arial" w:ascii="Arial" w:hAnsi="Arial"/>
          <w:b/>
          <w:sz w:val="20"/>
        </w:rPr>
        <w:t>Business unit intent to syndicate:</w:t>
      </w:r>
      <w:r>
        <w:rPr>
          <w:rFonts w:cs="Arial" w:ascii="Arial" w:hAnsi="Arial"/>
          <w:sz w:val="20"/>
        </w:rPr>
        <w:tab/>
        <w:tab/>
      </w:r>
      <w:r>
        <w:rPr>
          <w:rFonts w:cs="Arial" w:ascii="Arial" w:hAnsi="Arial"/>
          <w:b/>
          <w:bCs/>
          <w:sz w:val="20"/>
        </w:rPr>
        <w:t>None</w:t>
      </w:r>
      <w:r>
        <w:rPr>
          <w:rFonts w:cs="Arial" w:ascii="Arial" w:hAnsi="Arial"/>
          <w:sz w:val="20"/>
        </w:rPr>
        <w:t>,</w:t>
      </w:r>
      <w:r>
        <w:rPr>
          <w:rFonts w:cs="Arial" w:ascii="Arial" w:hAnsi="Arial"/>
          <w:b/>
          <w:bCs/>
          <w:sz w:val="20"/>
        </w:rPr>
        <w:t xml:space="preserve"> Partial </w:t>
      </w:r>
      <w:r>
        <w:rPr>
          <w:rFonts w:cs="Arial" w:ascii="Arial" w:hAnsi="Arial"/>
          <w:sz w:val="20"/>
        </w:rPr>
        <w:t>or</w:t>
      </w:r>
      <w:r>
        <w:rPr>
          <w:rFonts w:cs="Arial" w:ascii="Arial" w:hAnsi="Arial"/>
          <w:b/>
          <w:bCs/>
          <w:sz w:val="20"/>
        </w:rPr>
        <w:t xml:space="preserve"> All</w:t>
      </w:r>
      <w:r>
        <w:rPr>
          <w:rFonts w:cs="Arial" w:ascii="Arial" w:hAnsi="Arial"/>
          <w:sz w:val="20"/>
        </w:rPr>
        <w:br/>
        <w:br/>
        <w:t>Describe (if necessary):</w:t>
        <w:br/>
        <w:br/>
      </w:r>
    </w:p>
    <w:p>
      <w:pPr>
        <w:pStyle w:val="Normal"/>
        <w:rPr>
          <w:rFonts w:ascii="Arial" w:hAnsi="Arial" w:cs="Arial"/>
          <w:sz w:val="20"/>
        </w:rPr>
      </w:pPr>
      <w:r>
        <w:rPr>
          <w:rFonts w:cs="Arial" w:ascii="Arial" w:hAnsi="Arial"/>
          <w:sz w:val="20"/>
        </w:rPr>
      </w:r>
    </w:p>
    <w:p>
      <w:pPr>
        <w:pStyle w:val="Normal"/>
        <w:numPr>
          <w:ilvl w:val="0"/>
          <w:numId w:val="7"/>
        </w:numPr>
        <w:rPr>
          <w:rFonts w:ascii="Arial" w:hAnsi="Arial" w:cs="Arial"/>
          <w:sz w:val="20"/>
        </w:rPr>
      </w:pPr>
      <w:r>
        <w:rPr>
          <w:rFonts w:cs="Arial" w:ascii="Arial" w:hAnsi="Arial"/>
          <w:b/>
          <w:sz w:val="20"/>
        </w:rPr>
        <w:t>Intended Enron hold period:</w:t>
        <w:tab/>
        <w:tab/>
        <w:tab/>
      </w:r>
    </w:p>
    <w:p>
      <w:pPr>
        <w:pStyle w:val="Normal"/>
        <w:rPr>
          <w:rFonts w:ascii="Arial" w:hAnsi="Arial" w:cs="Arial"/>
          <w:sz w:val="20"/>
        </w:rPr>
      </w:pPr>
      <w:r>
        <w:rPr>
          <w:rFonts w:cs="Arial" w:ascii="Arial" w:hAnsi="Arial"/>
          <w:sz w:val="20"/>
        </w:rPr>
        <w:br/>
      </w:r>
    </w:p>
    <w:p>
      <w:pPr>
        <w:pStyle w:val="Normal"/>
        <w:numPr>
          <w:ilvl w:val="0"/>
          <w:numId w:val="3"/>
        </w:numPr>
        <w:rPr>
          <w:rFonts w:ascii="Arial" w:hAnsi="Arial" w:cs="Arial"/>
          <w:sz w:val="20"/>
        </w:rPr>
      </w:pPr>
      <w:r>
        <w:rPr>
          <w:rFonts w:cs="Arial" w:ascii="Arial" w:hAnsi="Arial"/>
          <w:b/>
          <w:sz w:val="20"/>
        </w:rPr>
        <w:t>Likely Syndication Market:</w:t>
      </w:r>
      <w:r>
        <w:rPr/>
        <w:tab/>
      </w:r>
    </w:p>
    <w:tbl>
      <w:tblPr>
        <w:tblW w:w="6559" w:type="dxa"/>
        <w:jc w:val="center"/>
        <w:tblInd w:w="0" w:type="dxa"/>
        <w:tblLayout w:type="fixed"/>
        <w:tblCellMar>
          <w:top w:w="0" w:type="dxa"/>
          <w:start w:w="108" w:type="dxa"/>
          <w:bottom w:w="0" w:type="dxa"/>
          <w:end w:w="108" w:type="dxa"/>
        </w:tblCellMar>
      </w:tblPr>
      <w:tblGrid>
        <w:gridCol w:w="533"/>
        <w:gridCol w:w="2750"/>
        <w:gridCol w:w="526"/>
        <w:gridCol w:w="2750"/>
      </w:tblGrid>
      <w:tr>
        <w:trPr/>
        <w:tc>
          <w:tcPr>
            <w:tcW w:w="533"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Industry/Strategic Partner</w:t>
            </w:r>
          </w:p>
        </w:tc>
        <w:tc>
          <w:tcPr>
            <w:tcW w:w="526"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Direct Private Equity</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Capital Markets</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1</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EnSerCo</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LJM 1 or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Condor</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Other:</w:t>
            </w:r>
          </w:p>
        </w:tc>
        <w:tc>
          <w:tcPr>
            <w:tcW w:w="526" w:type="dxa"/>
            <w:tcBorders>
              <w:top w:val="single" w:sz="4" w:space="0" w:color="000000"/>
              <w:bottom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2750" w:type="dxa"/>
            <w:tcBorders/>
          </w:tcPr>
          <w:p>
            <w:pPr>
              <w:pStyle w:val="Normal"/>
              <w:rPr>
                <w:rFonts w:ascii="Arial" w:hAnsi="Arial" w:cs="Arial"/>
                <w:sz w:val="20"/>
              </w:rPr>
            </w:pPr>
            <w:r>
              <w:rPr>
                <w:rFonts w:cs="Arial" w:ascii="Arial" w:hAnsi="Arial"/>
                <w:b/>
                <w:bCs/>
                <w:sz w:val="20"/>
              </w:rPr>
              <w:t>M</w:t>
            </w:r>
            <w:r>
              <w:rPr>
                <w:rFonts w:cs="Arial" w:ascii="Arial" w:hAnsi="Arial"/>
                <w:b/>
                <w:sz w:val="20"/>
              </w:rPr>
              <w:t>argaux</w:t>
            </w:r>
          </w:p>
        </w:tc>
      </w:tr>
    </w:tbl>
    <w:p>
      <w:pPr>
        <w:pStyle w:val="Normal"/>
        <w:tabs>
          <w:tab w:val="left" w:pos="720" w:leader="none"/>
        </w:tabs>
        <w:ind w:start="360" w:end="0"/>
        <w:rPr/>
      </w:pPr>
      <w:r>
        <w:rPr>
          <w:rFonts w:cs="Arial" w:ascii="Arial" w:hAnsi="Arial"/>
          <w:sz w:val="20"/>
        </w:rPr>
        <w:tab/>
        <w:tab/>
      </w:r>
      <w:r>
        <w:rPr>
          <w:rFonts w:cs="Arial" w:ascii="Arial" w:hAnsi="Arial"/>
          <w:b/>
          <w:sz w:val="20"/>
        </w:rPr>
        <w:tab/>
        <w:tab/>
      </w:r>
    </w:p>
    <w:p>
      <w:pPr>
        <w:pStyle w:val="Normal"/>
        <w:tabs>
          <w:tab w:val="clear" w:pos="720"/>
          <w:tab w:val="left" w:pos="4320" w:leader="none"/>
        </w:tabs>
        <w:rPr/>
      </w:pPr>
      <w:r>
        <w:rPr>
          <w:rFonts w:cs="Arial" w:ascii="Arial" w:hAnsi="Arial"/>
          <w:sz w:val="20"/>
        </w:rPr>
        <w:tab/>
      </w:r>
      <w:r>
        <w:rPr>
          <w:rFonts w:cs="Arial" w:ascii="Arial" w:hAnsi="Arial"/>
          <w:b/>
          <w:sz w:val="20"/>
        </w:rPr>
        <w:tab/>
        <w:tab/>
        <w:tab/>
      </w:r>
    </w:p>
    <w:p>
      <w:pPr>
        <w:pStyle w:val="Normal"/>
        <w:numPr>
          <w:ilvl w:val="0"/>
          <w:numId w:val="5"/>
        </w:numPr>
        <w:rPr>
          <w:rFonts w:ascii="Arial" w:hAnsi="Arial" w:cs="Arial"/>
          <w:sz w:val="20"/>
        </w:rPr>
      </w:pPr>
      <w:r>
        <w:rPr>
          <w:rFonts w:cs="Arial" w:ascii="Arial" w:hAnsi="Arial"/>
          <w:b/>
          <w:sz w:val="20"/>
        </w:rPr>
        <w:t>Is this a JEDI 2 “Qualified Investment”?</w:t>
      </w:r>
      <w:r>
        <w:rPr>
          <w:rFonts w:cs="Arial" w:ascii="Arial" w:hAnsi="Arial"/>
          <w:sz w:val="20"/>
        </w:rPr>
        <w:tab/>
        <w:tab/>
      </w:r>
      <w:r>
        <w:rPr>
          <w:rFonts w:cs="Arial" w:ascii="Arial" w:hAnsi="Arial"/>
          <w:b/>
          <w:bCs/>
          <w:sz w:val="20"/>
        </w:rPr>
        <w:t xml:space="preserve">Yes </w:t>
      </w:r>
      <w:r>
        <w:rPr>
          <w:rFonts w:cs="Arial" w:ascii="Arial" w:hAnsi="Arial"/>
          <w:sz w:val="20"/>
        </w:rPr>
        <w:t>or</w:t>
      </w:r>
      <w:r>
        <w:rPr>
          <w:rFonts w:cs="Arial" w:ascii="Arial" w:hAnsi="Arial"/>
          <w:b/>
          <w:bCs/>
          <w:sz w:val="20"/>
        </w:rPr>
        <w:t xml:space="preserve"> No</w:t>
      </w:r>
    </w:p>
    <w:p>
      <w:pPr>
        <w:pStyle w:val="Normal"/>
        <w:ind w:start="360" w:end="0"/>
        <w:rPr>
          <w:rFonts w:ascii="Arial" w:hAnsi="Arial" w:cs="Arial"/>
          <w:sz w:val="20"/>
        </w:rPr>
      </w:pPr>
      <w:r>
        <w:rPr>
          <w:rFonts w:cs="Arial" w:ascii="Arial" w:hAnsi="Arial"/>
          <w:sz w:val="20"/>
        </w:rPr>
      </w:r>
    </w:p>
    <w:tbl>
      <w:tblPr>
        <w:tblW w:w="10440" w:type="dxa"/>
        <w:jc w:val="start"/>
        <w:tblInd w:w="0" w:type="dxa"/>
        <w:tblLayout w:type="fixed"/>
        <w:tblCellMar>
          <w:top w:w="0" w:type="dxa"/>
          <w:start w:w="108" w:type="dxa"/>
          <w:bottom w:w="0" w:type="dxa"/>
          <w:end w:w="108" w:type="dxa"/>
        </w:tblCellMar>
      </w:tblPr>
      <w:tblGrid>
        <w:gridCol w:w="3078"/>
        <w:gridCol w:w="2970"/>
        <w:gridCol w:w="2880"/>
        <w:gridCol w:w="1512"/>
      </w:tblGrid>
      <w:tr>
        <w:trPr/>
        <w:tc>
          <w:tcPr>
            <w:tcW w:w="3078" w:type="dxa"/>
            <w:tcBorders>
              <w:top w:val="single" w:sz="4" w:space="0" w:color="000000"/>
              <w:start w:val="single" w:sz="4" w:space="0" w:color="000000"/>
              <w:bottom w:val="single" w:sz="4" w:space="0" w:color="000000"/>
              <w:end w:val="single" w:sz="4" w:space="0" w:color="000000"/>
            </w:tcBorders>
          </w:tcPr>
          <w:p>
            <w:pPr>
              <w:pStyle w:val="Heading6"/>
              <w:ind w:hanging="0" w:start="0"/>
              <w:rPr>
                <w:rFonts w:ascii="Arial" w:hAnsi="Arial" w:cs="Arial"/>
              </w:rPr>
            </w:pPr>
            <w:r>
              <w:rPr>
                <w:rFonts w:cs="Arial" w:ascii="Arial" w:hAnsi="Arial"/>
              </w:rPr>
              <w:t>Function</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Signature</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Name</w:t>
            </w:r>
          </w:p>
        </w:tc>
        <w:tc>
          <w:tcPr>
            <w:tcW w:w="15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Date</w:t>
            </w:r>
          </w:p>
        </w:tc>
      </w:tr>
      <w:tr>
        <w:trPr>
          <w:trHeight w:val="314"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Representative</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r>
        <w:trPr>
          <w:trHeight w:val="350"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Legal</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bl>
    <w:p>
      <w:pPr>
        <w:pStyle w:val="Normal"/>
        <w:rPr/>
      </w:pPr>
      <w:r>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8</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rFonts w:ascii="Arial" w:hAnsi="Arial" w:cs="Arial"/>
        <w:b/>
      </w:rPr>
    </w:pPr>
    <w:r>
      <w:rPr>
        <w:rFonts w:cs="Arial" w:ascii="Arial" w:hAnsi="Arial"/>
        <w:b/>
      </w:rPr>
      <w:t>RAC Deal Approval Sheet</w:t>
      <w:tab/>
      <w:t xml:space="preserve">                                                                                                               Deal Name: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35"/>
        </w:tabs>
        <w:ind w:start="735" w:hanging="735"/>
      </w:pPr>
      <w:rPr>
        <w:i w:val="false"/>
        <w:b w:val="false"/>
      </w:rPr>
    </w:lvl>
  </w:abstractNum>
  <w:abstractNum w:abstractNumId="3">
    <w:lvl w:ilvl="0">
      <w:start w:val="6"/>
      <w:numFmt w:val="decimal"/>
      <w:lvlText w:val="%1c."/>
      <w:lvlJc w:val="start"/>
      <w:pPr>
        <w:tabs>
          <w:tab w:val="num" w:pos="360"/>
        </w:tabs>
        <w:ind w:start="360" w:hanging="360"/>
      </w:pPr>
      <w:rPr>
        <w:i w:val="false"/>
        <w:b w:val="false"/>
      </w:rPr>
    </w:lvl>
  </w:abstractNum>
  <w:abstractNum w:abstractNumId="4">
    <w:lvl w:ilvl="0">
      <w:start w:val="6"/>
      <w:numFmt w:val="decimal"/>
      <w:lvlText w:val="%1a."/>
      <w:lvlJc w:val="start"/>
      <w:pPr>
        <w:tabs>
          <w:tab w:val="num" w:pos="360"/>
        </w:tabs>
        <w:ind w:start="360" w:hanging="360"/>
      </w:pPr>
    </w:lvl>
  </w:abstractNum>
  <w:abstractNum w:abstractNumId="5">
    <w:lvl w:ilvl="0">
      <w:start w:val="6"/>
      <w:numFmt w:val="decimal"/>
      <w:lvlText w:val="%1d."/>
      <w:lvlJc w:val="start"/>
      <w:pPr>
        <w:tabs>
          <w:tab w:val="num" w:pos="360"/>
        </w:tabs>
        <w:ind w:start="360" w:hanging="360"/>
      </w:pPr>
    </w:lvl>
  </w:abstractNum>
  <w:abstractNum w:abstractNumId="6">
    <w:lvl w:ilvl="0">
      <w:start w:val="2"/>
      <w:numFmt w:val="decimal"/>
      <w:lvlText w:val="%1."/>
      <w:lvlJc w:val="start"/>
      <w:pPr>
        <w:tabs>
          <w:tab w:val="num" w:pos="360"/>
        </w:tabs>
        <w:ind w:start="360" w:hanging="360"/>
      </w:pPr>
    </w:lvl>
  </w:abstractNum>
  <w:abstractNum w:abstractNumId="7">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7">
    <w:name w:val="heading 7"/>
    <w:basedOn w:val="Normal"/>
    <w:next w:val="Normal"/>
    <w:qFormat/>
    <w:pPr>
      <w:keepNext w:val="true"/>
      <w:numPr>
        <w:ilvl w:val="6"/>
        <w:numId w:val="1"/>
      </w:numPr>
      <w:pBdr>
        <w:top w:val="single" w:sz="8" w:space="1" w:color="000000"/>
      </w:pBdr>
      <w:outlineLvl w:val="6"/>
    </w:pPr>
    <w:rPr>
      <w:rFonts w:ascii="Arial" w:hAnsi="Arial" w:cs="Arial"/>
      <w:b/>
      <w:caps/>
      <w:sz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b w:val="false"/>
      <w:i w:val="false"/>
    </w:rPr>
  </w:style>
  <w:style w:type="character" w:styleId="WW8Num2z0">
    <w:name w:val="WW8Num2z0"/>
    <w:qFormat/>
    <w:rPr>
      <w:b w:val="false"/>
      <w:i w:val="false"/>
    </w:rPr>
  </w:style>
  <w:style w:type="character" w:styleId="WW8Num3z0">
    <w:name w:val="WW8Num3z0"/>
    <w:qFormat/>
    <w:rPr>
      <w:rFonts w:ascii="Times New Roman" w:hAnsi="Times New Roman" w:eastAsia="Times New Roman" w:cs="Times New Roman"/>
      <w: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Indent2">
    <w:name w:val="Body Text Indent 2"/>
    <w:basedOn w:val="Normal"/>
    <w:qFormat/>
    <w:pPr>
      <w:ind w:hanging="1440" w:start="1440" w:end="0"/>
    </w:pPr>
    <w:rPr>
      <w:sz w:val="20"/>
      <w:szCs w:val="20"/>
    </w:rPr>
  </w:style>
  <w:style w:type="paragraph" w:styleId="BodyText2">
    <w:name w:val="Body Text 2"/>
    <w:basedOn w:val="Normal"/>
    <w:qFormat/>
    <w:pPr>
      <w:pBdr>
        <w:top w:val="single" w:sz="8" w:space="1" w:color="000000"/>
      </w:pBdr>
    </w:pPr>
    <w:rPr>
      <w:rFonts w:ascii="Arial" w:hAnsi="Arial" w:cs="Arial"/>
      <w:bCs/>
      <w:sz w:val="20"/>
    </w:rPr>
  </w:style>
  <w:style w:type="paragraph" w:styleId="BodyText3">
    <w:name w:val="Body Text 3"/>
    <w:basedOn w:val="Normal"/>
    <w:qFormat/>
    <w:pPr>
      <w:jc w:val="both"/>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2001-05-11T17:51:00Z</dcterms:created>
  <dc:creator>kjolly</dc:creator>
  <dc:description/>
  <dc:language>en-CA</dc:language>
  <cp:lastModifiedBy>cschneid</cp:lastModifiedBy>
  <cp:lastPrinted>2001-04-26T18:16:00Z</cp:lastPrinted>
  <dcterms:modified xsi:type="dcterms:W3CDTF">2001-05-11T18:30:00Z</dcterms:modified>
  <cp:revision>7</cp:revision>
  <dc:subject/>
  <dc:title>ENRON RISK ASSESSMENT AND CONTROL</dc:title>
</cp:coreProperties>
</file>