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36"/>
        <w:jc w:val="both"/>
        <w:rPr>
          <w:rFonts w:ascii="Arial" w:hAnsi="Arial" w:cs="Arial"/>
          <w:sz w:val="20"/>
        </w:rPr>
      </w:pPr>
      <w:r>
        <w:rPr>
          <w:rFonts w:cs="Arial" w:ascii="Arial" w:hAnsi="Arial"/>
          <w:sz w:val="20"/>
        </w:rPr>
      </w:r>
    </w:p>
    <w:p>
      <w:pPr>
        <w:pStyle w:val="Normal"/>
        <w:ind w:end="-36"/>
        <w:jc w:val="both"/>
        <w:rPr>
          <w:rFonts w:ascii="Arial" w:hAnsi="Arial" w:cs="Arial"/>
          <w:sz w:val="20"/>
        </w:rPr>
      </w:pPr>
      <w:r>
        <w:rPr>
          <w:rFonts w:cs="Arial" w:ascii="Arial" w:hAnsi="Arial"/>
          <w:sz w:val="20"/>
        </w:rPr>
        <w:t>The plant is located in the SERC service territory and has land available for  additional power generation facilities.</w:t>
      </w:r>
    </w:p>
    <w:p>
      <w:pPr>
        <w:pStyle w:val="Normal"/>
        <w:ind w:end="-36"/>
        <w:jc w:val="both"/>
        <w:rPr>
          <w:rFonts w:ascii="Arial" w:hAnsi="Arial" w:cs="Arial"/>
          <w:sz w:val="20"/>
        </w:rPr>
      </w:pPr>
      <w:r>
        <w:rPr>
          <w:rFonts w:cs="Arial" w:ascii="Arial" w:hAnsi="Arial"/>
          <w:sz w:val="20"/>
        </w:rPr>
      </w:r>
    </w:p>
    <w:p>
      <w:pPr>
        <w:pStyle w:val="Normal"/>
        <w:pBdr>
          <w:top w:val="single" w:sz="8" w:space="1" w:color="000000"/>
        </w:pBdr>
        <w:ind w:end="-36"/>
        <w:rPr/>
      </w:pPr>
      <w:r>
        <w:rPr>
          <w:rFonts w:cs="Arial" w:ascii="Arial" w:hAnsi="Arial"/>
          <w:b/>
          <w:sz w:val="20"/>
        </w:rPr>
        <w:t>EXIT STRATEGY</w:t>
      </w:r>
      <w:r>
        <w:rPr>
          <w:rFonts w:cs="Arial" w:ascii="Arial" w:hAnsi="Arial"/>
          <w:sz w:val="20"/>
        </w:rPr>
        <w:t xml:space="preserve"> </w:t>
      </w:r>
    </w:p>
    <w:p>
      <w:pPr>
        <w:pStyle w:val="Normal"/>
        <w:pBdr>
          <w:top w:val="single" w:sz="8" w:space="1" w:color="000000"/>
        </w:pBdr>
        <w:ind w:end="-36"/>
        <w:rPr>
          <w:rFonts w:ascii="Arial" w:hAnsi="Arial" w:cs="Arial"/>
          <w:sz w:val="20"/>
        </w:rPr>
      </w:pPr>
      <w:r>
        <w:rPr>
          <w:rFonts w:cs="Arial" w:ascii="Arial" w:hAnsi="Arial"/>
          <w:sz w:val="20"/>
        </w:rPr>
      </w:r>
    </w:p>
    <w:p>
      <w:pPr>
        <w:pStyle w:val="Normal"/>
        <w:pBdr>
          <w:top w:val="single" w:sz="8" w:space="1" w:color="000000"/>
        </w:pBdr>
        <w:ind w:end="-36"/>
        <w:jc w:val="both"/>
        <w:rPr>
          <w:rFonts w:ascii="Arial" w:hAnsi="Arial" w:cs="Arial"/>
          <w:sz w:val="20"/>
        </w:rPr>
      </w:pPr>
      <w:r>
        <w:rPr>
          <w:rFonts w:cs="Arial" w:ascii="Arial" w:hAnsi="Arial"/>
          <w:sz w:val="20"/>
        </w:rPr>
        <w:t>This is a strategic investment with a contemplated seven-year holding period.  Earlier sale will be allowed with a “make-whole” provision (the consequences of which are described above) and a buy-out of GP’s equity interest</w:t>
      </w:r>
    </w:p>
    <w:p>
      <w:pPr>
        <w:pStyle w:val="Normal"/>
        <w:ind w:end="-36"/>
        <w:jc w:val="both"/>
        <w:rPr>
          <w:rFonts w:ascii="Arial" w:hAnsi="Arial" w:cs="Arial"/>
          <w:sz w:val="20"/>
        </w:rPr>
      </w:pPr>
      <w:r>
        <w:rPr>
          <w:rFonts w:cs="Arial" w:ascii="Arial" w:hAnsi="Arial"/>
          <w:sz w:val="20"/>
        </w:rPr>
      </w:r>
    </w:p>
    <w:p>
      <w:pPr>
        <w:pStyle w:val="Normal"/>
        <w:pBdr>
          <w:top w:val="single" w:sz="8" w:space="1" w:color="000000"/>
        </w:pBdr>
        <w:ind w:end="-36"/>
        <w:rPr>
          <w:rFonts w:ascii="Arial" w:hAnsi="Arial" w:cs="Arial"/>
          <w:b/>
          <w:bCs/>
          <w:iCs/>
          <w:sz w:val="20"/>
        </w:rPr>
      </w:pPr>
      <w:r>
        <w:rPr>
          <w:rFonts w:cs="Arial" w:ascii="Arial" w:hAnsi="Arial"/>
          <w:b/>
          <w:bCs/>
          <w:iCs/>
          <w:sz w:val="20"/>
        </w:rPr>
        <w:t>RISK MATRIX</w:t>
      </w:r>
    </w:p>
    <w:p>
      <w:pPr>
        <w:pStyle w:val="Normal"/>
        <w:pBdr>
          <w:top w:val="single" w:sz="8" w:space="1" w:color="000000"/>
        </w:pBdr>
        <w:ind w:end="-36"/>
        <w:jc w:val="both"/>
        <w:rPr>
          <w:rFonts w:ascii="Arial" w:hAnsi="Arial" w:cs="Arial"/>
          <w:b/>
          <w:bCs/>
          <w:iCs/>
          <w:sz w:val="20"/>
        </w:rPr>
      </w:pPr>
      <w:r>
        <w:rPr>
          <w:rFonts w:cs="Arial" w:ascii="Arial" w:hAnsi="Arial"/>
          <w:b/>
          <w:bCs/>
          <w:iCs/>
          <w:sz w:val="20"/>
        </w:rPr>
      </w:r>
    </w:p>
    <w:tbl>
      <w:tblPr>
        <w:tblW w:w="9990" w:type="dxa"/>
        <w:jc w:val="start"/>
        <w:tblInd w:w="378" w:type="dxa"/>
        <w:tblLayout w:type="fixed"/>
        <w:tblCellMar>
          <w:top w:w="0" w:type="dxa"/>
          <w:start w:w="108" w:type="dxa"/>
          <w:bottom w:w="0" w:type="dxa"/>
          <w:end w:w="108" w:type="dxa"/>
        </w:tblCellMar>
      </w:tblPr>
      <w:tblGrid>
        <w:gridCol w:w="3690"/>
        <w:gridCol w:w="6300"/>
      </w:tblGrid>
      <w:tr>
        <w:trPr/>
        <w:tc>
          <w:tcPr>
            <w:tcW w:w="3690" w:type="dxa"/>
            <w:tcBorders>
              <w:top w:val="single" w:sz="6" w:space="0" w:color="000000"/>
              <w:start w:val="single" w:sz="6" w:space="0" w:color="000000"/>
              <w:bottom w:val="single" w:sz="6" w:space="0" w:color="000000"/>
              <w:end w:val="single" w:sz="6" w:space="0" w:color="000000"/>
            </w:tcBorders>
          </w:tcPr>
          <w:p>
            <w:pPr>
              <w:pStyle w:val="Heading6"/>
              <w:ind w:hanging="0" w:start="0"/>
              <w:rPr>
                <w:rFonts w:ascii="Arial" w:hAnsi="Arial" w:cs="Arial"/>
                <w:szCs w:val="24"/>
              </w:rPr>
            </w:pPr>
            <w:r>
              <w:rPr>
                <w:rFonts w:cs="Arial" w:ascii="Arial" w:hAnsi="Arial"/>
                <w:szCs w:val="24"/>
              </w:rPr>
              <w:t>RISK DESCRIPTION</w:t>
            </w:r>
          </w:p>
        </w:tc>
        <w:tc>
          <w:tcPr>
            <w:tcW w:w="630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369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bCs/>
                <w:szCs w:val="24"/>
              </w:rPr>
            </w:pPr>
            <w:r>
              <w:rPr>
                <w:rFonts w:cs="Arial" w:ascii="Arial" w:hAnsi="Arial"/>
                <w:bCs/>
                <w:szCs w:val="24"/>
              </w:rPr>
              <w:t>Operating Risk</w:t>
            </w:r>
          </w:p>
          <w:p>
            <w:pPr>
              <w:pStyle w:val="BodyText"/>
              <w:rPr/>
            </w:pPr>
            <w:r>
              <w:rPr/>
              <w:t>NewCo may be exposed to hidden integration and/or transition costs</w:t>
            </w:r>
          </w:p>
          <w:p>
            <w:pPr>
              <w:pStyle w:val="Normal"/>
              <w:ind w:end="-36"/>
              <w:rPr>
                <w:rFonts w:ascii="Arial" w:hAnsi="Arial" w:cs="Arial"/>
                <w:sz w:val="20"/>
              </w:rPr>
            </w:pPr>
            <w:r>
              <w:rPr>
                <w:rFonts w:cs="Arial" w:ascii="Arial" w:hAnsi="Arial"/>
                <w:sz w:val="20"/>
              </w:rPr>
            </w:r>
          </w:p>
          <w:p>
            <w:pPr>
              <w:pStyle w:val="Heading7"/>
              <w:ind w:hanging="0" w:start="0"/>
              <w:rPr>
                <w:rFonts w:ascii="Arial" w:hAnsi="Arial" w:cs="Arial"/>
                <w:sz w:val="20"/>
              </w:rPr>
            </w:pPr>
            <w:r>
              <w:rPr>
                <w:rFonts w:cs="Arial"/>
                <w:sz w:val="20"/>
              </w:rPr>
            </w:r>
          </w:p>
          <w:p>
            <w:pPr>
              <w:pStyle w:val="Heading7"/>
              <w:ind w:hanging="0" w:start="0"/>
              <w:rPr/>
            </w:pPr>
            <w:r>
              <w:rPr/>
            </w:r>
          </w:p>
          <w:p>
            <w:pPr>
              <w:pStyle w:val="Heading7"/>
              <w:ind w:hanging="0" w:start="0"/>
              <w:rPr/>
            </w:pPr>
            <w:r>
              <w:rPr/>
            </w:r>
          </w:p>
          <w:p>
            <w:pPr>
              <w:pStyle w:val="Heading7"/>
              <w:ind w:hanging="0" w:start="0"/>
              <w:rPr/>
            </w:pPr>
            <w:r>
              <w:rPr/>
            </w:r>
          </w:p>
          <w:p>
            <w:pPr>
              <w:pStyle w:val="Heading7"/>
              <w:ind w:hanging="0" w:start="0"/>
              <w:rPr/>
            </w:pPr>
            <w:r>
              <w:rPr/>
              <w:t>Enron lacks pulp mill operating expertise</w:t>
            </w:r>
          </w:p>
        </w:tc>
        <w:tc>
          <w:tcPr>
            <w:tcW w:w="6300" w:type="dxa"/>
            <w:tcBorders>
              <w:top w:val="single" w:sz="6" w:space="0" w:color="000000"/>
              <w:start w:val="single" w:sz="6" w:space="0" w:color="000000"/>
              <w:bottom w:val="single" w:sz="6" w:space="0" w:color="000000"/>
              <w:end w:val="single" w:sz="6" w:space="0" w:color="000000"/>
            </w:tcBorders>
          </w:tcPr>
          <w:p>
            <w:pPr>
              <w:pStyle w:val="Normal"/>
              <w:snapToGrid w:val="false"/>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t xml:space="preserve">Corporate overhead expenses have been accounted for in the asset valuation model.  ENE due diligence teams are comfortable that Accounting, IT and Human Resources integration issues have been addressed.  Additionally, the due diligence and transition teams include EIM personnel that managed the transition and integration of Garden State and Stadacona.  </w:t>
            </w:r>
          </w:p>
          <w:p>
            <w:pPr>
              <w:pStyle w:val="Normal"/>
              <w:ind w:end="-36"/>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EIM intends to keep the existing mill management team and employees.  The mill workforce is a highly skilled, non-union, properly compensated team that has a proven track record of performance improvement.  EIM is rapidly expanding its asset management expertise given experience with existing newsprint assets.</w:t>
            </w:r>
          </w:p>
        </w:tc>
      </w:tr>
      <w:tr>
        <w:trPr/>
        <w:tc>
          <w:tcPr>
            <w:tcW w:w="369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bCs/>
                <w:szCs w:val="24"/>
              </w:rPr>
            </w:pPr>
            <w:r>
              <w:rPr>
                <w:rFonts w:cs="Arial" w:ascii="Arial" w:hAnsi="Arial"/>
                <w:bCs/>
                <w:szCs w:val="24"/>
              </w:rPr>
              <w:t>Credit / Market Risk</w:t>
            </w:r>
          </w:p>
          <w:p>
            <w:pPr>
              <w:pStyle w:val="Normal"/>
              <w:ind w:end="-36"/>
              <w:rPr>
                <w:rFonts w:ascii="Arial" w:hAnsi="Arial" w:cs="Arial"/>
                <w:bCs/>
                <w:i/>
                <w:i/>
                <w:iCs/>
                <w:sz w:val="20"/>
                <w:szCs w:val="24"/>
              </w:rPr>
            </w:pPr>
            <w:r>
              <w:rPr>
                <w:rFonts w:cs="Arial" w:ascii="Arial" w:hAnsi="Arial"/>
                <w:bCs/>
                <w:i/>
                <w:iCs/>
                <w:sz w:val="20"/>
                <w:szCs w:val="24"/>
              </w:rPr>
            </w:r>
          </w:p>
          <w:p>
            <w:pPr>
              <w:pStyle w:val="Normal"/>
              <w:ind w:end="-36"/>
              <w:rPr>
                <w:rFonts w:ascii="Arial" w:hAnsi="Arial" w:cs="Arial"/>
                <w:i/>
                <w:i/>
                <w:iCs/>
                <w:sz w:val="20"/>
              </w:rPr>
            </w:pPr>
            <w:r>
              <w:rPr>
                <w:rFonts w:cs="Arial" w:ascii="Arial" w:hAnsi="Arial"/>
                <w:i/>
                <w:iCs/>
                <w:sz w:val="20"/>
              </w:rPr>
            </w:r>
          </w:p>
          <w:p>
            <w:pPr>
              <w:pStyle w:val="Normal"/>
              <w:ind w:end="-36"/>
              <w:rPr>
                <w:rFonts w:ascii="Arial" w:hAnsi="Arial" w:cs="Arial"/>
                <w:i/>
                <w:i/>
                <w:iCs/>
                <w:sz w:val="20"/>
              </w:rPr>
            </w:pPr>
            <w:r>
              <w:rPr>
                <w:rFonts w:cs="Arial" w:ascii="Arial" w:hAnsi="Arial"/>
                <w:i/>
                <w:iCs/>
                <w:sz w:val="20"/>
              </w:rPr>
              <w:t xml:space="preserve">By entering into a seven-year fiber supply agreement, Enron is taking on GP performance risk. </w:t>
            </w:r>
          </w:p>
          <w:p>
            <w:pPr>
              <w:pStyle w:val="Normal"/>
              <w:rPr>
                <w:rFonts w:ascii="Arial" w:hAnsi="Arial" w:cs="Arial"/>
                <w:i/>
                <w:i/>
                <w:iCs/>
                <w:sz w:val="20"/>
              </w:rPr>
            </w:pPr>
            <w:r>
              <w:rPr>
                <w:rFonts w:cs="Arial" w:ascii="Arial" w:hAnsi="Arial"/>
                <w:i/>
                <w:iCs/>
                <w:sz w:val="20"/>
              </w:rPr>
            </w:r>
          </w:p>
          <w:p>
            <w:pPr>
              <w:pStyle w:val="Normal"/>
              <w:rPr>
                <w:rFonts w:ascii="Arial" w:hAnsi="Arial" w:cs="Arial"/>
                <w:i/>
                <w:i/>
                <w:iCs/>
                <w:sz w:val="20"/>
              </w:rPr>
            </w:pPr>
            <w:r>
              <w:rPr>
                <w:rFonts w:cs="Arial" w:ascii="Arial" w:hAnsi="Arial"/>
                <w:i/>
                <w:iCs/>
                <w:sz w:val="20"/>
              </w:rPr>
            </w:r>
          </w:p>
          <w:p>
            <w:pPr>
              <w:pStyle w:val="Normal"/>
              <w:rPr>
                <w:rFonts w:ascii="Arial" w:hAnsi="Arial" w:cs="Arial"/>
                <w:i/>
                <w:i/>
                <w:iCs/>
                <w:sz w:val="20"/>
              </w:rPr>
            </w:pPr>
            <w:r>
              <w:rPr>
                <w:rFonts w:cs="Arial" w:ascii="Arial" w:hAnsi="Arial"/>
                <w:i/>
                <w:iCs/>
                <w:sz w:val="20"/>
              </w:rPr>
            </w:r>
          </w:p>
          <w:p>
            <w:pPr>
              <w:pStyle w:val="Normal"/>
              <w:rPr>
                <w:rFonts w:ascii="Arial" w:hAnsi="Arial" w:cs="Arial"/>
                <w:i/>
                <w:i/>
                <w:iCs/>
                <w:sz w:val="20"/>
              </w:rPr>
            </w:pPr>
            <w:r>
              <w:rPr>
                <w:rFonts w:cs="Arial" w:ascii="Arial" w:hAnsi="Arial"/>
                <w:i/>
                <w:iCs/>
                <w:sz w:val="20"/>
              </w:rPr>
              <w:t>NBSK is the industry standard pulp grade.   EIM may be exposed to market risk by taking a position in a commodity that is NOT the industry benchmark.</w:t>
            </w:r>
          </w:p>
          <w:p>
            <w:pPr>
              <w:pStyle w:val="Normal"/>
              <w:rPr>
                <w:rFonts w:ascii="Arial" w:hAnsi="Arial" w:cs="Arial"/>
                <w:i/>
                <w:i/>
                <w:iCs/>
                <w:sz w:val="20"/>
              </w:rPr>
            </w:pPr>
            <w:r>
              <w:rPr>
                <w:rFonts w:cs="Arial" w:ascii="Arial" w:hAnsi="Arial"/>
                <w:i/>
                <w:iCs/>
                <w:sz w:val="20"/>
              </w:rPr>
            </w:r>
          </w:p>
        </w:tc>
        <w:tc>
          <w:tcPr>
            <w:tcW w:w="6300" w:type="dxa"/>
            <w:tcBorders>
              <w:top w:val="single" w:sz="6" w:space="0" w:color="000000"/>
              <w:start w:val="single" w:sz="6" w:space="0" w:color="000000"/>
              <w:bottom w:val="single" w:sz="6" w:space="0" w:color="000000"/>
              <w:end w:val="single" w:sz="6" w:space="0" w:color="000000"/>
            </w:tcBorders>
          </w:tcPr>
          <w:p>
            <w:pPr>
              <w:pStyle w:val="BodyText3"/>
              <w:rPr/>
            </w:pPr>
            <w:r>
              <w:rPr/>
              <w:t xml:space="preserve">The EIM pulp book will own 100% of the mill’s SBSK production (554,500MT).  </w:t>
            </w:r>
          </w:p>
          <w:p>
            <w:pPr>
              <w:pStyle w:val="BodyText3"/>
              <w:rPr/>
            </w:pPr>
            <w:r>
              <w:rPr/>
            </w:r>
          </w:p>
          <w:p>
            <w:pPr>
              <w:pStyle w:val="BodyText3"/>
              <w:rPr/>
            </w:pPr>
            <w:r>
              <w:rPr/>
              <w:t>The mill is trading fiber price volatility for GP credit risk and fiber procurement risk.  GP perceives economic value for the fiber supply agreement and therefore has incentive to perform according to the terms of the agreement. GP has a BBB-/ Baa3 credit rating. The contract will not have liquidated damages.</w:t>
            </w:r>
          </w:p>
          <w:p>
            <w:pPr>
              <w:pStyle w:val="Normal"/>
              <w:ind w:end="-36"/>
              <w:rPr>
                <w:rFonts w:ascii="Arial" w:hAnsi="Arial" w:eastAsia="Arial" w:cs="Arial"/>
                <w:sz w:val="20"/>
              </w:rPr>
            </w:pPr>
            <w:r>
              <w:rPr>
                <w:rFonts w:eastAsia="Arial" w:cs="Arial" w:ascii="Arial" w:hAnsi="Arial"/>
                <w:sz w:val="20"/>
              </w:rPr>
              <w:t xml:space="preserve"> </w:t>
            </w:r>
          </w:p>
          <w:p>
            <w:pPr>
              <w:pStyle w:val="Normal"/>
              <w:jc w:val="both"/>
              <w:rPr>
                <w:rFonts w:ascii="Arial" w:hAnsi="Arial" w:cs="Arial"/>
                <w:sz w:val="20"/>
              </w:rPr>
            </w:pPr>
            <w:r>
              <w:rPr>
                <w:rFonts w:cs="Arial" w:ascii="Arial" w:hAnsi="Arial"/>
                <w:sz w:val="20"/>
              </w:rPr>
              <w:t>SBSK is a lower value alternative to NBSK for many end-uses and thus, is sold at discount to NBSK (historically @$40/MT, or 7% discount).  In addition to this market discount, we have included an additional $23/MT (11% total) discount to our forward curve in the valuation of this asset.  SBSK pricing is highly correlated with NBSK. SBSK represents 43% of annual US pulp production.</w:t>
            </w:r>
          </w:p>
        </w:tc>
      </w:tr>
      <w:tr>
        <w:trPr/>
        <w:tc>
          <w:tcPr>
            <w:tcW w:w="369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bCs/>
                <w:i/>
                <w:i/>
                <w:iCs/>
                <w:szCs w:val="24"/>
              </w:rPr>
            </w:pPr>
            <w:r>
              <w:rPr>
                <w:rFonts w:cs="Arial" w:ascii="Arial" w:hAnsi="Arial"/>
                <w:bCs/>
                <w:szCs w:val="24"/>
              </w:rPr>
              <w:t xml:space="preserve">Environmental / Permitting Risk </w:t>
            </w:r>
          </w:p>
          <w:p>
            <w:pPr>
              <w:pStyle w:val="Normal"/>
              <w:rPr>
                <w:rFonts w:ascii="Arial" w:hAnsi="Arial" w:cs="Arial"/>
                <w:sz w:val="20"/>
              </w:rPr>
            </w:pPr>
            <w:r>
              <w:rPr>
                <w:rFonts w:cs="Arial" w:ascii="Arial" w:hAnsi="Arial"/>
                <w:i/>
                <w:iCs/>
                <w:sz w:val="20"/>
              </w:rPr>
              <w:t>As is the case with most industrial plants, potential exists for litigation or environmental compliance issues associated with the asset.</w:t>
            </w:r>
          </w:p>
        </w:tc>
        <w:tc>
          <w:tcPr>
            <w:tcW w:w="6300" w:type="dxa"/>
            <w:tcBorders>
              <w:top w:val="single" w:sz="6" w:space="0" w:color="000000"/>
              <w:start w:val="single" w:sz="6" w:space="0" w:color="000000"/>
              <w:bottom w:val="single" w:sz="6" w:space="0" w:color="000000"/>
              <w:end w:val="single" w:sz="6" w:space="0" w:color="000000"/>
            </w:tcBorders>
          </w:tcPr>
          <w:p>
            <w:pPr>
              <w:pStyle w:val="Normal"/>
              <w:snapToGrid w:val="false"/>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t xml:space="preserve">Environmental due diligence is being performed by ENE, EHS, external legal counsel (Vinson &amp; Elkins) and third party technical consultants (Pilko &amp; Associates, Inc.). These efforts have uncovered no material issues.  EIM continues to negotiate with GP to obtain coverage for post-closing discoveries as well as appropriate credit support of the seller’s ability to meet such liabilities. </w:t>
            </w:r>
          </w:p>
          <w:p>
            <w:pPr>
              <w:pStyle w:val="Normal"/>
              <w:jc w:val="both"/>
              <w:rPr>
                <w:rFonts w:ascii="Arial" w:hAnsi="Arial" w:cs="Arial"/>
                <w:sz w:val="20"/>
              </w:rPr>
            </w:pPr>
            <w:r>
              <w:rPr>
                <w:rFonts w:cs="Arial" w:ascii="Arial" w:hAnsi="Arial"/>
                <w:sz w:val="20"/>
              </w:rPr>
            </w:r>
          </w:p>
        </w:tc>
      </w:tr>
      <w:tr>
        <w:trPr/>
        <w:tc>
          <w:tcPr>
            <w:tcW w:w="369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bCs/>
                <w:szCs w:val="24"/>
              </w:rPr>
            </w:pPr>
            <w:r>
              <w:rPr>
                <w:rFonts w:cs="Arial" w:ascii="Arial" w:hAnsi="Arial"/>
                <w:bCs/>
                <w:szCs w:val="24"/>
              </w:rPr>
              <w:t>Legal Risk</w:t>
            </w:r>
          </w:p>
        </w:tc>
        <w:tc>
          <w:tcPr>
            <w:tcW w:w="6300" w:type="dxa"/>
            <w:tcBorders>
              <w:top w:val="single" w:sz="6" w:space="0" w:color="000000"/>
              <w:start w:val="single" w:sz="6" w:space="0" w:color="000000"/>
              <w:bottom w:val="single" w:sz="6" w:space="0" w:color="000000"/>
              <w:end w:val="single" w:sz="6" w:space="0" w:color="000000"/>
            </w:tcBorders>
          </w:tcPr>
          <w:p>
            <w:pPr>
              <w:pStyle w:val="Normal"/>
              <w:jc w:val="both"/>
              <w:rPr/>
            </w:pPr>
            <w:r>
              <w:rPr>
                <w:rFonts w:cs="Arial" w:ascii="Arial" w:hAnsi="Arial"/>
                <w:b/>
                <w:bCs/>
                <w:sz w:val="20"/>
              </w:rPr>
              <w:t>Legal Risk Rating has not been finalized.</w:t>
            </w:r>
            <w:r>
              <w:rPr>
                <w:rFonts w:cs="Arial" w:ascii="Arial" w:hAnsi="Arial"/>
                <w:sz w:val="20"/>
              </w:rPr>
              <w:t xml:space="preserve">  The diligence investigation, including labor, environmental, tax and liabilities to be assumed is still underway.  No “deal-breaker” issues have been uncovered.  Documentation relating to the creation of Newco, its capitalization and operations is in early stages. In addition, there are multiple ancillary agreements regarding power, transportation, fiber supply and by-product off-take, among others, that must be addressed.  A legal risk memo will be prepared after resolution of all of these outstanding issues.</w:t>
            </w:r>
          </w:p>
        </w:tc>
      </w:tr>
    </w:tbl>
    <w:p>
      <w:pPr>
        <w:pStyle w:val="Normal"/>
        <w:ind w:end="-36"/>
        <w:rPr>
          <w:rFonts w:ascii="Arial" w:hAnsi="Arial" w:cs="Arial"/>
          <w:sz w:val="20"/>
        </w:rPr>
      </w:pPr>
      <w:r>
        <w:rPr>
          <w:rFonts w:cs="Arial" w:ascii="Arial" w:hAnsi="Arial"/>
          <w:sz w:val="20"/>
        </w:rPr>
      </w:r>
    </w:p>
    <w:p>
      <w:pPr>
        <w:pStyle w:val="Header"/>
        <w:widowControl/>
        <w:tabs>
          <w:tab w:val="clear" w:pos="4320"/>
          <w:tab w:val="clear" w:pos="8640"/>
        </w:tabs>
        <w:rPr>
          <w:rFonts w:ascii="Arial" w:hAnsi="Arial" w:cs="Arial"/>
          <w:sz w:val="20"/>
          <w:szCs w:val="24"/>
        </w:rPr>
      </w:pPr>
      <w:r>
        <w:rPr>
          <w:rFonts w:cs="Arial" w:ascii="Arial" w:hAnsi="Arial"/>
          <w:sz w:val="20"/>
          <w:szCs w:val="24"/>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sz w:val="16"/>
      </w:rPr>
    </w:pPr>
    <w:r>
      <w:rPr>
        <w:rFonts w:cs="Arial" w:ascii="Arial" w:hAnsi="Arial"/>
        <w:sz w:val="16"/>
      </w:rPr>
      <w:t>Page 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DASH_Replacement_Page.doc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Deal Name: LRPM_DASH_092101</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outlineLvl w:val="6"/>
    </w:pPr>
    <w:rPr>
      <w:rFonts w:ascii="Arial" w:hAnsi="Arial" w:cs="Arial"/>
      <w:i/>
      <w:iCs/>
      <w:sz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b w:val="false"/>
      <w:i w:val="false"/>
    </w:rPr>
  </w:style>
  <w:style w:type="character" w:styleId="WW8Num4z0">
    <w:name w:val="WW8Num4z0"/>
    <w:qFormat/>
    <w:rPr>
      <w:b w:val="false"/>
      <w:i w:val="false"/>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ind w:hanging="0" w:start="0" w:end="-36"/>
    </w:pPr>
    <w:rPr>
      <w:rFonts w:ascii="Arial" w:hAnsi="Arial" w:cs="Arial"/>
      <w:i/>
      <w:iC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rPr>
      <w:rFonts w:ascii="Arial" w:hAnsi="Arial" w:cs="Arial"/>
      <w:bCs/>
      <w:sz w:val="20"/>
    </w:rPr>
  </w:style>
  <w:style w:type="paragraph" w:styleId="BodyText3">
    <w:name w:val="Body Text 3"/>
    <w:basedOn w:val="Normal"/>
    <w:qFormat/>
    <w:pPr>
      <w:ind w:hanging="0" w:start="0" w:end="-36"/>
    </w:pPr>
    <w:rPr>
      <w:rFonts w:ascii="Arial" w:hAnsi="Arial" w:cs="Arial"/>
      <w:sz w:val="20"/>
    </w:rPr>
  </w:style>
  <w:style w:type="paragraph" w:styleId="BlockText">
    <w:name w:val="Block Text"/>
    <w:basedOn w:val="Normal"/>
    <w:qFormat/>
    <w:pPr>
      <w:ind w:hanging="0" w:start="1100" w:end="-340"/>
    </w:pPr>
    <w:rPr>
      <w:rFonts w:ascii="Arial" w:hAnsi="Arial" w:cs="Arial"/>
      <w:bCs/>
      <w:szCs w:val="20"/>
    </w:rPr>
  </w:style>
  <w:style w:type="paragraph" w:styleId="BodyTextIndent">
    <w:name w:val="Body Text Indent"/>
    <w:basedOn w:val="Normal"/>
    <w:pPr>
      <w:ind w:hanging="0" w:start="1095" w:end="0"/>
      <w:jc w:val="both"/>
    </w:pPr>
    <w:rPr>
      <w:rFonts w:ascii="Arial" w:hAnsi="Arial" w:cs="Arial"/>
      <w:bCs/>
      <w:szCs w:val="20"/>
    </w:rPr>
  </w:style>
  <w:style w:type="paragraph" w:styleId="BodyTextIndent2">
    <w:name w:val="Body Text Indent 2"/>
    <w:basedOn w:val="Normal"/>
    <w:qFormat/>
    <w:pPr>
      <w:ind w:hanging="0" w:start="700" w:end="0"/>
    </w:pPr>
    <w:rPr>
      <w:rFonts w:ascii="Arial" w:hAnsi="Arial" w:cs="Arial"/>
      <w:bCs/>
      <w:color w:val="800080"/>
      <w:szCs w:val="20"/>
    </w:rPr>
  </w:style>
  <w:style w:type="paragraph" w:styleId="BodyTextIndent3">
    <w:name w:val="Body Text Indent 3"/>
    <w:basedOn w:val="Normal"/>
    <w:qFormat/>
    <w:pPr>
      <w:tabs>
        <w:tab w:val="clear" w:pos="720"/>
        <w:tab w:val="left" w:pos="700" w:leader="none"/>
        <w:tab w:val="left" w:pos="1100" w:leader="none"/>
        <w:tab w:val="left" w:pos="7200" w:leader="none"/>
        <w:tab w:val="left" w:pos="10100" w:leader="none"/>
      </w:tabs>
      <w:ind w:hanging="0" w:start="700" w:end="0"/>
      <w:jc w:val="both"/>
    </w:pPr>
    <w:rPr>
      <w:rFonts w:ascii="Arial" w:hAnsi="Arial" w:cs="Arial"/>
      <w:bCs/>
      <w:szCs w:val="20"/>
    </w:rPr>
  </w:style>
  <w:style w:type="paragraph" w:styleId="Subtitle">
    <w:name w:val="Subtitle"/>
    <w:basedOn w:val="Normal"/>
    <w:next w:val="BodyText"/>
    <w:qFormat/>
    <w:pPr>
      <w:jc w:val="center"/>
    </w:pPr>
    <w:rPr>
      <w:rFonts w:ascii="Arial" w:hAnsi="Arial" w:cs="Arial"/>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2001-09-27T21:26:00Z</dcterms:created>
  <dc:creator>kjolly</dc:creator>
  <dc:description>V3.3
Updated to add filename to headers
</dc:description>
  <dc:language>en-CA</dc:language>
  <cp:lastModifiedBy>mculver</cp:lastModifiedBy>
  <cp:lastPrinted>2001-09-27T18:59:00Z</cp:lastPrinted>
  <dcterms:modified xsi:type="dcterms:W3CDTF">2001-09-27T21:29:00Z</dcterms:modified>
  <cp:revision>3</cp:revision>
  <dc:subject/>
  <dc:title>ENRON RISK ASSESSMENT AND CONTROL</dc:title>
</cp:coreProperties>
</file>