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u w:val="single"/>
        </w:rPr>
      </w:pPr>
      <w:r>
        <w:rPr>
          <w:b/>
          <w:sz w:val="28"/>
          <w:u w:val="single"/>
        </w:rPr>
        <w:t>Global Finance Summary (addendum to DASH)</w:t>
      </w:r>
    </w:p>
    <w:p>
      <w:pPr>
        <w:pStyle w:val="Normal"/>
        <w:jc w:val="end"/>
        <w:rPr/>
      </w:pPr>
      <w:r>
        <w:rPr/>
      </w:r>
    </w:p>
    <w:p>
      <w:pPr>
        <w:pStyle w:val="Normal"/>
        <w:numPr>
          <w:ilvl w:val="0"/>
          <w:numId w:val="2"/>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rHeight w:val="270" w:hRule="atLeast"/>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(US$)</w:t>
            </w:r>
          </w:p>
        </w:tc>
      </w:tr>
      <w:tr>
        <w:trPr/>
        <w:tc>
          <w:tcPr>
            <w:tcW w:w="7650" w:type="dxa"/>
            <w:tcBorders/>
          </w:tcPr>
          <w:p>
            <w:pPr>
              <w:pStyle w:val="Normal"/>
              <w:rPr/>
            </w:pPr>
            <w:r>
              <w:rPr/>
              <w:t>Total Deal/Project Capital Commitment</w:t>
            </w:r>
          </w:p>
        </w:tc>
        <w:tc>
          <w:tcPr>
            <w:tcW w:w="2250" w:type="dxa"/>
            <w:tcBorders/>
          </w:tcPr>
          <w:p>
            <w:pPr>
              <w:pStyle w:val="Normal"/>
              <w:jc w:val="end"/>
              <w:rPr/>
            </w:pPr>
            <w:r>
              <w:rPr/>
              <w:t>$281,992,000</w:t>
            </w:r>
          </w:p>
        </w:tc>
      </w:tr>
      <w:tr>
        <w:trPr/>
        <w:tc>
          <w:tcPr>
            <w:tcW w:w="7650" w:type="dxa"/>
            <w:tcBorders/>
          </w:tcPr>
          <w:p>
            <w:pPr>
              <w:pStyle w:val="Normal"/>
              <w:rPr/>
            </w:pPr>
            <w:r>
              <w:rPr/>
              <w:t>Less: Financing</w:t>
            </w:r>
          </w:p>
        </w:tc>
        <w:tc>
          <w:tcPr>
            <w:tcW w:w="2250" w:type="dxa"/>
            <w:tcBorders/>
          </w:tcPr>
          <w:p>
            <w:pPr>
              <w:pStyle w:val="Normal"/>
              <w:jc w:val="end"/>
              <w:rPr/>
            </w:pPr>
            <w:r>
              <w:rPr/>
              <w:t>$140,996,500</w:t>
            </w:r>
          </w:p>
        </w:tc>
      </w:tr>
      <w:tr>
        <w:trPr/>
        <w:tc>
          <w:tcPr>
            <w:tcW w:w="7650" w:type="dxa"/>
            <w:tcBorders/>
          </w:tcPr>
          <w:p>
            <w:pPr>
              <w:pStyle w:val="Normal"/>
              <w:rPr/>
            </w:pPr>
            <w:r>
              <w:rPr/>
              <w:t>Less: Syndication</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$140,996,000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5"/>
        </w:numPr>
        <w:rPr/>
      </w:pPr>
      <w:r>
        <w:rPr>
          <w:b/>
        </w:rPr>
        <w:t>Investment terms and pricing:</w:t>
      </w:r>
      <w:r>
        <w:rPr/>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t xml:space="preserve"> </w:t>
      </w:r>
      <w:r>
        <w:rPr>
          <w:rFonts w:cs="Wingdings" w:ascii="Wingdings" w:hAnsi="Wingdings"/>
        </w:rPr>
        <w:sym w:font="Wingdings" w:char="f078"/>
      </w:r>
      <w:r>
        <w:rPr/>
        <w:t xml:space="preserve"> Below Market</w:t>
        <w:br/>
        <w:t xml:space="preserve">The investment generates a market return of 19.4 % which is slightly below RAC Capital Price. See RAC pricing for more information. </w:t>
        <w:br/>
      </w:r>
    </w:p>
    <w:p>
      <w:pPr>
        <w:pStyle w:val="Normal"/>
        <w:numPr>
          <w:ilvl w:val="0"/>
          <w:numId w:val="5"/>
        </w:numPr>
        <w:rPr/>
      </w:pPr>
      <w:r>
        <w:rPr>
          <w:b/>
        </w:rPr>
        <w:t>Financing terms and pricing:</w:t>
      </w:r>
      <w:r>
        <w:rPr/>
        <w:tab/>
        <w:tab/>
        <w:tab/>
      </w:r>
      <w:r>
        <w:rPr>
          <w:rFonts w:cs="Wingdings" w:ascii="Wingdings" w:hAnsi="Wingdings"/>
        </w:rPr>
        <w:sym w:font="Wingdings" w:char="f078"/>
      </w:r>
      <w:r>
        <w:rPr/>
        <w:t xml:space="preserve"> Market  </w:t>
      </w:r>
      <w:r>
        <w:rPr>
          <w:rFonts w:eastAsia="Monotype Sorts" w:cs="Monotype Sorts" w:ascii="Monotype Sorts" w:hAnsi="Monotype Sorts"/>
        </w:rPr>
        <w:sym w:font="Monotype Sorts" w:char="f06f"/>
      </w:r>
      <w:r>
        <w:rPr/>
        <w:t xml:space="preserve"> Above Market    </w:t>
      </w:r>
      <w:r>
        <w:rPr>
          <w:rFonts w:eastAsia="Monotype Sorts" w:cs="Monotype Sorts" w:ascii="Monotype Sorts" w:hAnsi="Monotype Sorts"/>
        </w:rPr>
        <w:sym w:font="Monotype Sorts" w:char="f06f"/>
      </w:r>
      <w:r>
        <w:rPr/>
        <w:t xml:space="preserve"> Below Market</w:t>
        <w:br/>
        <w:t>Non-recourse project financing of $140.996 MM (50% of capital cost) will be put in place upon</w:t>
      </w:r>
      <w:r>
        <w:rPr>
          <w:b/>
        </w:rPr>
        <w:t xml:space="preserve"> </w:t>
      </w:r>
      <w:r>
        <w:rPr/>
        <w:t>entry into commercial service.  The economics include reasonable economic assumptions. Terms would correspond to the 5-year tenor of the Consortium Agreement and the credit standing of Petrobras.  More specifically, we anticipate loan terms of</w:t>
      </w:r>
      <w:r>
        <w:rPr>
          <w:color w:val="000000"/>
          <w:lang w:eastAsia="en-US"/>
        </w:rPr>
        <w:t>:  5-year tenor; fully amortizing; LIBOR-based; 400 bps credit spread; 100 bps swap spread; 180 bps cost of private PRI cover; interest withholding of 15%; minimum after-tax DSCR of 1.5; 150- bps financing fees; 0 bps commitment fees; and grace period of 6 months.  The financial market for Brazilian debt has always been volatile.  The current financial problems in Argentina are resulting in wide bond spreads for Argentina in the financial markets that could start affecting financial market sentiments for Brazil.  Although the deal can be financed in the current market, there is the possibility that given local conditions the market appetite for Brazilian project finance paper can tighten, which could result in pricing spreads increasing considerably or even make debt unavailable on our time horizon of 9 months.  Further the financing (if done with a commercial bank) will require Political Risk Insurance (PRI) – PRI is currently available but there is always the possibility that its availability may become more expensive or disappear over the next 9 – 12 months when the financing is being arranged.</w:t>
      </w:r>
      <w:r>
        <w:rPr/>
        <w:br/>
      </w:r>
      <w:r>
        <w:rPr>
          <w:b/>
        </w:rPr>
        <w:t xml:space="preserve"> </w:t>
      </w:r>
    </w:p>
    <w:p>
      <w:pPr>
        <w:pStyle w:val="Normal"/>
        <w:numPr>
          <w:ilvl w:val="0"/>
          <w:numId w:val="5"/>
        </w:numPr>
        <w:rPr/>
      </w:pPr>
      <w:r>
        <w:rPr>
          <w:b/>
        </w:rPr>
        <w:t xml:space="preserve">Legal or practical liquidity restrictions:    </w:t>
      </w:r>
      <w:r>
        <w:rPr>
          <w:rFonts w:cs="Wingdings" w:ascii="Wingdings" w:hAnsi="Wingdings"/>
        </w:rPr>
        <w:sym w:font="Wingdings" w:char="f078"/>
      </w:r>
      <w:r>
        <w:rPr/>
        <w:t xml:space="preserve"> Unrestricted    </w:t>
      </w:r>
      <w:r>
        <w:rPr>
          <w:rFonts w:eastAsia="Monotype Sorts" w:cs="Monotype Sorts" w:ascii="Monotype Sorts" w:hAnsi="Monotype Sorts"/>
        </w:rPr>
        <w:sym w:font="Monotype Sorts" w:char="f06f"/>
      </w:r>
      <w:r>
        <w:rPr/>
        <w:t xml:space="preserve"> Legally Restricted   </w:t>
      </w:r>
      <w:r>
        <w:rPr>
          <w:rFonts w:eastAsia="Monotype Sorts" w:cs="Monotype Sorts" w:ascii="Monotype Sorts" w:hAnsi="Monotype Sorts"/>
        </w:rPr>
        <w:sym w:font="Monotype Sorts" w:char="f06f"/>
      </w:r>
      <w:r>
        <w:rPr/>
        <w:t xml:space="preserve"> Practically Restricted</w:t>
      </w:r>
    </w:p>
    <w:p>
      <w:pPr>
        <w:pStyle w:val="BodyTextIndent"/>
        <w:jc w:val="start"/>
        <w:rPr/>
      </w:pPr>
      <w:r>
        <w:rPr>
          <w:b w:val="false"/>
        </w:rPr>
        <w:t>The shares in the company can be sold.  However it is possible that the non-recourse financing would impose some degree of liquidity restriction on Enron’s ownership – which may prevent us from selling down 100% of Enron’s equity as envisioned in the DASH.</w:t>
        <w:br/>
      </w:r>
    </w:p>
    <w:p>
      <w:pPr>
        <w:pStyle w:val="Normal"/>
        <w:numPr>
          <w:ilvl w:val="0"/>
          <w:numId w:val="5"/>
        </w:numPr>
        <w:rPr/>
      </w:pPr>
      <w:r>
        <w:rPr>
          <w:b/>
        </w:rPr>
        <w:t>Any recourse to Enron (other than investment):</w:t>
      </w:r>
      <w:r>
        <w:rPr/>
        <w:tab/>
      </w:r>
      <w:r>
        <w:rPr>
          <w:rFonts w:eastAsia="Monotype Sorts" w:cs="Monotype Sorts" w:ascii="Monotype Sorts" w:hAnsi="Monotype Sorts"/>
        </w:rPr>
        <w:sym w:font="Monotype Sorts" w:char="f06f"/>
      </w:r>
      <w:r>
        <w:rPr/>
        <w:t xml:space="preserve"> Recourse</w:t>
        <w:tab/>
        <w:tab/>
      </w:r>
      <w:r>
        <w:rPr>
          <w:rFonts w:cs="Wingdings" w:ascii="Wingdings" w:hAnsi="Wingdings"/>
        </w:rPr>
        <w:sym w:font="Wingdings" w:char="f078"/>
      </w:r>
      <w:r>
        <w:rPr/>
        <w:t xml:space="preserve"> No Recourse</w:t>
        <w:br/>
        <w:t xml:space="preserve"> </w:t>
        <w:br/>
      </w:r>
    </w:p>
    <w:p>
      <w:pPr>
        <w:pStyle w:val="Normal"/>
        <w:numPr>
          <w:ilvl w:val="0"/>
          <w:numId w:val="5"/>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t xml:space="preserve"> </w:t>
      </w:r>
      <w:r>
        <w:rPr>
          <w:rFonts w:cs="Wingdings" w:ascii="Wingdings" w:hAnsi="Wingdings"/>
        </w:rPr>
        <w:sym w:font="Wingdings" w:char="f078"/>
      </w:r>
      <w:r>
        <w:rPr/>
        <w:t xml:space="preserve"> Partial  </w:t>
        <w:tab/>
      </w:r>
      <w:r>
        <w:rPr>
          <w:rFonts w:eastAsia="Monotype Sorts" w:cs="Monotype Sorts" w:ascii="Monotype Sorts" w:hAnsi="Monotype Sorts"/>
        </w:rPr>
        <w:sym w:font="Monotype Sorts" w:char="f06f"/>
      </w:r>
      <w:r>
        <w:rPr/>
        <w:t xml:space="preserve"> All</w:t>
        <w:br/>
        <w:t>The DASH envisions a 100% equity deal.  Raising non-recourse project finance debt is upside for the project.  The Finance Group hopes to access this upside by putting in place loan financing for $140.996 MM at commercial operations.</w:t>
      </w:r>
      <w:r>
        <w:rPr>
          <w:b/>
        </w:rPr>
        <w:t xml:space="preserve"> </w:t>
      </w:r>
      <w:r>
        <w:rPr/>
        <w:t>In our opinion apart from the issues in item 3 above, the greatest lender issue specific to the project will be acceptance of the US Dollar indexation mechanism. Please see discussion on page 2</w:t>
      </w:r>
      <w:r>
        <w:rPr>
          <w:b/>
        </w:rPr>
        <w:t xml:space="preserve">. </w:t>
      </w:r>
      <w:r>
        <w:rPr/>
        <w:t xml:space="preserve">To keep the project debt off-balance sheet, at least 20% of the equity must be sold to a third party, and control must be shared 50/50. The Finance Group is not responsible for selling the equity.   </w:t>
        <w:br/>
      </w:r>
    </w:p>
    <w:p>
      <w:pPr>
        <w:pStyle w:val="Normal"/>
        <w:numPr>
          <w:ilvl w:val="0"/>
          <w:numId w:val="6"/>
        </w:numPr>
        <w:rPr/>
      </w:pPr>
      <w:r>
        <w:rPr>
          <w:b/>
        </w:rPr>
        <w:t>Intended Enron hold period:</w:t>
      </w:r>
      <w:r>
        <w:rPr/>
        <w:br/>
        <w:t>5 years.</w:t>
        <w:br/>
      </w:r>
    </w:p>
    <w:p>
      <w:pPr>
        <w:pStyle w:val="Normal"/>
        <w:numPr>
          <w:ilvl w:val="0"/>
          <w:numId w:val="3"/>
        </w:numPr>
        <w:rPr>
          <w:b/>
        </w:rPr>
      </w:pPr>
      <w:r>
        <w:rPr>
          <w:b/>
        </w:rPr>
        <w:t>Likely Syndication Market:</w:t>
      </w:r>
      <w:r>
        <w:rPr/>
        <w:tab/>
        <w:t>Not applicable</w:t>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XOther:</w:t>
        <w:tab/>
        <w:tab/>
        <w:tab/>
      </w:r>
      <w:r>
        <w:rPr>
          <w:rFonts w:eastAsia="Monotype Sorts" w:cs="Monotype Sorts" w:ascii="Monotype Sorts" w:hAnsi="Monotype Sorts"/>
        </w:rPr>
        <w:sym w:font="Monotype Sorts" w:char="f06f"/>
      </w:r>
      <w:r>
        <w:rPr>
          <w:b/>
        </w:rPr>
        <w:t xml:space="preserve"> Margaux</w:t>
      </w:r>
    </w:p>
    <w:p>
      <w:pPr>
        <w:pStyle w:val="BodyTextIndent2"/>
        <w:rPr/>
      </w:pPr>
      <w:r>
        <w:rPr/>
        <w:t xml:space="preserve">The syndication of the debt piece will either be with the multilateral agencies (OPIC, IDB, IFC) or with commercial banks with private PRI cover. </w:t>
      </w:r>
    </w:p>
    <w:p>
      <w:pPr>
        <w:pStyle w:val="Normal"/>
        <w:numPr>
          <w:ilvl w:val="0"/>
          <w:numId w:val="4"/>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cs="Wingdings" w:ascii="Wingdings" w:hAnsi="Wingdings"/>
        </w:rPr>
        <w:sym w:font="Wingdings" w:char="f078"/>
      </w:r>
      <w:r>
        <w:rPr/>
        <w:t xml:space="preserve"> No</w:t>
      </w:r>
    </w:p>
    <w:p>
      <w:pPr>
        <w:pStyle w:val="Normal"/>
        <w:ind w:start="360" w:end="0"/>
        <w:rPr/>
      </w:pPr>
      <w:r>
        <w:rPr/>
        <w:tab/>
        <w:tab/>
        <w:tab/>
        <w:tab/>
      </w:r>
    </w:p>
    <w:tbl>
      <w:tblPr>
        <w:tblW w:w="10440" w:type="dxa"/>
        <w:jc w:val="start"/>
        <w:tblInd w:w="0" w:type="dxa"/>
        <w:tblLayout w:type="fixed"/>
        <w:tblCellMar>
          <w:top w:w="0" w:type="dxa"/>
          <w:start w:w="108" w:type="dxa"/>
          <w:bottom w:w="0" w:type="dxa"/>
          <w:end w:w="108" w:type="dxa"/>
        </w:tblCellMar>
      </w:tblPr>
      <w:tblGrid>
        <w:gridCol w:w="3258"/>
        <w:gridCol w:w="3240"/>
        <w:gridCol w:w="2700"/>
        <w:gridCol w:w="1242"/>
      </w:tblGrid>
      <w:tr>
        <w:trPr/>
        <w:tc>
          <w:tcPr>
            <w:tcW w:w="32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Global Finance Representative</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Peter Anderson</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Global Finance Legal</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Jordan Mintz</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2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Signature</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Name</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Date</w:t>
            </w:r>
          </w:p>
        </w:tc>
      </w:tr>
    </w:tbl>
    <w:p>
      <w:pPr>
        <w:pStyle w:val="Normal"/>
        <w:ind w:start="360" w:end="0"/>
        <w:rPr/>
      </w:pPr>
      <w:r>
        <w:rPr/>
        <w:tab/>
        <w:t xml:space="preserve">        </w:t>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pPr>
    <w:r>
      <w:rPr>
        <w:b/>
      </w:rPr>
      <w:t>RAC Deal Approval Sheet</w:t>
      <w:tab/>
      <w:t xml:space="preserve">                                                                                                   Deal Name:  Riogen Merchant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d."/>
      <w:lvlJc w:val="start"/>
      <w:pPr>
        <w:tabs>
          <w:tab w:val="num" w:pos="360"/>
        </w:tabs>
        <w:ind w:start="360" w:hanging="360"/>
      </w:pPr>
    </w:lvl>
  </w:abstractNum>
  <w:abstractNum w:abstractNumId="5">
    <w:lvl w:ilvl="0">
      <w:start w:val="2"/>
      <w:numFmt w:val="decimal"/>
      <w:lvlText w:val="%1."/>
      <w:lvlJc w:val="start"/>
      <w:pPr>
        <w:tabs>
          <w:tab w:val="num" w:pos="360"/>
        </w:tabs>
        <w:ind w:start="360" w:hanging="360"/>
      </w:pPr>
    </w:lvl>
  </w:abstractNum>
  <w:abstractNum w:abstractNumId="6">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color w:val="000000"/>
      <w:sz w:val="12"/>
      <w:lang w:eastAsia="en-US"/>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sz w:val="16"/>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9z0">
    <w:name w:val="WW8Num9z0"/>
    <w:qFormat/>
    <w:rPr>
      <w:rFonts w:ascii="Times New Roman" w:hAnsi="Times New Roman" w:cs="Times New Roman"/>
    </w:rPr>
  </w:style>
  <w:style w:type="character" w:styleId="WW8Num11z0">
    <w:name w:val="WW8Num11z0"/>
    <w:qFormat/>
    <w:rPr>
      <w:b w:val="false"/>
      <w:i w:val="false"/>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WW8Num15z0">
    <w:name w:val="WW8Num15z0"/>
    <w:qFormat/>
    <w:rPr>
      <w:b w:val="false"/>
      <w:i w:val="false"/>
    </w:rPr>
  </w:style>
  <w:style w:type="character" w:styleId="WW8Num16z0">
    <w:name w:val="WW8Num16z0"/>
    <w:qFormat/>
    <w:rPr>
      <w:rFonts w:ascii="Times New Roman" w:hAnsi="Times New Roman" w:cs="Times New Roman"/>
    </w:rPr>
  </w:style>
  <w:style w:type="character" w:styleId="WW8Num17z0">
    <w:name w:val="WW8Num17z0"/>
    <w:qFormat/>
    <w:rPr>
      <w:rFonts w:ascii="Arial" w:hAnsi="Arial" w:cs="Arial"/>
      <w:sz w:val="36"/>
    </w:rPr>
  </w:style>
  <w:style w:type="character" w:styleId="WW8Num18z0">
    <w:name w:val="WW8Num18z0"/>
    <w:qFormat/>
    <w:rPr>
      <w:rFonts w:ascii="Wingdings" w:hAnsi="Wingdings" w:cs="Wingdings"/>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Wingdings" w:hAnsi="Wingdings" w:cs="Wingdings"/>
    </w:rPr>
  </w:style>
  <w:style w:type="character" w:styleId="WW8Num23z0">
    <w:name w:val="WW8Num23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4z0">
    <w:name w:val="WW8Num34z0"/>
    <w:qFormat/>
    <w:rPr>
      <w:rFonts w:ascii="Times New Roman" w:hAnsi="Times New Roman" w:cs="Times New Roman"/>
    </w:rPr>
  </w:style>
  <w:style w:type="character" w:styleId="WW8Num35z0">
    <w:name w:val="WW8Num35z0"/>
    <w:qFormat/>
    <w:rPr>
      <w:rFonts w:ascii="Arial" w:hAnsi="Arial" w:cs="Arial"/>
      <w:sz w:val="36"/>
    </w:rPr>
  </w:style>
  <w:style w:type="character" w:styleId="WW8Num36z0">
    <w:name w:val="WW8Num36z0"/>
    <w:qFormat/>
    <w:rPr>
      <w:rFonts w:ascii="Times New Roman" w:hAnsi="Times New Roman" w:cs="Times New Roman"/>
      <w:sz w:val="36"/>
    </w:rPr>
  </w:style>
  <w:style w:type="character" w:styleId="WW8Num38z0">
    <w:name w:val="WW8Num38z0"/>
    <w:qFormat/>
    <w:rPr>
      <w:rFonts w:ascii="Wingdings" w:hAnsi="Wingdings" w:cs="Wingdings"/>
    </w:rPr>
  </w:style>
  <w:style w:type="character" w:styleId="WW8Num39z0">
    <w:name w:val="WW8Num39z0"/>
    <w:qFormat/>
    <w:rPr>
      <w:rFonts w:ascii="Times New Roman" w:hAnsi="Times New Roman" w:cs="Times New Roman"/>
    </w:rPr>
  </w:style>
  <w:style w:type="character" w:styleId="WW8Num40z0">
    <w:name w:val="WW8Num40z0"/>
    <w:qFormat/>
    <w:rPr/>
  </w:style>
  <w:style w:type="character" w:styleId="WW8Num41z0">
    <w:name w:val="WW8Num41z0"/>
    <w:qFormat/>
    <w:rPr>
      <w:rFonts w:ascii="Times New Roman" w:hAnsi="Times New Roman" w:cs="Times New Roman"/>
    </w:rPr>
  </w:style>
  <w:style w:type="character" w:styleId="WW8Num42z0">
    <w:name w:val="WW8Num42z0"/>
    <w:qFormat/>
    <w:rPr>
      <w:rFonts w:ascii="Symbol" w:hAnsi="Symbol" w:cs="Symbol"/>
    </w:rPr>
  </w:style>
  <w:style w:type="character" w:styleId="WW8Num44z0">
    <w:name w:val="WW8Num44z0"/>
    <w:qFormat/>
    <w:rPr>
      <w:rFonts w:ascii="Wingdings" w:hAnsi="Wingdings" w:cs="Wingdings"/>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rPr>
  </w:style>
  <w:style w:type="character" w:styleId="WW8Num54z0">
    <w:name w:val="WW8Num54z0"/>
    <w:qFormat/>
    <w:rPr>
      <w:rFonts w:ascii="Symbol" w:hAnsi="Symbol" w:cs="Symbol"/>
    </w:rPr>
  </w:style>
  <w:style w:type="character" w:styleId="WW8Num55z0">
    <w:name w:val="WW8Num55z0"/>
    <w:qFormat/>
    <w:rPr>
      <w:rFonts w:ascii="Times New Roman" w:hAnsi="Times New Roman" w:cs="Times New Roman"/>
    </w:rPr>
  </w:style>
  <w:style w:type="character" w:styleId="WW8Num56z0">
    <w:name w:val="WW8Num56z0"/>
    <w:qFormat/>
    <w:rPr>
      <w:rFonts w:ascii="Times New Roman" w:hAnsi="Times New Roman" w:cs="Times New Roman"/>
    </w:rPr>
  </w:style>
  <w:style w:type="character" w:styleId="WW8Num58z0">
    <w:name w:val="WW8Num58z0"/>
    <w:qFormat/>
    <w:rPr>
      <w:rFonts w:ascii="Times New Roman" w:hAnsi="Times New Roman" w:cs="Times New Roman"/>
    </w:rPr>
  </w:style>
  <w:style w:type="character" w:styleId="WW8Num59z0">
    <w:name w:val="WW8Num59z0"/>
    <w:qFormat/>
    <w:rPr>
      <w:rFonts w:ascii="Times New Roman" w:hAnsi="Times New Roman" w:cs="Times New Roman"/>
    </w:rPr>
  </w:style>
  <w:style w:type="character" w:styleId="WW8Num60z0">
    <w:name w:val="WW8Num60z0"/>
    <w:qFormat/>
    <w:rPr>
      <w:rFonts w:ascii="Times New Roman" w:hAnsi="Times New Roman" w:cs="Times New Roman"/>
    </w:rPr>
  </w:style>
  <w:style w:type="character" w:styleId="WW8Num61z0">
    <w:name w:val="WW8Num61z0"/>
    <w:qFormat/>
    <w:rPr>
      <w:rFonts w:ascii="Times New Roman" w:hAnsi="Times New Roman" w:cs="Times New Roman"/>
      <w:sz w:val="36"/>
    </w:rPr>
  </w:style>
  <w:style w:type="character" w:styleId="WW8Num62z0">
    <w:name w:val="WW8Num62z0"/>
    <w:qFormat/>
    <w:rPr>
      <w:rFonts w:ascii="Times New Roman" w:hAnsi="Times New Roman" w:cs="Times New Roman"/>
    </w:rPr>
  </w:style>
  <w:style w:type="character" w:styleId="WW8Num63z0">
    <w:name w:val="WW8Num63z0"/>
    <w:qFormat/>
    <w:rPr>
      <w:rFonts w:ascii="Wingdings" w:hAnsi="Wingdings" w:cs="Wingdings"/>
    </w:rPr>
  </w:style>
  <w:style w:type="character" w:styleId="WW8NumSt2z0">
    <w:name w:val="WW8NumSt2z0"/>
    <w:qFormat/>
    <w:rPr>
      <w:rFonts w:ascii="Times New Roman" w:hAnsi="Times New Roman" w:cs="Times New Roman"/>
      <w:sz w:val="36"/>
    </w:rPr>
  </w:style>
  <w:style w:type="character" w:styleId="WW8NumSt3z0">
    <w:name w:val="WW8NumSt3z0"/>
    <w:qFormat/>
    <w:rPr>
      <w:rFonts w:ascii="Times New Roman" w:hAnsi="Times New Roman" w:cs="Times New Roman"/>
      <w:sz w:val="36"/>
    </w:rPr>
  </w:style>
  <w:style w:type="character" w:styleId="WW8NumSt39z0">
    <w:name w:val="WW8NumSt39z0"/>
    <w:qFormat/>
    <w:rPr>
      <w:rFonts w:ascii="Arial" w:hAnsi="Arial" w:cs="Arial"/>
      <w:sz w:val="36"/>
    </w:rPr>
  </w:style>
  <w:style w:type="character" w:styleId="WW8NumSt40z0">
    <w:name w:val="WW8NumSt40z0"/>
    <w:qFormat/>
    <w:rPr>
      <w:rFonts w:ascii="Arial" w:hAnsi="Arial" w:cs="Arial"/>
      <w:sz w:val="34"/>
    </w:rPr>
  </w:style>
  <w:style w:type="character" w:styleId="WW8NumSt42z0">
    <w:name w:val="WW8NumSt42z0"/>
    <w:qFormat/>
    <w:rPr>
      <w:rFonts w:ascii="Arial" w:hAnsi="Arial" w:cs="Arial"/>
      <w:sz w:val="36"/>
    </w:rPr>
  </w:style>
  <w:style w:type="character" w:styleId="WW8NumSt52z0">
    <w:name w:val="WW8NumSt52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540" w:end="0"/>
      <w:jc w:val="both"/>
    </w:pPr>
    <w:rPr>
      <w:b/>
      <w:color w:val="000000"/>
      <w:lang w:eastAsia="en-US"/>
    </w:rPr>
  </w:style>
  <w:style w:type="paragraph" w:styleId="BodyTextIndent2">
    <w:name w:val="Body Text Indent 2"/>
    <w:basedOn w:val="Normal"/>
    <w:qFormat/>
    <w:pPr>
      <w:ind w:hanging="0" w:start="720" w:end="0"/>
      <w:jc w:val="both"/>
    </w:pPr>
    <w:rPr>
      <w:color w:val="000000"/>
      <w:lang w:eastAsia="en-US"/>
    </w:rPr>
  </w:style>
  <w:style w:type="paragraph" w:styleId="BodyTextIndent3">
    <w:name w:val="Body Text Indent 3"/>
    <w:basedOn w:val="Normal"/>
    <w:qFormat/>
    <w:pPr>
      <w:ind w:hanging="0" w:start="72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2000-12-19T13:30:00Z</dcterms:created>
  <dc:creator>mruane</dc:creator>
  <dc:description>MR: 9-20-99 added tax signoff</dc:description>
  <dc:language>en-CA</dc:language>
  <cp:lastModifiedBy>rdutt</cp:lastModifiedBy>
  <cp:lastPrinted>2000-12-19T09:44:00Z</cp:lastPrinted>
  <dcterms:modified xsi:type="dcterms:W3CDTF">2000-12-19T13:30:00Z</dcterms:modified>
  <cp:revision>2</cp:revision>
  <dc:subject/>
  <dc:title>ENRON RISK ASSESSMENT AND CONTROL</dc:title>
</cp:coreProperties>
</file>