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ENRON RISK ASSESSMENT AND CONTROL</w:t>
      </w:r>
    </w:p>
    <w:p>
      <w:pPr>
        <w:pStyle w:val="Heading6"/>
        <w:ind w:hanging="0" w:star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DEAL APPROVAL SHEET</w:t>
      </w:r>
    </w:p>
    <w:p>
      <w:pPr>
        <w:pStyle w:val="Normal"/>
        <w:tabs>
          <w:tab w:val="clear" w:pos="720"/>
          <w:tab w:val="left" w:pos="360" w:leader="none"/>
        </w:tabs>
        <w:rPr>
          <w:rFonts w:ascii="Times New Roman" w:hAnsi="Times New Roman" w:cs="Times New Roman"/>
        </w:rPr>
      </w:pPr>
      <w:r>
        <w:rPr>
          <w:rFonts w:cs="Times New Roman"/>
        </w:rPr>
      </w:r>
    </w:p>
    <w:tbl>
      <w:tblPr>
        <w:tblW w:w="10440" w:type="dxa"/>
        <w:jc w:val="start"/>
        <w:tblInd w:w="18" w:type="dxa"/>
        <w:tblLayout w:type="fixed"/>
        <w:tblCellMar>
          <w:top w:w="0" w:type="dxa"/>
          <w:start w:w="108" w:type="dxa"/>
          <w:bottom w:w="0" w:type="dxa"/>
          <w:end w:w="108" w:type="dxa"/>
        </w:tblCellMar>
      </w:tblPr>
      <w:tblGrid>
        <w:gridCol w:w="5580"/>
        <w:gridCol w:w="4860"/>
      </w:tblGrid>
      <w:tr>
        <w:trPr>
          <w:trHeight w:val="1656" w:hRule="atLeast"/>
        </w:trPr>
        <w:tc>
          <w:tcPr>
            <w:tcW w:w="5580" w:type="dxa"/>
            <w:tcBorders>
              <w:top w:val="single" w:sz="8" w:space="0" w:color="000000"/>
              <w:bottom w:val="single" w:sz="8" w:space="0" w:color="000000"/>
            </w:tcBorders>
          </w:tcPr>
          <w:p>
            <w:pPr>
              <w:pStyle w:val="Normal"/>
              <w:ind w:end="162"/>
              <w:rPr/>
            </w:pPr>
            <w:r>
              <w:rPr>
                <w:b/>
              </w:rPr>
              <w:t xml:space="preserve">DEAL NAME:  </w:t>
            </w:r>
            <w:r>
              <w:rPr>
                <w:b/>
                <w:bCs/>
              </w:rPr>
              <w:t>Pastoria 4 (Development/Turbine Purchase)</w:t>
            </w:r>
          </w:p>
          <w:p>
            <w:pPr>
              <w:pStyle w:val="Normal"/>
              <w:ind w:end="792"/>
              <w:rPr/>
            </w:pPr>
            <w:r>
              <w:rPr/>
              <w:t>Counterparty:  Pastoria Energy Facility LLC</w:t>
            </w:r>
          </w:p>
          <w:p>
            <w:pPr>
              <w:pStyle w:val="Normal"/>
              <w:rPr/>
            </w:pPr>
            <w:r>
              <w:rPr/>
              <w:t>Business Unit:  ENA West Origination</w:t>
            </w:r>
          </w:p>
          <w:p>
            <w:pPr>
              <w:pStyle w:val="Normal"/>
              <w:rPr/>
            </w:pPr>
            <w:r>
              <w:rPr/>
              <w:t>Business Unit Originator:  David Parquet</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860" w:type="dxa"/>
            <w:tcBorders>
              <w:top w:val="single" w:sz="8" w:space="0" w:color="000000"/>
              <w:bottom w:val="single" w:sz="8" w:space="0" w:color="000000"/>
            </w:tcBorders>
          </w:tcPr>
          <w:p>
            <w:pPr>
              <w:pStyle w:val="Normal"/>
              <w:ind w:firstLine="90" w:start="-198" w:end="-738"/>
              <w:rPr/>
            </w:pPr>
            <w:r>
              <w:rPr/>
              <w:t>Date DASH Completed:  March 8, 2001</w:t>
            </w:r>
          </w:p>
          <w:p>
            <w:pPr>
              <w:pStyle w:val="Normal"/>
              <w:ind w:firstLine="90" w:start="-198" w:end="-1095"/>
              <w:rPr/>
            </w:pPr>
            <w:r>
              <w:rPr/>
              <w:t>RAC Analyst/Underwriter:  NA/Karen Barbour</w:t>
            </w:r>
          </w:p>
          <w:p>
            <w:pPr>
              <w:pStyle w:val="Normal"/>
              <w:ind w:firstLine="90" w:start="-198" w:end="-738"/>
              <w:rPr/>
            </w:pPr>
            <w:r>
              <w:rPr/>
              <w:t>Investment Type:  Power Asset Development</w:t>
            </w:r>
          </w:p>
          <w:p>
            <w:pPr>
              <w:pStyle w:val="Normal"/>
              <w:ind w:firstLine="90" w:start="-198" w:end="-738"/>
              <w:rPr/>
            </w:pPr>
            <w:r>
              <w:rPr/>
              <w:t>Capital Funding Source(s):  Balance Sheet &amp; Off B/S</w:t>
            </w:r>
          </w:p>
          <w:p>
            <w:pPr>
              <w:pStyle w:val="Normal"/>
              <w:ind w:firstLine="90" w:start="-198" w:end="-738"/>
              <w:rPr/>
            </w:pPr>
            <w:r>
              <w:rPr/>
              <w:t>Expected Signing Date:  March 15, 2001</w:t>
            </w:r>
          </w:p>
          <w:p>
            <w:pPr>
              <w:pStyle w:val="Normal"/>
              <w:ind w:firstLine="90" w:start="-198" w:end="-738"/>
              <w:rPr/>
            </w:pPr>
            <w:r>
              <w:rPr/>
              <w:t>Expected Closing Date:  Beginning March 15, 2001</w:t>
            </w:r>
          </w:p>
          <w:p>
            <w:pPr>
              <w:pStyle w:val="Normal"/>
              <w:ind w:firstLine="90" w:start="-198" w:end="-738"/>
              <w:rPr/>
            </w:pPr>
            <w:r>
              <w:rPr/>
              <w:t xml:space="preserve">Board Approval: </w:t>
            </w:r>
            <w:r>
              <w:rPr>
                <w:rFonts w:cs="Wingdings" w:ascii="Wingdings" w:hAnsi="Wingdings"/>
              </w:rPr>
              <w:sym w:font="Wingdings" w:char="f078"/>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APPROVAL REQUESTED</w:t>
      </w:r>
    </w:p>
    <w:p>
      <w:pPr>
        <w:pStyle w:val="Normal"/>
        <w:rPr/>
      </w:pPr>
      <w:r>
        <w:rPr/>
        <w:t>Enron North America requests approval for the following actions in connection with the development of the 750 NW Pastoria Energy Facility LLC in Kern County, California:</w:t>
      </w:r>
    </w:p>
    <w:p>
      <w:pPr>
        <w:pStyle w:val="Normal"/>
        <w:numPr>
          <w:ilvl w:val="0"/>
          <w:numId w:val="14"/>
        </w:numPr>
        <w:rPr/>
      </w:pPr>
      <w:r>
        <w:rPr/>
        <w:t>Committing up to $198.0 to purchase the turbine purchase contract executed by West LB, predecessor-in-interest to E-Next Generation LLC (the “Facility”), in September 2000.</w:t>
      </w:r>
    </w:p>
    <w:p>
      <w:pPr>
        <w:pStyle w:val="Normal"/>
        <w:numPr>
          <w:ilvl w:val="0"/>
          <w:numId w:val="14"/>
        </w:numPr>
        <w:rPr/>
      </w:pPr>
      <w:r>
        <w:rPr/>
        <w:t>Submitting a binding bid on March 15, 2001, to Kern River Pipeline (“Kern”) for a firm gas transportation for a 15-year term, for 100,000 MMBtu/day of gas from the primary receipt point at Opal in the Rocky Mountains to the Wheeler Ridge delivery point.  The obligations under this transportation contract will be supported by either an Enron guarantee for the demand charges due over the 15 year term, estimated to be $241.1 million, or an evergreen letter of credit for three years of demand charges, estimated to be $48.2 million.</w:t>
      </w:r>
    </w:p>
    <w:p>
      <w:pPr>
        <w:pStyle w:val="Normal"/>
        <w:numPr>
          <w:ilvl w:val="0"/>
          <w:numId w:val="11"/>
        </w:numPr>
        <w:rPr/>
      </w:pPr>
      <w:r>
        <w:rPr/>
        <w:t>To expend additional development costs of $1.9 million for January through May 31, 2001.</w:t>
      </w:r>
    </w:p>
    <w:p>
      <w:pPr>
        <w:pStyle w:val="Normal"/>
        <w:rPr/>
      </w:pPr>
      <w:r>
        <w:rPr/>
      </w:r>
    </w:p>
    <w:tbl>
      <w:tblPr>
        <w:tblW w:w="7470" w:type="dxa"/>
        <w:jc w:val="start"/>
        <w:tblInd w:w="468" w:type="dxa"/>
        <w:tblLayout w:type="fixed"/>
        <w:tblCellMar>
          <w:top w:w="0" w:type="dxa"/>
          <w:start w:w="108" w:type="dxa"/>
          <w:bottom w:w="0" w:type="dxa"/>
          <w:end w:w="108" w:type="dxa"/>
        </w:tblCellMar>
      </w:tblPr>
      <w:tblGrid>
        <w:gridCol w:w="5850"/>
        <w:gridCol w:w="1620"/>
      </w:tblGrid>
      <w:tr>
        <w:trPr/>
        <w:tc>
          <w:tcPr>
            <w:tcW w:w="5850" w:type="dxa"/>
            <w:tcBorders/>
          </w:tcPr>
          <w:p>
            <w:pPr>
              <w:pStyle w:val="Normal"/>
              <w:rPr/>
            </w:pPr>
            <w:r>
              <w:rPr/>
              <w:t>Remaining Turbine Costs</w:t>
            </w:r>
            <w:r>
              <w:rPr>
                <w:b/>
                <w:bCs/>
                <w:vertAlign w:val="superscript"/>
              </w:rPr>
              <w:t>1</w:t>
            </w:r>
          </w:p>
        </w:tc>
        <w:tc>
          <w:tcPr>
            <w:tcW w:w="1620" w:type="dxa"/>
            <w:tcBorders/>
          </w:tcPr>
          <w:p>
            <w:pPr>
              <w:pStyle w:val="Normal"/>
              <w:jc w:val="end"/>
              <w:rPr/>
            </w:pPr>
            <w:r>
              <w:rPr/>
              <w:t>$178.2 million</w:t>
            </w:r>
          </w:p>
        </w:tc>
      </w:tr>
      <w:tr>
        <w:trPr/>
        <w:tc>
          <w:tcPr>
            <w:tcW w:w="5850" w:type="dxa"/>
            <w:tcBorders/>
          </w:tcPr>
          <w:p>
            <w:pPr>
              <w:pStyle w:val="Normal"/>
              <w:rPr/>
            </w:pPr>
            <w:r>
              <w:rPr/>
              <w:t>Development Costs through May 31</w:t>
            </w:r>
          </w:p>
        </w:tc>
        <w:tc>
          <w:tcPr>
            <w:tcW w:w="1620" w:type="dxa"/>
            <w:tcBorders/>
          </w:tcPr>
          <w:p>
            <w:pPr>
              <w:pStyle w:val="Normal"/>
              <w:jc w:val="end"/>
              <w:rPr>
                <w:u w:val="single"/>
              </w:rPr>
            </w:pPr>
            <w:r>
              <w:rPr>
                <w:u w:val="single"/>
              </w:rPr>
              <w:t xml:space="preserve">       </w:t>
            </w:r>
            <w:r>
              <w:rPr>
                <w:u w:val="single"/>
              </w:rPr>
              <w:t>1.9 million</w:t>
            </w:r>
          </w:p>
        </w:tc>
      </w:tr>
      <w:tr>
        <w:trPr/>
        <w:tc>
          <w:tcPr>
            <w:tcW w:w="5850" w:type="dxa"/>
            <w:tcBorders/>
          </w:tcPr>
          <w:p>
            <w:pPr>
              <w:pStyle w:val="Normal"/>
              <w:rPr/>
            </w:pPr>
            <w:r>
              <w:rPr/>
              <w:t>Total Project Costs</w:t>
            </w:r>
          </w:p>
        </w:tc>
        <w:tc>
          <w:tcPr>
            <w:tcW w:w="1620" w:type="dxa"/>
            <w:tcBorders/>
          </w:tcPr>
          <w:p>
            <w:pPr>
              <w:pStyle w:val="Normal"/>
              <w:jc w:val="end"/>
              <w:rPr/>
            </w:pPr>
            <w:r>
              <w:rPr/>
              <w:t>$180.1 million</w:t>
            </w:r>
          </w:p>
        </w:tc>
      </w:tr>
      <w:tr>
        <w:trPr/>
        <w:tc>
          <w:tcPr>
            <w:tcW w:w="5850" w:type="dxa"/>
            <w:tcBorders/>
          </w:tcPr>
          <w:p>
            <w:pPr>
              <w:pStyle w:val="Normal"/>
              <w:rPr/>
            </w:pPr>
            <w:r>
              <w:rPr/>
              <w:t>PV10 of Kern demand charges</w:t>
            </w:r>
            <w:r>
              <w:rPr>
                <w:b/>
                <w:bCs/>
                <w:vertAlign w:val="superscript"/>
              </w:rPr>
              <w:t>2</w:t>
            </w:r>
          </w:p>
        </w:tc>
        <w:tc>
          <w:tcPr>
            <w:tcW w:w="1620" w:type="dxa"/>
            <w:tcBorders/>
          </w:tcPr>
          <w:p>
            <w:pPr>
              <w:pStyle w:val="Normal"/>
              <w:jc w:val="end"/>
              <w:rPr>
                <w:u w:val="single"/>
              </w:rPr>
            </w:pPr>
            <w:r>
              <w:rPr>
                <w:u w:val="single"/>
              </w:rPr>
              <w:t xml:space="preserve">    </w:t>
            </w:r>
            <w:r>
              <w:rPr>
                <w:u w:val="single"/>
              </w:rPr>
              <w:t>102.3 million</w:t>
            </w:r>
          </w:p>
        </w:tc>
      </w:tr>
      <w:tr>
        <w:trPr/>
        <w:tc>
          <w:tcPr>
            <w:tcW w:w="5850" w:type="dxa"/>
            <w:tcBorders/>
          </w:tcPr>
          <w:p>
            <w:pPr>
              <w:pStyle w:val="Normal"/>
              <w:rPr/>
            </w:pPr>
            <w:r>
              <w:rPr/>
              <w:t>Total Risk Adjusted Capital</w:t>
            </w:r>
          </w:p>
        </w:tc>
        <w:tc>
          <w:tcPr>
            <w:tcW w:w="1620" w:type="dxa"/>
            <w:tcBorders/>
          </w:tcPr>
          <w:p>
            <w:pPr>
              <w:pStyle w:val="Normal"/>
              <w:jc w:val="end"/>
              <w:rPr>
                <w:u w:val="double"/>
              </w:rPr>
            </w:pPr>
            <w:r>
              <w:rPr>
                <w:u w:val="double"/>
              </w:rPr>
              <w:t>$282.4 million</w:t>
            </w:r>
          </w:p>
        </w:tc>
      </w:tr>
    </w:tbl>
    <w:p>
      <w:pPr>
        <w:pStyle w:val="Normal"/>
        <w:tabs>
          <w:tab w:val="clear" w:pos="720"/>
          <w:tab w:val="left" w:pos="3978" w:leader="none"/>
          <w:tab w:val="left" w:pos="5418" w:leader="none"/>
        </w:tabs>
        <w:ind w:start="468" w:end="0"/>
        <w:rPr/>
      </w:pPr>
      <w:r>
        <w:rPr/>
        <w:tab/>
      </w:r>
    </w:p>
    <w:p>
      <w:pPr>
        <w:pStyle w:val="Normal"/>
        <w:ind w:hanging="270" w:start="270" w:end="0"/>
        <w:rPr/>
      </w:pPr>
      <w:r>
        <w:rPr>
          <w:b/>
          <w:bCs/>
          <w:sz w:val="18"/>
          <w:vertAlign w:val="superscript"/>
        </w:rPr>
        <w:t>1</w:t>
      </w:r>
      <w:r>
        <w:rPr>
          <w:sz w:val="16"/>
        </w:rPr>
        <w:t xml:space="preserve">:  Progress payments totaling $19.8 million were previously approved and paid.  </w:t>
      </w:r>
    </w:p>
    <w:p>
      <w:pPr>
        <w:pStyle w:val="Normal"/>
        <w:rPr>
          <w:sz w:val="16"/>
        </w:rPr>
      </w:pPr>
      <w:r>
        <w:rPr>
          <w:b/>
          <w:bCs/>
          <w:sz w:val="16"/>
          <w:vertAlign w:val="superscript"/>
        </w:rPr>
        <w:t>2</w:t>
      </w:r>
      <w:r>
        <w:rPr>
          <w:sz w:val="16"/>
        </w:rPr>
        <w:t xml:space="preserve">:  PV of demand charges for 15 years discounted at 10%.  </w:t>
      </w:r>
      <w:r>
        <w:rPr>
          <w:b/>
          <w:bCs/>
          <w:sz w:val="16"/>
        </w:rPr>
        <w:t>This is a worst-case scenario and does not take into account any re-sale of capacity over the 15-year period.</w:t>
      </w:r>
    </w:p>
    <w:p>
      <w:pPr>
        <w:pStyle w:val="Heading2"/>
        <w:widowControl/>
        <w:pBdr>
          <w:top w:val="single" w:sz="8" w:space="1" w:color="000000"/>
        </w:pBdr>
        <w:tabs>
          <w:tab w:val="clear" w:pos="720"/>
          <w:tab w:val="left" w:pos="360" w:leader="none"/>
        </w:tabs>
        <w:ind w:hanging="0" w:start="0" w:end="-36"/>
        <w:rPr/>
      </w:pPr>
      <w:r>
        <w:rPr/>
        <w:t xml:space="preserve">EXPOSURE SUMMARY </w:t>
      </w:r>
    </w:p>
    <w:tbl>
      <w:tblPr>
        <w:tblW w:w="7470" w:type="dxa"/>
        <w:jc w:val="start"/>
        <w:tblInd w:w="468" w:type="dxa"/>
        <w:tblLayout w:type="fixed"/>
        <w:tblCellMar>
          <w:top w:w="0" w:type="dxa"/>
          <w:start w:w="108" w:type="dxa"/>
          <w:bottom w:w="0" w:type="dxa"/>
          <w:end w:w="108" w:type="dxa"/>
        </w:tblCellMar>
      </w:tblPr>
      <w:tblGrid>
        <w:gridCol w:w="5850"/>
        <w:gridCol w:w="1620"/>
      </w:tblGrid>
      <w:tr>
        <w:trPr/>
        <w:tc>
          <w:tcPr>
            <w:tcW w:w="5850" w:type="dxa"/>
            <w:tcBorders/>
          </w:tcPr>
          <w:p>
            <w:pPr>
              <w:pStyle w:val="Normal"/>
              <w:rPr/>
            </w:pPr>
            <w:r>
              <w:rPr/>
              <w:t>This Transaction</w:t>
            </w:r>
            <w:r>
              <w:rPr>
                <w:b/>
                <w:bCs/>
              </w:rPr>
              <w:t xml:space="preserve"> (</w:t>
            </w:r>
            <w:r>
              <w:rPr/>
              <w:t>Development Costs + PV Kern demand charges)</w:t>
            </w:r>
          </w:p>
        </w:tc>
        <w:tc>
          <w:tcPr>
            <w:tcW w:w="1620" w:type="dxa"/>
            <w:tcBorders/>
          </w:tcPr>
          <w:p>
            <w:pPr>
              <w:pStyle w:val="Normal"/>
              <w:jc w:val="end"/>
              <w:rPr/>
            </w:pPr>
            <w:r>
              <w:rPr/>
              <w:t>$104.2 million</w:t>
            </w:r>
          </w:p>
        </w:tc>
      </w:tr>
      <w:tr>
        <w:trPr/>
        <w:tc>
          <w:tcPr>
            <w:tcW w:w="5850" w:type="dxa"/>
            <w:tcBorders/>
          </w:tcPr>
          <w:p>
            <w:pPr>
              <w:pStyle w:val="Normal"/>
              <w:rPr/>
            </w:pPr>
            <w:r>
              <w:rPr/>
              <w:t>Previously Approved Development Costs</w:t>
            </w:r>
            <w:r>
              <w:rPr>
                <w:b/>
                <w:bCs/>
                <w:vertAlign w:val="superscript"/>
              </w:rPr>
              <w:t>3</w:t>
            </w:r>
          </w:p>
        </w:tc>
        <w:tc>
          <w:tcPr>
            <w:tcW w:w="1620" w:type="dxa"/>
            <w:tcBorders/>
          </w:tcPr>
          <w:p>
            <w:pPr>
              <w:pStyle w:val="Normal"/>
              <w:jc w:val="end"/>
              <w:rPr>
                <w:u w:val="single"/>
              </w:rPr>
            </w:pPr>
            <w:r>
              <w:rPr>
                <w:u w:val="single"/>
              </w:rPr>
              <w:t>48.2 million</w:t>
            </w:r>
          </w:p>
        </w:tc>
      </w:tr>
      <w:tr>
        <w:trPr/>
        <w:tc>
          <w:tcPr>
            <w:tcW w:w="5850" w:type="dxa"/>
            <w:tcBorders/>
          </w:tcPr>
          <w:p>
            <w:pPr>
              <w:pStyle w:val="Normal"/>
              <w:rPr/>
            </w:pPr>
            <w:r>
              <w:rPr/>
              <w:t>Cumulative Exposure</w:t>
            </w:r>
            <w:r>
              <w:rPr>
                <w:b/>
                <w:bCs/>
                <w:vertAlign w:val="superscript"/>
              </w:rPr>
              <w:t>3</w:t>
            </w:r>
          </w:p>
        </w:tc>
        <w:tc>
          <w:tcPr>
            <w:tcW w:w="1620" w:type="dxa"/>
            <w:tcBorders/>
          </w:tcPr>
          <w:p>
            <w:pPr>
              <w:pStyle w:val="Normal"/>
              <w:jc w:val="end"/>
              <w:rPr>
                <w:u w:val="double"/>
              </w:rPr>
            </w:pPr>
            <w:r>
              <w:rPr>
                <w:u w:val="double"/>
              </w:rPr>
              <w:t>$152.4 million</w:t>
            </w:r>
          </w:p>
        </w:tc>
      </w:tr>
    </w:tbl>
    <w:p>
      <w:pPr>
        <w:pStyle w:val="Normal"/>
        <w:rPr/>
      </w:pPr>
      <w:r>
        <w:rPr/>
      </w:r>
    </w:p>
    <w:p>
      <w:pPr>
        <w:pStyle w:val="Normal"/>
        <w:ind w:hanging="270" w:start="270" w:end="0"/>
        <w:rPr/>
      </w:pPr>
      <w:r>
        <w:rPr>
          <w:b/>
          <w:bCs/>
          <w:sz w:val="18"/>
          <w:vertAlign w:val="superscript"/>
        </w:rPr>
        <w:t>3</w:t>
      </w:r>
      <w:r>
        <w:rPr>
          <w:sz w:val="18"/>
        </w:rPr>
        <w:t xml:space="preserve">:  </w:t>
      </w:r>
      <w:r>
        <w:rPr>
          <w:sz w:val="16"/>
        </w:rPr>
        <w:t>Represents the development costs including emissions reductions credits and excluding previously approved and paid turbine payments.  See “</w:t>
      </w:r>
      <w:r>
        <w:rPr>
          <w:b/>
          <w:bCs/>
          <w:caps/>
          <w:sz w:val="16"/>
        </w:rPr>
        <w:t>risk matrix</w:t>
      </w:r>
      <w:r>
        <w:rPr>
          <w:b/>
          <w:bCs/>
          <w:sz w:val="16"/>
        </w:rPr>
        <w:t xml:space="preserve">” </w:t>
      </w:r>
      <w:r>
        <w:rPr>
          <w:sz w:val="16"/>
        </w:rPr>
        <w:t>for further discussion on the turbine purchase exposure.</w:t>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 xml:space="preserve">DEAL DESCRIPTION </w:t>
      </w:r>
    </w:p>
    <w:p>
      <w:pPr>
        <w:pStyle w:val="Normal"/>
        <w:numPr>
          <w:ilvl w:val="0"/>
          <w:numId w:val="3"/>
        </w:numPr>
        <w:ind w:hanging="360" w:start="360" w:end="-36"/>
        <w:jc w:val="both"/>
        <w:rPr/>
      </w:pPr>
      <w:r>
        <w:rPr/>
        <w:t xml:space="preserve">ENA previously obtained approvals to commence and continue the development of a 750MW gas-fired power plant in Kern County, California (“Pastoria” or the “Project”).  The development phase is essentially completed, with all material state and federal permits obtained.  </w:t>
      </w:r>
    </w:p>
    <w:p>
      <w:pPr>
        <w:pStyle w:val="Normal"/>
        <w:numPr>
          <w:ilvl w:val="0"/>
          <w:numId w:val="3"/>
        </w:numPr>
        <w:ind w:hanging="360" w:start="360" w:end="-36"/>
        <w:jc w:val="both"/>
        <w:rPr/>
      </w:pPr>
      <w:r>
        <w:rPr/>
        <w:t xml:space="preserve">The estimated commercial operations date for the Project is September 2003, with estimated total construction costs of $550MM. </w:t>
      </w:r>
    </w:p>
    <w:p>
      <w:pPr>
        <w:pStyle w:val="Normal"/>
        <w:numPr>
          <w:ilvl w:val="0"/>
          <w:numId w:val="3"/>
        </w:numPr>
        <w:ind w:hanging="360" w:start="360" w:end="-36"/>
        <w:jc w:val="both"/>
        <w:rPr/>
      </w:pPr>
      <w:r>
        <w:rPr/>
        <w:t xml:space="preserve">ENA is currently finalizing negotiations of a Purchase and Sale Agreement (the “PSA”) with Pastoria Energy Center LLC (the “Buyer”), a wholly owned subsidiary of Calpine Corporation, for the sale of 100% interest in the Project, including the two GE turbine contracts currently held by The Facility.  The PSA is expected to be signed on March 12, 2001 and the closing is expected to occur about 30 - 45 days later.  </w:t>
      </w:r>
    </w:p>
    <w:p>
      <w:pPr>
        <w:pStyle w:val="Normal"/>
        <w:numPr>
          <w:ilvl w:val="0"/>
          <w:numId w:val="11"/>
        </w:numPr>
        <w:ind w:hanging="360" w:start="360" w:end="-36"/>
        <w:jc w:val="both"/>
        <w:rPr/>
      </w:pPr>
      <w:r>
        <w:rPr/>
        <w:t>Prior to closing the sale to the Buyer, certain additional development costs including amounts owed to the project landlord, legal, environmental and engineering fees, must be expended in order to keep the Project on track and to maintain the marketability of the Project should this intended sale not close.  The major upcoming developments include:</w:t>
      </w:r>
    </w:p>
    <w:p>
      <w:pPr>
        <w:pStyle w:val="Normal"/>
        <w:numPr>
          <w:ilvl w:val="0"/>
          <w:numId w:val="13"/>
        </w:numPr>
        <w:ind w:hanging="360" w:start="720" w:end="-36"/>
        <w:jc w:val="both"/>
        <w:rPr/>
      </w:pPr>
      <w:r>
        <w:rPr/>
        <w:t xml:space="preserve">Turbine progress payments of $1.98 million/month for January through May 2001.  The Facility entered into two purchase contracts with GE in 2000 for the benefit of Pastoria that will give the Project access to two 7FA power trains and option to a third train for future expansion.  </w:t>
      </w:r>
    </w:p>
    <w:p>
      <w:pPr>
        <w:pStyle w:val="Normal"/>
        <w:numPr>
          <w:ilvl w:val="0"/>
          <w:numId w:val="13"/>
        </w:numPr>
        <w:jc w:val="both"/>
        <w:rPr/>
      </w:pPr>
      <w:r>
        <w:rPr/>
        <w:t xml:space="preserve">Participation in Kern’s open season to bid for a 15-year term, 100,000 MMBtu/day of gas transportation capacity. Though ENA’s commitment to this contract creates a demand charge obligation with a present value of $102.3 million at a discount rate of 10%, Pastoria will not owe any monies until May 2003 except for a small sum owed to Kern for conducting facility studies.  </w:t>
      </w:r>
    </w:p>
    <w:p>
      <w:pPr>
        <w:pStyle w:val="Normal"/>
        <w:numPr>
          <w:ilvl w:val="0"/>
          <w:numId w:val="13"/>
        </w:numPr>
        <w:ind w:hanging="360" w:start="720" w:end="-36"/>
        <w:jc w:val="both"/>
        <w:rPr/>
      </w:pPr>
      <w:r>
        <w:rPr/>
        <w:t xml:space="preserve">Finalizing the negotiation with Kern Water Bank Authority (the “Authority”) for a back-up water supply agreement. </w:t>
      </w:r>
      <w:r>
        <w:br w:type="page"/>
      </w:r>
    </w:p>
    <w:p>
      <w:pPr>
        <w:pStyle w:val="Normal"/>
        <w:numPr>
          <w:ilvl w:val="0"/>
          <w:numId w:val="13"/>
        </w:numPr>
        <w:tabs>
          <w:tab w:val="clear" w:pos="720"/>
          <w:tab w:val="left" w:pos="360" w:leader="none"/>
        </w:tabs>
        <w:ind w:hanging="360" w:start="360" w:end="-36"/>
        <w:jc w:val="both"/>
        <w:rPr/>
      </w:pPr>
      <w:r>
        <w:rPr/>
        <w:t xml:space="preserve">In the event the pending sale to the Buyer does not close by April 30, 2001, ENA plans to continue development of the project through May 31, 2001.  </w:t>
      </w:r>
      <w:r>
        <w:rPr>
          <w:color w:val="000000"/>
        </w:rPr>
        <w:t>During that period, ENA will pursue one or more of the following alternatives:</w:t>
      </w:r>
    </w:p>
    <w:p>
      <w:pPr>
        <w:pStyle w:val="Normal"/>
        <w:numPr>
          <w:ilvl w:val="0"/>
          <w:numId w:val="2"/>
        </w:numPr>
        <w:ind w:hanging="360" w:start="720" w:end="-36"/>
        <w:jc w:val="both"/>
        <w:rPr/>
      </w:pPr>
      <w:r>
        <w:rPr/>
        <w:t>Continue to negotiate a long-term fixed price toll arrangement with California Department of Water Resources and</w:t>
      </w:r>
      <w:r>
        <w:rPr>
          <w:color w:val="000000"/>
        </w:rPr>
        <w:t xml:space="preserve"> concurrently arrange for an EPC Contract and construction financing; </w:t>
      </w:r>
    </w:p>
    <w:p>
      <w:pPr>
        <w:pStyle w:val="Normal"/>
        <w:numPr>
          <w:ilvl w:val="0"/>
          <w:numId w:val="2"/>
        </w:numPr>
        <w:ind w:hanging="360" w:start="720" w:end="-36"/>
        <w:jc w:val="both"/>
        <w:rPr/>
      </w:pPr>
      <w:r>
        <w:rPr>
          <w:color w:val="000000"/>
        </w:rPr>
        <w:t>Continue with the marketing efforts to sell the Project;</w:t>
      </w:r>
    </w:p>
    <w:p>
      <w:pPr>
        <w:pStyle w:val="Normal"/>
        <w:numPr>
          <w:ilvl w:val="0"/>
          <w:numId w:val="2"/>
        </w:numPr>
        <w:ind w:hanging="360" w:start="720" w:end="-36"/>
        <w:jc w:val="both"/>
        <w:rPr/>
      </w:pPr>
      <w:r>
        <w:rPr>
          <w:color w:val="000000"/>
        </w:rPr>
        <w:t>Arrange for an EPC contract and project financing for a merchant plant.</w:t>
      </w:r>
    </w:p>
    <w:p>
      <w:pPr>
        <w:pStyle w:val="Normal"/>
        <w:numPr>
          <w:ilvl w:val="0"/>
          <w:numId w:val="2"/>
        </w:numPr>
        <w:tabs>
          <w:tab w:val="clear" w:pos="720"/>
          <w:tab w:val="left" w:pos="360" w:leader="none"/>
        </w:tabs>
        <w:ind w:hanging="360" w:start="360" w:end="-36"/>
        <w:jc w:val="both"/>
        <w:rPr/>
      </w:pPr>
      <w:r>
        <w:rPr/>
        <w:t>If none of the above alternatives prove to be viable by May 31, 2001, ENA will have the option to delay the Project and re-deploy the gas turbines to another Enron project, remarket the emission reduction credits and the gas transportation capacity.  The maximum earnings exposure on the sunk development costs as of May 31, 2001, will be about $152.4 million.  This represents a worst-case scenario and does not take into account any potential re-sale of emissions credits ($27.8 million) or Kern River gas transportation capacity.</w:t>
      </w:r>
    </w:p>
    <w:p>
      <w:pPr>
        <w:pStyle w:val="BodyTextIndent2"/>
        <w:rPr>
          <w:rFonts w:ascii="Times New Roman" w:hAnsi="Times New Roman" w:cs="Times New Roman"/>
          <w:b/>
          <w:bCs/>
        </w:rPr>
      </w:pPr>
      <w:r>
        <w:rPr>
          <w:rFonts w:cs="Times New Roman" w:ascii="Times New Roman" w:hAnsi="Times New Roman"/>
          <w:b/>
          <w:bCs/>
        </w:rPr>
      </w:r>
    </w:p>
    <w:p>
      <w:pPr>
        <w:pStyle w:val="BodyTextIndent2"/>
        <w:pBdr>
          <w:top w:val="single" w:sz="4" w:space="1" w:color="000000"/>
        </w:pBdr>
        <w:rPr/>
      </w:pPr>
      <w:r>
        <w:rPr>
          <w:rFonts w:cs="Times New Roman" w:ascii="Times New Roman" w:hAnsi="Times New Roman"/>
          <w:b/>
          <w:bCs/>
        </w:rPr>
        <w:t>TRANSACTION SOURCES AND USES OF FUNDS (in $000’s</w:t>
      </w:r>
      <w:r>
        <w:rPr/>
        <w:t>)</w:t>
      </w:r>
      <w:r>
        <w:rPr>
          <w:b/>
          <w:bCs/>
          <w:vertAlign w:val="superscript"/>
        </w:rPr>
        <w:t xml:space="preserve">4 </w:t>
      </w:r>
    </w:p>
    <w:tbl>
      <w:tblPr>
        <w:tblW w:w="9180" w:type="dxa"/>
        <w:jc w:val="start"/>
        <w:tblInd w:w="378" w:type="dxa"/>
        <w:tblLayout w:type="fixed"/>
        <w:tblCellMar>
          <w:top w:w="0" w:type="dxa"/>
          <w:start w:w="108" w:type="dxa"/>
          <w:bottom w:w="0" w:type="dxa"/>
          <w:end w:w="108" w:type="dxa"/>
        </w:tblCellMar>
      </w:tblPr>
      <w:tblGrid>
        <w:gridCol w:w="2700"/>
        <w:gridCol w:w="1440"/>
        <w:gridCol w:w="990"/>
        <w:gridCol w:w="2790"/>
        <w:gridCol w:w="1260"/>
      </w:tblGrid>
      <w:tr>
        <w:trPr>
          <w:trHeight w:val="333" w:hRule="atLeast"/>
        </w:trPr>
        <w:tc>
          <w:tcPr>
            <w:tcW w:w="2700" w:type="dxa"/>
            <w:tcBorders/>
          </w:tcPr>
          <w:p>
            <w:pPr>
              <w:pStyle w:val="Normal"/>
              <w:snapToGrid w:val="false"/>
              <w:rPr/>
            </w:pPr>
            <w:r>
              <w:rPr/>
            </w:r>
          </w:p>
        </w:tc>
        <w:tc>
          <w:tcPr>
            <w:tcW w:w="1440" w:type="dxa"/>
            <w:tcBorders/>
          </w:tcPr>
          <w:p>
            <w:pPr>
              <w:pStyle w:val="Normal"/>
              <w:jc w:val="end"/>
              <w:rPr>
                <w:u w:val="single"/>
              </w:rPr>
            </w:pPr>
            <w:r>
              <w:rPr>
                <w:u w:val="single"/>
              </w:rPr>
              <w:t>Sources</w:t>
            </w:r>
          </w:p>
        </w:tc>
        <w:tc>
          <w:tcPr>
            <w:tcW w:w="990" w:type="dxa"/>
            <w:tcBorders/>
          </w:tcPr>
          <w:p>
            <w:pPr>
              <w:pStyle w:val="Normal"/>
              <w:snapToGrid w:val="false"/>
              <w:jc w:val="center"/>
              <w:rPr>
                <w:u w:val="single"/>
              </w:rPr>
            </w:pPr>
            <w:r>
              <w:rPr>
                <w:u w:val="single"/>
              </w:rPr>
            </w:r>
          </w:p>
        </w:tc>
        <w:tc>
          <w:tcPr>
            <w:tcW w:w="2790" w:type="dxa"/>
            <w:tcBorders/>
          </w:tcPr>
          <w:p>
            <w:pPr>
              <w:pStyle w:val="Normal"/>
              <w:snapToGrid w:val="false"/>
              <w:jc w:val="center"/>
              <w:rPr>
                <w:u w:val="single"/>
              </w:rPr>
            </w:pPr>
            <w:r>
              <w:rPr>
                <w:u w:val="single"/>
              </w:rPr>
            </w:r>
          </w:p>
        </w:tc>
        <w:tc>
          <w:tcPr>
            <w:tcW w:w="1260" w:type="dxa"/>
            <w:tcBorders/>
          </w:tcPr>
          <w:p>
            <w:pPr>
              <w:pStyle w:val="Normal"/>
              <w:jc w:val="end"/>
              <w:rPr>
                <w:u w:val="single"/>
              </w:rPr>
            </w:pPr>
            <w:r>
              <w:rPr>
                <w:u w:val="single"/>
              </w:rPr>
              <w:t>Uses</w:t>
            </w:r>
          </w:p>
        </w:tc>
      </w:tr>
      <w:tr>
        <w:trPr/>
        <w:tc>
          <w:tcPr>
            <w:tcW w:w="2700" w:type="dxa"/>
            <w:tcBorders/>
          </w:tcPr>
          <w:p>
            <w:pPr>
              <w:pStyle w:val="Normal"/>
              <w:rPr/>
            </w:pPr>
            <w:r>
              <w:rPr/>
              <w:t>Equity</w:t>
            </w:r>
          </w:p>
        </w:tc>
        <w:tc>
          <w:tcPr>
            <w:tcW w:w="1440" w:type="dxa"/>
            <w:tcBorders/>
          </w:tcPr>
          <w:p>
            <w:pPr>
              <w:pStyle w:val="Normal"/>
              <w:jc w:val="end"/>
              <w:rPr/>
            </w:pPr>
            <w:r>
              <w:rPr/>
              <w:t>$50,100</w:t>
            </w:r>
          </w:p>
        </w:tc>
        <w:tc>
          <w:tcPr>
            <w:tcW w:w="99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Development Costs</w:t>
            </w:r>
          </w:p>
        </w:tc>
        <w:tc>
          <w:tcPr>
            <w:tcW w:w="1260" w:type="dxa"/>
            <w:tcBorders/>
          </w:tcPr>
          <w:p>
            <w:pPr>
              <w:pStyle w:val="Normal"/>
              <w:jc w:val="end"/>
              <w:rPr/>
            </w:pPr>
            <w:r>
              <w:rPr/>
              <w:t>$50,100</w:t>
            </w:r>
          </w:p>
        </w:tc>
      </w:tr>
      <w:tr>
        <w:trPr/>
        <w:tc>
          <w:tcPr>
            <w:tcW w:w="2700" w:type="dxa"/>
            <w:tcBorders/>
          </w:tcPr>
          <w:p>
            <w:pPr>
              <w:pStyle w:val="Normal"/>
              <w:rPr/>
            </w:pPr>
            <w:r>
              <w:rPr/>
              <w:t>Off Balance Sheet Funding</w:t>
            </w:r>
          </w:p>
        </w:tc>
        <w:tc>
          <w:tcPr>
            <w:tcW w:w="1440" w:type="dxa"/>
            <w:tcBorders/>
          </w:tcPr>
          <w:p>
            <w:pPr>
              <w:pStyle w:val="Normal"/>
              <w:jc w:val="end"/>
              <w:rPr>
                <w:u w:val="single"/>
              </w:rPr>
            </w:pPr>
            <w:r>
              <w:rPr>
                <w:u w:val="single"/>
              </w:rPr>
              <w:t>198,000</w:t>
            </w:r>
          </w:p>
        </w:tc>
        <w:tc>
          <w:tcPr>
            <w:tcW w:w="990" w:type="dxa"/>
            <w:tcBorders/>
          </w:tcPr>
          <w:p>
            <w:pPr>
              <w:pStyle w:val="Normal"/>
              <w:snapToGrid w:val="false"/>
              <w:jc w:val="end"/>
              <w:rPr>
                <w:b/>
                <w:bCs/>
                <w:u w:val="single"/>
              </w:rPr>
            </w:pPr>
            <w:r>
              <w:rPr>
                <w:b/>
                <w:bCs/>
                <w:u w:val="single"/>
              </w:rPr>
            </w:r>
          </w:p>
        </w:tc>
        <w:tc>
          <w:tcPr>
            <w:tcW w:w="2790" w:type="dxa"/>
            <w:tcBorders/>
          </w:tcPr>
          <w:p>
            <w:pPr>
              <w:pStyle w:val="Header"/>
              <w:widowControl/>
              <w:tabs>
                <w:tab w:val="clear" w:pos="4320"/>
                <w:tab w:val="clear" w:pos="8640"/>
              </w:tabs>
              <w:rPr/>
            </w:pPr>
            <w:r>
              <w:rPr/>
              <w:t>Turbine Progress Payments</w:t>
            </w:r>
          </w:p>
        </w:tc>
        <w:tc>
          <w:tcPr>
            <w:tcW w:w="1260" w:type="dxa"/>
            <w:tcBorders/>
          </w:tcPr>
          <w:p>
            <w:pPr>
              <w:pStyle w:val="Normal"/>
              <w:jc w:val="end"/>
              <w:rPr>
                <w:u w:val="single"/>
              </w:rPr>
            </w:pPr>
            <w:r>
              <w:rPr>
                <w:u w:val="single"/>
              </w:rPr>
              <w:t>198,000</w:t>
            </w:r>
          </w:p>
        </w:tc>
      </w:tr>
      <w:tr>
        <w:trPr/>
        <w:tc>
          <w:tcPr>
            <w:tcW w:w="2700" w:type="dxa"/>
            <w:tcBorders/>
          </w:tcPr>
          <w:p>
            <w:pPr>
              <w:pStyle w:val="Normal"/>
              <w:rPr>
                <w:b/>
                <w:bCs/>
              </w:rPr>
            </w:pPr>
            <w:r>
              <w:rPr>
                <w:b/>
                <w:bCs/>
              </w:rPr>
              <w:t>Total</w:t>
            </w:r>
          </w:p>
        </w:tc>
        <w:tc>
          <w:tcPr>
            <w:tcW w:w="1440" w:type="dxa"/>
            <w:tcBorders/>
          </w:tcPr>
          <w:p>
            <w:pPr>
              <w:pStyle w:val="Normal"/>
              <w:jc w:val="end"/>
              <w:rPr>
                <w:u w:val="double"/>
              </w:rPr>
            </w:pPr>
            <w:r>
              <w:rPr>
                <w:u w:val="double"/>
              </w:rPr>
              <w:t>$248,100</w:t>
            </w:r>
          </w:p>
        </w:tc>
        <w:tc>
          <w:tcPr>
            <w:tcW w:w="990" w:type="dxa"/>
            <w:tcBorders/>
          </w:tcPr>
          <w:p>
            <w:pPr>
              <w:pStyle w:val="Normal"/>
              <w:snapToGrid w:val="false"/>
              <w:jc w:val="end"/>
              <w:rPr>
                <w:b/>
                <w:bCs/>
                <w:u w:val="double"/>
              </w:rPr>
            </w:pPr>
            <w:r>
              <w:rPr>
                <w:b/>
                <w:bCs/>
                <w:u w:val="double"/>
              </w:rPr>
            </w:r>
          </w:p>
        </w:tc>
        <w:tc>
          <w:tcPr>
            <w:tcW w:w="2790" w:type="dxa"/>
            <w:tcBorders/>
          </w:tcPr>
          <w:p>
            <w:pPr>
              <w:pStyle w:val="Header"/>
              <w:widowControl/>
              <w:tabs>
                <w:tab w:val="clear" w:pos="4320"/>
                <w:tab w:val="clear" w:pos="8640"/>
              </w:tabs>
              <w:rPr>
                <w:b/>
                <w:bCs/>
              </w:rPr>
            </w:pPr>
            <w:r>
              <w:rPr>
                <w:b/>
                <w:bCs/>
              </w:rPr>
              <w:t>Total</w:t>
            </w:r>
          </w:p>
        </w:tc>
        <w:tc>
          <w:tcPr>
            <w:tcW w:w="1260" w:type="dxa"/>
            <w:tcBorders/>
          </w:tcPr>
          <w:p>
            <w:pPr>
              <w:pStyle w:val="Normal"/>
              <w:jc w:val="end"/>
              <w:rPr>
                <w:u w:val="double"/>
              </w:rPr>
            </w:pPr>
            <w:r>
              <w:rPr>
                <w:u w:val="double"/>
              </w:rPr>
              <w:t>$248,100</w:t>
            </w:r>
          </w:p>
        </w:tc>
      </w:tr>
    </w:tbl>
    <w:p>
      <w:pPr>
        <w:pStyle w:val="Normal"/>
        <w:tabs>
          <w:tab w:val="clear" w:pos="720"/>
          <w:tab w:val="left" w:pos="3078" w:leader="none"/>
          <w:tab w:val="left" w:pos="4518" w:leader="none"/>
          <w:tab w:val="left" w:pos="5508" w:leader="none"/>
          <w:tab w:val="left" w:pos="8298" w:leader="none"/>
          <w:tab w:val="left" w:pos="9558" w:leader="none"/>
        </w:tabs>
        <w:ind w:start="378" w:end="0"/>
        <w:rPr>
          <w:b/>
          <w:bCs/>
          <w:sz w:val="18"/>
          <w:vertAlign w:val="superscript"/>
        </w:rPr>
      </w:pPr>
      <w:r>
        <w:rPr>
          <w:b/>
          <w:bCs/>
          <w:sz w:val="18"/>
          <w:vertAlign w:val="superscript"/>
        </w:rPr>
      </w:r>
    </w:p>
    <w:p>
      <w:pPr>
        <w:pStyle w:val="Normal"/>
        <w:tabs>
          <w:tab w:val="clear" w:pos="720"/>
          <w:tab w:val="left" w:pos="3078" w:leader="none"/>
          <w:tab w:val="left" w:pos="4518" w:leader="none"/>
          <w:tab w:val="left" w:pos="5508" w:leader="none"/>
          <w:tab w:val="left" w:pos="8298" w:leader="none"/>
          <w:tab w:val="left" w:pos="9558" w:leader="none"/>
        </w:tabs>
        <w:ind w:start="378" w:end="0"/>
        <w:rPr>
          <w:b/>
          <w:bCs/>
          <w:sz w:val="18"/>
        </w:rPr>
      </w:pPr>
      <w:r>
        <w:rPr>
          <w:b/>
          <w:bCs/>
          <w:sz w:val="18"/>
          <w:vertAlign w:val="superscript"/>
        </w:rPr>
        <w:t xml:space="preserve">4  </w:t>
      </w:r>
      <w:r>
        <w:rPr>
          <w:sz w:val="18"/>
        </w:rPr>
        <w:t>Excluding the PV of gas transportation demand charges of $102.3 million and including previously approved and paid Development Costs of $48.2 million and turbine progress payments.  The incremental Development Costs being approved in the DASH is $1.9 million.</w:t>
      </w:r>
    </w:p>
    <w:p>
      <w:pPr>
        <w:pStyle w:val="Heading2"/>
        <w:widowControl/>
        <w:pBdr>
          <w:top w:val="single" w:sz="8" w:space="1" w:color="000000"/>
        </w:pBdr>
        <w:tabs>
          <w:tab w:val="clear" w:pos="720"/>
          <w:tab w:val="left" w:pos="360" w:leader="none"/>
        </w:tabs>
        <w:ind w:hanging="0" w:start="0" w:end="-36"/>
        <w:rPr>
          <w:i w:val="false"/>
          <w:i w:val="false"/>
          <w:iCs w:val="false"/>
          <w:caps/>
        </w:rPr>
      </w:pPr>
      <w:r>
        <w:rPr>
          <w:i w:val="false"/>
          <w:iCs w:val="false"/>
          <w:caps/>
        </w:rPr>
        <w:t>Return summary</w:t>
      </w:r>
    </w:p>
    <w:p>
      <w:pPr>
        <w:pStyle w:val="Normal"/>
        <w:numPr>
          <w:ilvl w:val="0"/>
          <w:numId w:val="9"/>
        </w:numPr>
        <w:rPr/>
      </w:pPr>
      <w:r>
        <w:rPr/>
        <w:t>The estimated Project value is currently based on the market indication as reflected in the bids received in ENA’s recent round of sales efforts to a large group of interested investors.</w:t>
      </w:r>
    </w:p>
    <w:p>
      <w:pPr>
        <w:pStyle w:val="Normal"/>
        <w:numPr>
          <w:ilvl w:val="0"/>
          <w:numId w:val="9"/>
        </w:numPr>
        <w:rPr/>
      </w:pPr>
      <w:r>
        <w:rPr/>
        <w:t xml:space="preserve">A Project return analysis will be provided if ENA were to seek approval at a later date to continue with the development of the Project or if ENA receives further market indication signaling a value deterioration from the current expectation. </w:t>
      </w:r>
    </w:p>
    <w:p>
      <w:pPr>
        <w:pStyle w:val="Normal"/>
        <w:rPr/>
      </w:pPr>
      <w:r>
        <w:rPr/>
      </w:r>
    </w:p>
    <w:p>
      <w:pPr>
        <w:pStyle w:val="Heading2"/>
        <w:widowControl/>
        <w:pBdr>
          <w:top w:val="single" w:sz="8" w:space="1" w:color="000000"/>
        </w:pBdr>
        <w:tabs>
          <w:tab w:val="clear" w:pos="720"/>
          <w:tab w:val="left" w:pos="360" w:leader="none"/>
        </w:tabs>
        <w:ind w:hanging="0" w:start="0" w:end="-36"/>
        <w:rPr>
          <w:b w:val="false"/>
          <w:bCs w:val="false"/>
          <w:i w:val="false"/>
          <w:i w:val="false"/>
          <w:iCs w:val="false"/>
        </w:rPr>
      </w:pPr>
      <w:r>
        <w:rPr>
          <w:i w:val="false"/>
          <w:iCs w:val="false"/>
        </w:rPr>
        <w:t>TRANSACTION UPSIDES/OPTIONALITY - NA</w:t>
      </w:r>
    </w:p>
    <w:p>
      <w:pPr>
        <w:pStyle w:val="Normal"/>
        <w:tabs>
          <w:tab w:val="clear" w:pos="720"/>
          <w:tab w:val="left" w:pos="360" w:leader="none"/>
        </w:tabs>
        <w:ind w:end="-36"/>
        <w:rPr>
          <w:b/>
          <w:bCs/>
          <w:i/>
          <w:i/>
          <w:iCs/>
        </w:rPr>
      </w:pPr>
      <w:r>
        <w:rPr>
          <w:b/>
          <w:bCs/>
          <w:i/>
          <w:iCs/>
        </w:rPr>
      </w:r>
    </w:p>
    <w:p>
      <w:pPr>
        <w:pStyle w:val="Normal"/>
        <w:rPr/>
      </w:pPr>
      <w:r>
        <w:rPr/>
      </w:r>
    </w:p>
    <w:p>
      <w:pPr>
        <w:pStyle w:val="Heading2"/>
        <w:widowControl/>
        <w:pBdr>
          <w:top w:val="single" w:sz="8" w:space="1" w:color="000000"/>
        </w:pBdr>
        <w:tabs>
          <w:tab w:val="clear" w:pos="720"/>
          <w:tab w:val="left" w:pos="360" w:leader="none"/>
        </w:tabs>
        <w:ind w:hanging="0" w:start="0" w:end="-36"/>
        <w:rPr/>
      </w:pPr>
      <w:r>
        <w:rPr/>
        <w:t xml:space="preserve">RISK MATRIX </w:t>
      </w:r>
    </w:p>
    <w:tbl>
      <w:tblPr>
        <w:tblW w:w="10260" w:type="dxa"/>
        <w:jc w:val="start"/>
        <w:tblInd w:w="108" w:type="dxa"/>
        <w:tblLayout w:type="fixed"/>
        <w:tblCellMar>
          <w:top w:w="0" w:type="dxa"/>
          <w:start w:w="108" w:type="dxa"/>
          <w:bottom w:w="0" w:type="dxa"/>
          <w:end w:w="108" w:type="dxa"/>
        </w:tblCellMar>
      </w:tblPr>
      <w:tblGrid>
        <w:gridCol w:w="5130"/>
        <w:gridCol w:w="5130"/>
      </w:tblGrid>
      <w:tr>
        <w:trPr/>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bCs/>
              </w:rPr>
            </w:pPr>
            <w:r>
              <w:rPr>
                <w:b/>
                <w:bCs/>
              </w:rPr>
              <w:t>RISK</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bCs/>
              </w:rPr>
            </w:pPr>
            <w:r>
              <w:rPr>
                <w:b/>
                <w:bCs/>
              </w:rPr>
              <w:t>MITIGATION/COMMENTS</w:t>
            </w:r>
          </w:p>
        </w:tc>
      </w:tr>
      <w:tr>
        <w:trPr/>
        <w:tc>
          <w:tcPr>
            <w:tcW w:w="51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Development Risks - Gas Transportation</w:t>
            </w:r>
          </w:p>
          <w:p>
            <w:pPr>
              <w:pStyle w:val="Normal"/>
              <w:numPr>
                <w:ilvl w:val="0"/>
                <w:numId w:val="10"/>
              </w:numPr>
              <w:rPr/>
            </w:pPr>
            <w:r>
              <w:rPr/>
              <w:t>Pastoria intends to submit a bid for a 15-year term, 100,000 MMBtu/day of firm gas transportation capacity from the primary receipt point at Opal in the Rocky Mountains to the Wheeler Ridge delivery point.  The outcome of the bid is currently uncertain.  Without a gas transportation contract of this size, the Project will be difficult to market.</w:t>
            </w:r>
          </w:p>
          <w:p>
            <w:pPr>
              <w:pStyle w:val="Normal"/>
              <w:numPr>
                <w:ilvl w:val="0"/>
                <w:numId w:val="10"/>
              </w:numPr>
              <w:rPr/>
            </w:pPr>
            <w:r>
              <w:rPr/>
              <w:t>The Project will bear the spot market risk for the remaining 20,000 MMBtu/day of gas transportation capacity required for the Project.</w:t>
            </w:r>
          </w:p>
          <w:p>
            <w:pPr>
              <w:pStyle w:val="Normal"/>
              <w:numPr>
                <w:ilvl w:val="0"/>
                <w:numId w:val="5"/>
              </w:numPr>
              <w:rPr/>
            </w:pPr>
            <w:r>
              <w:rPr/>
              <w:t>If ENA decides to discontinue development subsequent to securing the Kern contract, it will be exposed to the liquidation value of the Kern contract.</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4"/>
              </w:numPr>
              <w:jc w:val="both"/>
              <w:rPr/>
            </w:pPr>
            <w:r>
              <w:rPr/>
              <w:t xml:space="preserve">Pastoria expects to acquire all requested capacity unless Kern decides to abandon the open season.  Abandonment is highly unlikely given the large volume requested (1.5 Bcf/d) in the last round.  Some shippers may elect to not participate in the next round, but the gas desk does not expect Kern to abandon the open season.  </w:t>
            </w:r>
          </w:p>
          <w:p>
            <w:pPr>
              <w:pStyle w:val="Normal"/>
              <w:numPr>
                <w:ilvl w:val="0"/>
                <w:numId w:val="5"/>
              </w:numPr>
              <w:jc w:val="both"/>
              <w:rPr/>
            </w:pPr>
            <w:r>
              <w:rPr/>
              <w:t>West Power will engage the ENA gas desk to remarket the capacity should it elect to discontinue development.    The PV of the gas transportation demand charges is $102.3 million.</w:t>
            </w:r>
          </w:p>
        </w:tc>
      </w:tr>
      <w:tr>
        <w:trPr/>
        <w:tc>
          <w:tcPr>
            <w:tcW w:w="51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Development Risks - Water Supply</w:t>
            </w:r>
          </w:p>
          <w:p>
            <w:pPr>
              <w:pStyle w:val="Normal"/>
              <w:numPr>
                <w:ilvl w:val="0"/>
                <w:numId w:val="12"/>
              </w:numPr>
              <w:rPr/>
            </w:pPr>
            <w:r>
              <w:rPr/>
              <w:t xml:space="preserve">The Project currently has a primary, interruptible, water supply contract and is in the process of securing a firm back-up supply contract from the Authority through a relatively difficult negotiation.  Without the back-up contract, the Project may be subject to water supply interruptions.  </w:t>
            </w:r>
          </w:p>
          <w:p>
            <w:pPr>
              <w:pStyle w:val="Normal"/>
              <w:numPr>
                <w:ilvl w:val="0"/>
                <w:numId w:val="5"/>
              </w:numPr>
              <w:rPr/>
            </w:pPr>
            <w:r>
              <w:rPr/>
              <w:t>There is not an alternative source of water supply should the negotiation with the Authority break down.</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12"/>
              </w:numPr>
              <w:jc w:val="both"/>
              <w:rPr/>
            </w:pPr>
            <w:r>
              <w:rPr/>
              <w:t xml:space="preserve">ENA has finalized a term sheet with the Authority and has initiated the negotiation process on the definitive agreement, which should be completed in 30 to 45 days.  Completion of this agreement is a condition to closing the sale of the Project by the Buyer and will be critical to ENA’S ability to continue with development of the Project. </w:t>
            </w:r>
          </w:p>
        </w:tc>
      </w:tr>
    </w:tbl>
    <w:p>
      <w:pPr>
        <w:pStyle w:val="Normal"/>
        <w:rPr/>
      </w:pPr>
      <w:r>
        <w:br w:type="page"/>
      </w:r>
      <w:r>
        <w:rPr/>
      </w:r>
    </w:p>
    <w:tbl>
      <w:tblPr>
        <w:tblW w:w="10260" w:type="dxa"/>
        <w:jc w:val="start"/>
        <w:tblInd w:w="108" w:type="dxa"/>
        <w:tblLayout w:type="fixed"/>
        <w:tblCellMar>
          <w:top w:w="0" w:type="dxa"/>
          <w:start w:w="108" w:type="dxa"/>
          <w:bottom w:w="0" w:type="dxa"/>
          <w:end w:w="108" w:type="dxa"/>
        </w:tblCellMar>
      </w:tblPr>
      <w:tblGrid>
        <w:gridCol w:w="5130"/>
        <w:gridCol w:w="5130"/>
      </w:tblGrid>
      <w:tr>
        <w:trPr/>
        <w:tc>
          <w:tcPr>
            <w:tcW w:w="513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Development Risks – Marketability</w:t>
            </w:r>
          </w:p>
          <w:p>
            <w:pPr>
              <w:pStyle w:val="Normal"/>
              <w:numPr>
                <w:ilvl w:val="0"/>
                <w:numId w:val="5"/>
              </w:numPr>
              <w:rPr/>
            </w:pPr>
            <w:r>
              <w:rPr/>
              <w:t>Out of the six interested investors, the Buyer offered the highest price and presented the least mark-up on the transaction documents.  If the sale to the Buyer does not close, a potential sale to the other interested investors may offer a lower economic return to ENA.</w:t>
            </w:r>
          </w:p>
          <w:p>
            <w:pPr>
              <w:pStyle w:val="Normal"/>
              <w:numPr>
                <w:ilvl w:val="0"/>
                <w:numId w:val="5"/>
              </w:numPr>
              <w:rPr/>
            </w:pPr>
            <w:r>
              <w:rPr/>
              <w:t>The well-publicized struggles by California with rolling black-outs and its unsuccessful attempt to deregulate may result in a new business and/or political environment, including re-regulation, that may make California less attractive for potential purchasers.</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rPr>
            </w:pPr>
            <w:r>
              <w:rPr>
                <w:color w:val="000000"/>
              </w:rPr>
            </w:r>
          </w:p>
          <w:p>
            <w:pPr>
              <w:pStyle w:val="Normal"/>
              <w:numPr>
                <w:ilvl w:val="0"/>
                <w:numId w:val="5"/>
              </w:numPr>
              <w:jc w:val="both"/>
              <w:rPr/>
            </w:pPr>
            <w:r>
              <w:rPr/>
              <w:t>ENA expects to receive a promote fee of at least $20 million if it has to remarket the project should the sale to Calpine not close, taken into account the large participation in the last round of bidding for the Project and the urgent need of power supply in California.</w:t>
            </w:r>
          </w:p>
          <w:p>
            <w:pPr>
              <w:pStyle w:val="Normal"/>
              <w:numPr>
                <w:ilvl w:val="0"/>
                <w:numId w:val="5"/>
              </w:numPr>
              <w:jc w:val="both"/>
              <w:rPr/>
            </w:pPr>
            <w:r>
              <w:rPr/>
              <w:t>Notwithstanding the difficult political environment, California is in critical need of new power plants. The Project, given that it is fully permitted, is expected to be attractive to serious investors in the California market.</w:t>
            </w:r>
          </w:p>
          <w:p>
            <w:pPr>
              <w:pStyle w:val="Normal"/>
              <w:jc w:val="both"/>
              <w:rPr/>
            </w:pPr>
            <w:r>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Project Financing</w:t>
            </w:r>
          </w:p>
          <w:p>
            <w:pPr>
              <w:pStyle w:val="Normal"/>
              <w:numPr>
                <w:ilvl w:val="0"/>
                <w:numId w:val="2"/>
              </w:numPr>
              <w:tabs>
                <w:tab w:val="clear" w:pos="720"/>
                <w:tab w:val="left" w:pos="360" w:leader="none"/>
              </w:tabs>
              <w:ind w:hanging="360" w:start="360" w:end="-36"/>
              <w:jc w:val="both"/>
              <w:rPr/>
            </w:pPr>
            <w:r>
              <w:rPr/>
              <w:t xml:space="preserve">ENA has not secured a firm EPC contract, nor has it negotiated a power purchase agreement for the output.  Therefore, the timing of ENA’s ability to arrange for a non-recourse, off balance sheet, project financing is uncertain.  </w:t>
            </w:r>
          </w:p>
          <w:p>
            <w:pPr>
              <w:pStyle w:val="Normal"/>
              <w:numPr>
                <w:ilvl w:val="0"/>
                <w:numId w:val="2"/>
              </w:numPr>
              <w:tabs>
                <w:tab w:val="clear" w:pos="720"/>
                <w:tab w:val="left" w:pos="360" w:leader="none"/>
              </w:tabs>
              <w:ind w:hanging="360" w:start="360" w:end="0"/>
              <w:rPr>
                <w:b/>
                <w:bCs/>
              </w:rPr>
            </w:pPr>
            <w:r>
              <w:rPr/>
              <w:t xml:space="preserve">The project construction needs to start by September 2001 to meet the targeted COD of September 2003. </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ind w:start="360" w:end="0"/>
              <w:jc w:val="both"/>
              <w:rPr>
                <w:b/>
                <w:bCs/>
                <w:color w:val="000000"/>
              </w:rPr>
            </w:pPr>
            <w:r>
              <w:rPr>
                <w:b/>
                <w:bCs/>
                <w:color w:val="000000"/>
              </w:rPr>
            </w:r>
          </w:p>
          <w:p>
            <w:pPr>
              <w:pStyle w:val="Normal"/>
              <w:numPr>
                <w:ilvl w:val="0"/>
                <w:numId w:val="2"/>
              </w:numPr>
              <w:tabs>
                <w:tab w:val="clear" w:pos="720"/>
                <w:tab w:val="left" w:pos="342" w:leader="none"/>
              </w:tabs>
              <w:ind w:hanging="342" w:start="342" w:end="0"/>
              <w:jc w:val="both"/>
              <w:rPr>
                <w:color w:val="000000"/>
              </w:rPr>
            </w:pPr>
            <w:r>
              <w:rPr>
                <w:color w:val="000000"/>
              </w:rPr>
              <w:t>ENA intends to make a decision in May 2001 as to the viability of continuing with the development of the Project, should the sale to the Buyer not close.  ENA estimates a 3-month timeframe to secure an EPC contract and construction or project financing.</w:t>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Development Risks – Turbine Redeployment</w:t>
            </w:r>
          </w:p>
          <w:p>
            <w:pPr>
              <w:pStyle w:val="Normal"/>
              <w:numPr>
                <w:ilvl w:val="0"/>
                <w:numId w:val="6"/>
              </w:numPr>
              <w:rPr/>
            </w:pPr>
            <w:r>
              <w:rPr/>
              <w:t>If ENA terminates the development of the Project, there is a risk that the turbines on order may not be redeployed elsewhere in the company.  As of May 31, 2001, the combined cancellation charges for both turbine purchase contracts will be $32.2 million, including a $2.5 million incremental cancellation charge on the third train.</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rPr>
            </w:pPr>
            <w:r>
              <w:rPr>
                <w:color w:val="000000"/>
              </w:rPr>
            </w:r>
          </w:p>
          <w:p>
            <w:pPr>
              <w:pStyle w:val="Normal"/>
              <w:numPr>
                <w:ilvl w:val="0"/>
                <w:numId w:val="6"/>
              </w:numPr>
              <w:jc w:val="both"/>
              <w:rPr>
                <w:color w:val="000000"/>
              </w:rPr>
            </w:pPr>
            <w:r>
              <w:rPr>
                <w:color w:val="000000"/>
              </w:rPr>
              <w:t>Several of the recent Enron development projects were put on hold due to the inability to secure GE 7FA turbines in the desired delivery timeframe.  RAC is comfortable that the turbines on order for the Project can be redeployed within the company without suffering any loss in value.</w:t>
            </w:r>
          </w:p>
        </w:tc>
      </w:tr>
      <w:tr>
        <w:trPr/>
        <w:tc>
          <w:tcPr>
            <w:tcW w:w="51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Accounting / Balance Sheet</w:t>
            </w:r>
          </w:p>
          <w:p>
            <w:pPr>
              <w:pStyle w:val="Normal"/>
              <w:numPr>
                <w:ilvl w:val="0"/>
                <w:numId w:val="8"/>
              </w:numPr>
              <w:rPr>
                <w:b/>
                <w:bCs/>
              </w:rPr>
            </w:pPr>
            <w:r>
              <w:rPr/>
              <w:t>By committing to firm gas transportation capacity for 15 years, the project’s soft costs will exceed 10% of the total project costs as of March 15. The project runs the risk of Enron balance sheet treatment should ENA later decide to enter into an off-take agreement with the plant.</w:t>
            </w:r>
          </w:p>
          <w:p>
            <w:pPr>
              <w:pStyle w:val="Normal"/>
              <w:numPr>
                <w:ilvl w:val="0"/>
                <w:numId w:val="8"/>
              </w:numPr>
              <w:rPr>
                <w:b/>
                <w:bCs/>
              </w:rPr>
            </w:pPr>
            <w:r>
              <w:rPr/>
              <w:t>Any continuing involvement by Enron after the sale (e.g., guarantees, etc) could require ENA to defer recognition of some of the gain on the project.</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color w:val="000000"/>
              </w:rPr>
            </w:pPr>
            <w:r>
              <w:rPr>
                <w:b/>
                <w:bCs/>
                <w:color w:val="000000"/>
              </w:rPr>
            </w:r>
          </w:p>
          <w:p>
            <w:pPr>
              <w:pStyle w:val="Normal"/>
              <w:numPr>
                <w:ilvl w:val="0"/>
                <w:numId w:val="8"/>
              </w:numPr>
              <w:tabs>
                <w:tab w:val="clear" w:pos="720"/>
                <w:tab w:val="left" w:pos="342" w:leader="none"/>
              </w:tabs>
              <w:ind w:hanging="342" w:start="342" w:end="0"/>
              <w:jc w:val="both"/>
              <w:rPr>
                <w:color w:val="000000"/>
              </w:rPr>
            </w:pPr>
            <w:r>
              <w:rPr/>
              <w:t>This risk can be entirely avoided by Enron never entering into an off-take agreement with Pastoria</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numPr>
                <w:ilvl w:val="0"/>
                <w:numId w:val="8"/>
              </w:numPr>
              <w:tabs>
                <w:tab w:val="clear" w:pos="720"/>
                <w:tab w:val="left" w:pos="342" w:leader="none"/>
              </w:tabs>
              <w:ind w:hanging="270" w:start="342" w:end="0"/>
              <w:jc w:val="both"/>
              <w:rPr>
                <w:color w:val="000000"/>
              </w:rPr>
            </w:pPr>
            <w:r>
              <w:rPr/>
              <w:t xml:space="preserve">Enron can avoid continuing involvement by obtaining a full release of guarantees or contractually mitigating its liability exposure.  ENA will obtain either back-to-back guarantees from Calpine or, in the case of the Kern contract, obtain a release to address this issue.  </w:t>
            </w:r>
          </w:p>
        </w:tc>
      </w:tr>
    </w:tbl>
    <w:p>
      <w:pPr>
        <w:pStyle w:val="Normal"/>
        <w:rPr/>
      </w:pPr>
      <w:r>
        <w:rPr/>
      </w:r>
    </w:p>
    <w:p>
      <w:pPr>
        <w:pStyle w:val="Heading1"/>
        <w:pBdr>
          <w:top w:val="single" w:sz="8" w:space="12" w:color="000000"/>
        </w:pBdr>
        <w:tabs>
          <w:tab w:val="clear" w:pos="720"/>
          <w:tab w:val="left" w:pos="360" w:leader="none"/>
        </w:tabs>
        <w:ind w:hanging="0" w:start="0"/>
        <w:rPr/>
      </w:pPr>
      <w:r>
        <w:rPr/>
        <w:t>KEY SUCCESS FACTORS</w:t>
      </w:r>
    </w:p>
    <w:p>
      <w:pPr>
        <w:pStyle w:val="Normal"/>
        <w:tabs>
          <w:tab w:val="clear" w:pos="720"/>
          <w:tab w:val="left" w:pos="360" w:leader="none"/>
        </w:tabs>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522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jc w:val="center"/>
              <w:rPr>
                <w:b/>
                <w:bCs/>
              </w:rPr>
            </w:pPr>
            <w:r>
              <w:rPr>
                <w:b/>
                <w:bCs/>
              </w:rPr>
              <w:t>NA</w:t>
            </w:r>
          </w:p>
        </w:tc>
        <w:tc>
          <w:tcPr>
            <w:tcW w:w="5220" w:type="dxa"/>
            <w:tcBorders>
              <w:top w:val="single" w:sz="4" w:space="0" w:color="000000"/>
              <w:start w:val="single" w:sz="4" w:space="0" w:color="000000"/>
              <w:bottom w:val="single" w:sz="4" w:space="0" w:color="000000"/>
              <w:end w:val="single" w:sz="4" w:space="0" w:color="000000"/>
            </w:tcBorders>
          </w:tcPr>
          <w:p>
            <w:pPr>
              <w:pStyle w:val="Heading5"/>
              <w:tabs>
                <w:tab w:val="clear" w:pos="720"/>
                <w:tab w:val="left" w:pos="360" w:leader="none"/>
              </w:tabs>
              <w:ind w:hanging="0" w:start="0"/>
              <w:rPr/>
            </w:pPr>
            <w:r>
              <w:rPr/>
              <w:t>Poor                                                                            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 w:val="left" w:pos="360" w:leader="none"/>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jc w:val="center"/>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jc w:val="center"/>
              <w:rPr/>
            </w:pPr>
            <w:r>
              <w:rPr/>
              <w:t>X</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 xml:space="preserve">                         </w:t>
            </w:r>
            <w:r>
              <w:rPr/>
              <w:t>X</w:t>
            </w:r>
          </w:p>
        </w:tc>
      </w:tr>
    </w:tbl>
    <w:p>
      <w:pPr>
        <w:pStyle w:val="Header"/>
        <w:widowControl/>
        <w:tabs>
          <w:tab w:val="clear" w:pos="4320"/>
          <w:tab w:val="clear" w:pos="8640"/>
          <w:tab w:val="left" w:pos="360" w:leader="none"/>
        </w:tabs>
        <w:rPr/>
      </w:pPr>
      <w:r>
        <w:rPr/>
      </w:r>
      <w:r>
        <w:br w:type="page"/>
      </w:r>
    </w:p>
    <w:p>
      <w:pPr>
        <w:pStyle w:val="Heading2"/>
        <w:widowControl/>
        <w:pBdr>
          <w:top w:val="single" w:sz="8" w:space="1" w:color="000000"/>
        </w:pBdr>
        <w:tabs>
          <w:tab w:val="clear" w:pos="720"/>
          <w:tab w:val="left" w:pos="360" w:leader="none"/>
        </w:tabs>
        <w:ind w:hanging="0" w:start="0" w:end="-36"/>
        <w:rPr>
          <w:i w:val="false"/>
          <w:i w:val="false"/>
          <w:iCs w:val="false"/>
          <w:caps/>
        </w:rPr>
      </w:pPr>
      <w:r>
        <w:rPr>
          <w:i w:val="false"/>
          <w:iCs w:val="false"/>
          <w:caps/>
        </w:rPr>
        <w:t>Milestones</w:t>
      </w:r>
    </w:p>
    <w:p>
      <w:pPr>
        <w:pStyle w:val="Normal"/>
        <w:rPr>
          <w:i/>
          <w:i/>
          <w:iCs/>
          <w:caps/>
        </w:rPr>
      </w:pPr>
      <w:r>
        <w:rPr>
          <w:i/>
          <w:iCs/>
          <w:caps/>
        </w:rPr>
      </w:r>
    </w:p>
    <w:tbl>
      <w:tblPr>
        <w:tblW w:w="8550" w:type="dxa"/>
        <w:jc w:val="start"/>
        <w:tblInd w:w="108" w:type="dxa"/>
        <w:tblLayout w:type="fixed"/>
        <w:tblCellMar>
          <w:top w:w="0" w:type="dxa"/>
          <w:start w:w="108" w:type="dxa"/>
          <w:bottom w:w="0" w:type="dxa"/>
          <w:end w:w="108" w:type="dxa"/>
        </w:tblCellMar>
      </w:tblPr>
      <w:tblGrid>
        <w:gridCol w:w="6840"/>
        <w:gridCol w:w="1710"/>
      </w:tblGrid>
      <w:tr>
        <w:trPr/>
        <w:tc>
          <w:tcPr>
            <w:tcW w:w="6840" w:type="dxa"/>
            <w:tcBorders/>
          </w:tcPr>
          <w:p>
            <w:pPr>
              <w:pStyle w:val="Normal"/>
              <w:rPr>
                <w:u w:val="single"/>
              </w:rPr>
            </w:pPr>
            <w:r>
              <w:rPr>
                <w:u w:val="single"/>
              </w:rPr>
              <w:t>Events</w:t>
            </w:r>
          </w:p>
        </w:tc>
        <w:tc>
          <w:tcPr>
            <w:tcW w:w="1710" w:type="dxa"/>
            <w:tcBorders/>
          </w:tcPr>
          <w:p>
            <w:pPr>
              <w:pStyle w:val="Normal"/>
              <w:jc w:val="end"/>
              <w:rPr>
                <w:u w:val="single"/>
              </w:rPr>
            </w:pPr>
            <w:r>
              <w:rPr>
                <w:u w:val="single"/>
              </w:rPr>
              <w:t>Date</w:t>
            </w:r>
          </w:p>
        </w:tc>
      </w:tr>
      <w:tr>
        <w:trPr/>
        <w:tc>
          <w:tcPr>
            <w:tcW w:w="6840" w:type="dxa"/>
            <w:tcBorders/>
          </w:tcPr>
          <w:p>
            <w:pPr>
              <w:pStyle w:val="Normal"/>
              <w:rPr/>
            </w:pPr>
            <w:r>
              <w:rPr/>
              <w:t>Signing the PSA with the Buyer</w:t>
            </w:r>
          </w:p>
        </w:tc>
        <w:tc>
          <w:tcPr>
            <w:tcW w:w="1710" w:type="dxa"/>
            <w:tcBorders/>
          </w:tcPr>
          <w:p>
            <w:pPr>
              <w:pStyle w:val="Normal"/>
              <w:jc w:val="end"/>
              <w:rPr/>
            </w:pPr>
            <w:r>
              <w:rPr/>
              <w:t>March 14, 2001</w:t>
            </w:r>
          </w:p>
        </w:tc>
      </w:tr>
      <w:tr>
        <w:trPr/>
        <w:tc>
          <w:tcPr>
            <w:tcW w:w="6840" w:type="dxa"/>
            <w:tcBorders/>
          </w:tcPr>
          <w:p>
            <w:pPr>
              <w:pStyle w:val="Normal"/>
              <w:rPr/>
            </w:pPr>
            <w:r>
              <w:rPr/>
              <w:t>Bid on the Kern contract</w:t>
            </w:r>
          </w:p>
        </w:tc>
        <w:tc>
          <w:tcPr>
            <w:tcW w:w="1710" w:type="dxa"/>
            <w:tcBorders/>
          </w:tcPr>
          <w:p>
            <w:pPr>
              <w:pStyle w:val="Normal"/>
              <w:jc w:val="end"/>
              <w:rPr/>
            </w:pPr>
            <w:r>
              <w:rPr/>
              <w:t>March 15, 2001</w:t>
            </w:r>
          </w:p>
        </w:tc>
      </w:tr>
      <w:tr>
        <w:trPr/>
        <w:tc>
          <w:tcPr>
            <w:tcW w:w="6840" w:type="dxa"/>
            <w:tcBorders/>
          </w:tcPr>
          <w:p>
            <w:pPr>
              <w:pStyle w:val="Normal"/>
              <w:rPr/>
            </w:pPr>
            <w:r>
              <w:rPr/>
              <w:t>Kern contract bid result announcement</w:t>
            </w:r>
          </w:p>
        </w:tc>
        <w:tc>
          <w:tcPr>
            <w:tcW w:w="1710" w:type="dxa"/>
            <w:tcBorders/>
          </w:tcPr>
          <w:p>
            <w:pPr>
              <w:pStyle w:val="Normal"/>
              <w:jc w:val="end"/>
              <w:rPr/>
            </w:pPr>
            <w:r>
              <w:rPr/>
              <w:t>March 22, 2001</w:t>
            </w:r>
          </w:p>
        </w:tc>
      </w:tr>
      <w:tr>
        <w:trPr/>
        <w:tc>
          <w:tcPr>
            <w:tcW w:w="6840" w:type="dxa"/>
            <w:tcBorders/>
          </w:tcPr>
          <w:p>
            <w:pPr>
              <w:pStyle w:val="Normal"/>
              <w:rPr/>
            </w:pPr>
            <w:r>
              <w:rPr/>
              <w:t>Finalize back-up water supply contract negotiation with the Authority</w:t>
            </w:r>
          </w:p>
        </w:tc>
        <w:tc>
          <w:tcPr>
            <w:tcW w:w="1710" w:type="dxa"/>
            <w:tcBorders/>
          </w:tcPr>
          <w:p>
            <w:pPr>
              <w:pStyle w:val="Normal"/>
              <w:jc w:val="end"/>
              <w:rPr/>
            </w:pPr>
            <w:r>
              <w:rPr/>
              <w:t>April 30, 2001</w:t>
            </w:r>
          </w:p>
        </w:tc>
      </w:tr>
      <w:tr>
        <w:trPr/>
        <w:tc>
          <w:tcPr>
            <w:tcW w:w="6840" w:type="dxa"/>
            <w:tcBorders/>
          </w:tcPr>
          <w:p>
            <w:pPr>
              <w:pStyle w:val="Normal"/>
              <w:rPr/>
            </w:pPr>
            <w:r>
              <w:rPr/>
              <w:t>Closing of the sale to the Buyer</w:t>
            </w:r>
          </w:p>
        </w:tc>
        <w:tc>
          <w:tcPr>
            <w:tcW w:w="1710" w:type="dxa"/>
            <w:tcBorders/>
          </w:tcPr>
          <w:p>
            <w:pPr>
              <w:pStyle w:val="Normal"/>
              <w:jc w:val="end"/>
              <w:rPr/>
            </w:pPr>
            <w:r>
              <w:rPr/>
              <w:t>April 30, 2001</w:t>
            </w:r>
          </w:p>
        </w:tc>
      </w:tr>
      <w:tr>
        <w:trPr/>
        <w:tc>
          <w:tcPr>
            <w:tcW w:w="6840" w:type="dxa"/>
            <w:tcBorders/>
          </w:tcPr>
          <w:p>
            <w:pPr>
              <w:pStyle w:val="Normal"/>
              <w:rPr/>
            </w:pPr>
            <w:r>
              <w:rPr/>
              <w:t>ENA management decision on continuance of project development</w:t>
            </w:r>
          </w:p>
        </w:tc>
        <w:tc>
          <w:tcPr>
            <w:tcW w:w="1710" w:type="dxa"/>
            <w:tcBorders/>
          </w:tcPr>
          <w:p>
            <w:pPr>
              <w:pStyle w:val="Normal"/>
              <w:jc w:val="end"/>
              <w:rPr/>
            </w:pPr>
            <w:r>
              <w:rPr/>
              <w:t>May 31, 2001</w:t>
            </w:r>
          </w:p>
        </w:tc>
      </w:tr>
      <w:tr>
        <w:trPr/>
        <w:tc>
          <w:tcPr>
            <w:tcW w:w="6840" w:type="dxa"/>
            <w:tcBorders/>
          </w:tcPr>
          <w:p>
            <w:pPr>
              <w:pStyle w:val="Normal"/>
              <w:rPr/>
            </w:pPr>
            <w:r>
              <w:rPr/>
              <w:t>Option expiration on the back-up water supply contract - $6.5 million option payment to Azurix, including $4.5 million payment to be made by Azurix to the Authority</w:t>
            </w:r>
          </w:p>
        </w:tc>
        <w:tc>
          <w:tcPr>
            <w:tcW w:w="1710" w:type="dxa"/>
            <w:tcBorders/>
          </w:tcPr>
          <w:p>
            <w:pPr>
              <w:pStyle w:val="Normal"/>
              <w:jc w:val="end"/>
              <w:rPr/>
            </w:pPr>
            <w:r>
              <w:rPr/>
              <w:t>July 31, 2001</w:t>
            </w:r>
          </w:p>
        </w:tc>
      </w:tr>
      <w:tr>
        <w:trPr/>
        <w:tc>
          <w:tcPr>
            <w:tcW w:w="6840" w:type="dxa"/>
            <w:tcBorders/>
          </w:tcPr>
          <w:p>
            <w:pPr>
              <w:pStyle w:val="Normal"/>
              <w:rPr/>
            </w:pPr>
            <w:r>
              <w:rPr/>
              <w:t>Obtain corporate approval to exercise the option to purchase the third train from GE.  The option expires on October 31, 2001</w:t>
            </w:r>
          </w:p>
        </w:tc>
        <w:tc>
          <w:tcPr>
            <w:tcW w:w="1710" w:type="dxa"/>
            <w:tcBorders/>
          </w:tcPr>
          <w:p>
            <w:pPr>
              <w:pStyle w:val="Normal"/>
              <w:jc w:val="end"/>
              <w:rPr/>
            </w:pPr>
            <w:r>
              <w:rPr/>
              <w:t>October 15, 2001</w:t>
            </w:r>
          </w:p>
        </w:tc>
      </w:tr>
    </w:tbl>
    <w:p>
      <w:pPr>
        <w:pStyle w:val="Normal"/>
        <w:rPr/>
      </w:pPr>
      <w:r>
        <w:rPr/>
      </w:r>
    </w:p>
    <w:p>
      <w:pPr>
        <w:pStyle w:val="Normal"/>
        <w:numPr>
          <w:ilvl w:val="0"/>
          <w:numId w:val="0"/>
        </w:numPr>
        <w:pBdr>
          <w:top w:val="single" w:sz="8" w:space="1" w:color="000000"/>
        </w:pBdr>
        <w:tabs>
          <w:tab w:val="clear" w:pos="720"/>
          <w:tab w:val="left" w:pos="360" w:leader="none"/>
        </w:tabs>
        <w:outlineLvl w:val="0"/>
        <w:rPr>
          <w:b/>
          <w:bCs/>
        </w:rPr>
      </w:pPr>
      <w:r>
        <w:rPr>
          <w:b/>
          <w:bCs/>
        </w:rPr>
        <w:t xml:space="preserve">OTHER RAC COMMENTS: </w:t>
      </w:r>
    </w:p>
    <w:p>
      <w:pPr>
        <w:pStyle w:val="Normal"/>
        <w:numPr>
          <w:ilvl w:val="0"/>
          <w:numId w:val="7"/>
        </w:numPr>
        <w:pBdr>
          <w:top w:val="single" w:sz="8" w:space="1" w:color="000000"/>
        </w:pBdr>
        <w:outlineLvl w:val="0"/>
        <w:rPr/>
      </w:pPr>
      <w:r>
        <w:rPr/>
        <w:t>At the current stage of the development, ENA’s ability to secure the crucial gas transportation contract and the back-up water supply contract will define the marketability of the project and its viability for further development should the current market conditions in California prevent an immediate sale.</w:t>
      </w:r>
    </w:p>
    <w:p>
      <w:pPr>
        <w:pStyle w:val="Normal"/>
        <w:numPr>
          <w:ilvl w:val="0"/>
          <w:numId w:val="5"/>
        </w:numPr>
        <w:jc w:val="both"/>
        <w:rPr/>
      </w:pPr>
      <w:r>
        <w:rPr/>
        <w:t>ENA expects to receive a promote fee of at least $20 million if it has to remarket the project should the sale to Calpine not close, taken into account the large participation in the last round of bidding for the Project and the urgent need of power supply in California.</w:t>
      </w:r>
    </w:p>
    <w:p>
      <w:pPr>
        <w:pStyle w:val="Normal"/>
        <w:numPr>
          <w:ilvl w:val="0"/>
          <w:numId w:val="7"/>
        </w:numPr>
        <w:outlineLvl w:val="0"/>
        <w:rPr/>
      </w:pPr>
      <w:r>
        <w:rPr/>
        <w:t>Considering the minimal incremental Development Costs required before ENA reaches a critical decision point in May 2001 and its outlook on securing both the gas transportation and the water supply contract, RAC recommends this transaction.</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tabs>
                <w:tab w:val="clear" w:pos="720"/>
                <w:tab w:val="left" w:pos="360" w:leader="none"/>
              </w:tabs>
              <w:ind w:hanging="0" w:start="0"/>
              <w:rPr>
                <w:i/>
                <w:i/>
                <w:iCs/>
              </w:rPr>
            </w:pPr>
            <w:r>
              <w:rPr/>
              <w:t>APPROVALS</w:t>
            </w:r>
          </w:p>
        </w:tc>
        <w:tc>
          <w:tcPr>
            <w:tcW w:w="360" w:type="dxa"/>
            <w:tcBorders>
              <w:top w:val="single" w:sz="4" w:space="0" w:color="000000"/>
            </w:tcBorders>
            <w:vAlign w:val="bottom"/>
          </w:tcPr>
          <w:p>
            <w:pPr>
              <w:pStyle w:val="Normal"/>
              <w:keepNext w:val="true"/>
              <w:tabs>
                <w:tab w:val="clear" w:pos="720"/>
                <w:tab w:val="left" w:pos="360" w:leader="none"/>
              </w:tabs>
              <w:snapToGrid w:val="false"/>
              <w:rPr>
                <w:b/>
                <w:bCs/>
                <w:i/>
                <w:i/>
                <w:iCs/>
              </w:rPr>
            </w:pPr>
            <w:r>
              <w:rPr>
                <w:b/>
                <w:bCs/>
                <w:i/>
                <w:iCs/>
              </w:rPr>
            </w:r>
          </w:p>
        </w:tc>
        <w:tc>
          <w:tcPr>
            <w:tcW w:w="2932" w:type="dxa"/>
            <w:tcBorders>
              <w:top w:val="single" w:sz="4" w:space="0" w:color="000000"/>
            </w:tcBorders>
            <w:vAlign w:val="bottom"/>
          </w:tcPr>
          <w:p>
            <w:pPr>
              <w:pStyle w:val="Normal"/>
              <w:keepNext w:val="true"/>
              <w:tabs>
                <w:tab w:val="clear" w:pos="720"/>
                <w:tab w:val="left" w:pos="360" w:leader="none"/>
              </w:tabs>
              <w:jc w:val="center"/>
              <w:rPr>
                <w:b/>
                <w:bCs/>
              </w:rPr>
            </w:pPr>
            <w:r>
              <w:rPr>
                <w:b/>
                <w:bCs/>
              </w:rPr>
              <w:t>Name</w:t>
            </w:r>
          </w:p>
        </w:tc>
        <w:tc>
          <w:tcPr>
            <w:tcW w:w="354" w:type="dxa"/>
            <w:tcBorders>
              <w:top w:val="single" w:sz="4" w:space="0" w:color="000000"/>
            </w:tcBorders>
            <w:vAlign w:val="bottom"/>
          </w:tcPr>
          <w:p>
            <w:pPr>
              <w:pStyle w:val="Normal"/>
              <w:keepNext w:val="true"/>
              <w:tabs>
                <w:tab w:val="clear" w:pos="720"/>
                <w:tab w:val="left" w:pos="360" w:leader="none"/>
              </w:tabs>
              <w:snapToGrid w:val="false"/>
              <w:jc w:val="center"/>
              <w:rPr>
                <w:b/>
                <w:bCs/>
              </w:rPr>
            </w:pPr>
            <w:r>
              <w:rPr>
                <w:b/>
                <w:bCs/>
              </w:rPr>
            </w:r>
          </w:p>
        </w:tc>
        <w:tc>
          <w:tcPr>
            <w:tcW w:w="2924" w:type="dxa"/>
            <w:tcBorders>
              <w:top w:val="single" w:sz="4" w:space="0" w:color="000000"/>
            </w:tcBorders>
            <w:vAlign w:val="bottom"/>
          </w:tcPr>
          <w:p>
            <w:pPr>
              <w:pStyle w:val="Normal"/>
              <w:keepNext w:val="true"/>
              <w:tabs>
                <w:tab w:val="clear" w:pos="720"/>
                <w:tab w:val="left" w:pos="360" w:leader="none"/>
              </w:tabs>
              <w:jc w:val="center"/>
              <w:rPr>
                <w:b/>
                <w:bCs/>
              </w:rPr>
            </w:pPr>
            <w:r>
              <w:rPr>
                <w:b/>
                <w:bCs/>
              </w:rPr>
              <w:t>Signature</w:t>
            </w:r>
          </w:p>
        </w:tc>
        <w:tc>
          <w:tcPr>
            <w:tcW w:w="293" w:type="dxa"/>
            <w:tcBorders>
              <w:top w:val="single" w:sz="4" w:space="0" w:color="000000"/>
            </w:tcBorders>
            <w:vAlign w:val="bottom"/>
          </w:tcPr>
          <w:p>
            <w:pPr>
              <w:pStyle w:val="Normal"/>
              <w:keepNext w:val="true"/>
              <w:tabs>
                <w:tab w:val="clear" w:pos="720"/>
                <w:tab w:val="left" w:pos="360" w:leader="none"/>
              </w:tabs>
              <w:snapToGrid w:val="false"/>
              <w:jc w:val="center"/>
              <w:rPr>
                <w:b/>
                <w:bCs/>
              </w:rPr>
            </w:pPr>
            <w:r>
              <w:rPr>
                <w:b/>
                <w:bCs/>
              </w:rPr>
            </w:r>
          </w:p>
        </w:tc>
        <w:tc>
          <w:tcPr>
            <w:tcW w:w="1057" w:type="dxa"/>
            <w:tcBorders>
              <w:top w:val="single" w:sz="4" w:space="0" w:color="000000"/>
            </w:tcBorders>
            <w:vAlign w:val="bottom"/>
          </w:tcPr>
          <w:p>
            <w:pPr>
              <w:pStyle w:val="Normal"/>
              <w:keepNext w:val="true"/>
              <w:tabs>
                <w:tab w:val="clear" w:pos="720"/>
                <w:tab w:val="left" w:pos="360" w:leader="none"/>
              </w:tabs>
              <w:jc w:val="center"/>
              <w:rPr>
                <w:b/>
                <w:bCs/>
              </w:rPr>
            </w:pPr>
            <w:r>
              <w:rPr>
                <w:b/>
                <w:bCs/>
              </w:rPr>
              <w:t>Date</w:t>
            </w:r>
          </w:p>
        </w:tc>
      </w:tr>
      <w:tr>
        <w:trPr>
          <w:trHeight w:val="360" w:hRule="atLeast"/>
        </w:trPr>
        <w:tc>
          <w:tcPr>
            <w:tcW w:w="2448" w:type="dxa"/>
            <w:tcBorders/>
          </w:tcPr>
          <w:p>
            <w:pPr>
              <w:pStyle w:val="Normal"/>
              <w:tabs>
                <w:tab w:val="clear" w:pos="720"/>
                <w:tab w:val="left" w:pos="360" w:leader="none"/>
              </w:tabs>
              <w:spacing w:before="120" w:after="0"/>
              <w:rPr/>
            </w:pPr>
            <w:r>
              <w:rPr/>
              <w:t>West Origination</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David Parquet</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297" w:hRule="atLeast"/>
        </w:trPr>
        <w:tc>
          <w:tcPr>
            <w:tcW w:w="2448" w:type="dxa"/>
            <w:tcBorders/>
          </w:tcPr>
          <w:p>
            <w:pPr>
              <w:pStyle w:val="Normal"/>
              <w:tabs>
                <w:tab w:val="clear" w:pos="720"/>
                <w:tab w:val="left" w:pos="360" w:leader="none"/>
              </w:tabs>
              <w:spacing w:before="120" w:after="0"/>
              <w:rPr/>
            </w:pPr>
            <w:r>
              <w:rPr/>
              <w:t>West Management</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Chris Calger</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Legal</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 xml:space="preserve">Mark Haedicke </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Accounting</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Wes Colwell</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Tech Services</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Brian Redmond</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Executive</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John Lavorato/Louise Kitchen</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EWS OOC</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Mark Frevert/Greg Whalley</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RAC Management</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Rick Buy / Dave Gorte</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93" w:hRule="atLeast"/>
        </w:trPr>
        <w:tc>
          <w:tcPr>
            <w:tcW w:w="2448" w:type="dxa"/>
            <w:tcBorders/>
          </w:tcPr>
          <w:p>
            <w:pPr>
              <w:pStyle w:val="Normal"/>
              <w:tabs>
                <w:tab w:val="clear" w:pos="720"/>
                <w:tab w:val="left" w:pos="360" w:leader="none"/>
              </w:tabs>
              <w:spacing w:before="120" w:after="0"/>
              <w:rPr/>
            </w:pPr>
            <w:r>
              <w:rPr/>
              <w:t>ENE Global Finance</w:t>
            </w:r>
          </w:p>
        </w:tc>
        <w:tc>
          <w:tcPr>
            <w:tcW w:w="360" w:type="dxa"/>
            <w:tcBorders/>
          </w:tcPr>
          <w:p>
            <w:pPr>
              <w:pStyle w:val="Normal"/>
              <w:tabs>
                <w:tab w:val="clear" w:pos="720"/>
                <w:tab w:val="left" w:pos="360" w:leader="none"/>
              </w:tabs>
              <w:snapToGrid w:val="false"/>
              <w:spacing w:before="120" w:after="0"/>
              <w:rPr/>
            </w:pPr>
            <w:r>
              <w:rPr/>
            </w:r>
          </w:p>
        </w:tc>
        <w:tc>
          <w:tcPr>
            <w:tcW w:w="2932" w:type="dxa"/>
            <w:tcBorders>
              <w:top w:val="single" w:sz="4" w:space="0" w:color="000000"/>
              <w:bottom w:val="single" w:sz="4" w:space="0" w:color="000000"/>
            </w:tcBorders>
          </w:tcPr>
          <w:p>
            <w:pPr>
              <w:pStyle w:val="Header"/>
              <w:widowControl/>
              <w:tabs>
                <w:tab w:val="clear" w:pos="4320"/>
                <w:tab w:val="clear" w:pos="8640"/>
                <w:tab w:val="left" w:pos="360" w:leader="none"/>
              </w:tabs>
              <w:spacing w:before="120" w:after="0"/>
              <w:rPr/>
            </w:pPr>
            <w:r>
              <w:rPr/>
              <w:t>Andy Fastow / Ben Glisan</w:t>
            </w:r>
          </w:p>
        </w:tc>
        <w:tc>
          <w:tcPr>
            <w:tcW w:w="354" w:type="dxa"/>
            <w:tcBorders/>
          </w:tcPr>
          <w:p>
            <w:pPr>
              <w:pStyle w:val="Normal"/>
              <w:tabs>
                <w:tab w:val="clear" w:pos="720"/>
                <w:tab w:val="left" w:pos="360" w:leader="none"/>
              </w:tabs>
              <w:snapToGrid w:val="false"/>
              <w:spacing w:before="120" w:after="0"/>
              <w:rPr/>
            </w:pPr>
            <w:r>
              <w:rPr/>
            </w:r>
          </w:p>
        </w:tc>
        <w:tc>
          <w:tcPr>
            <w:tcW w:w="2924" w:type="dxa"/>
            <w:tcBorders>
              <w:top w:val="single" w:sz="4" w:space="0" w:color="000000"/>
              <w:bottom w:val="single" w:sz="4"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top w:val="single" w:sz="6" w:space="0" w:color="000000"/>
              <w:bottom w:val="single" w:sz="4" w:space="0" w:color="000000"/>
            </w:tcBorders>
          </w:tcPr>
          <w:p>
            <w:pPr>
              <w:pStyle w:val="Normal"/>
              <w:tabs>
                <w:tab w:val="clear" w:pos="720"/>
                <w:tab w:val="left" w:pos="360" w:leader="none"/>
              </w:tabs>
              <w:snapToGrid w:val="false"/>
              <w:spacing w:before="120" w:after="0"/>
              <w:rPr/>
            </w:pPr>
            <w:r>
              <w:rPr/>
            </w:r>
          </w:p>
        </w:tc>
      </w:tr>
      <w:tr>
        <w:trPr>
          <w:trHeight w:val="93" w:hRule="atLeast"/>
        </w:trPr>
        <w:tc>
          <w:tcPr>
            <w:tcW w:w="2448" w:type="dxa"/>
            <w:tcBorders/>
          </w:tcPr>
          <w:p>
            <w:pPr>
              <w:pStyle w:val="Normal"/>
              <w:tabs>
                <w:tab w:val="clear" w:pos="720"/>
                <w:tab w:val="left" w:pos="360" w:leader="none"/>
              </w:tabs>
              <w:spacing w:before="120" w:after="0"/>
              <w:rPr/>
            </w:pPr>
            <w:r>
              <w:rPr/>
              <w:t>ENE OOC</w:t>
            </w:r>
          </w:p>
        </w:tc>
        <w:tc>
          <w:tcPr>
            <w:tcW w:w="360" w:type="dxa"/>
            <w:tcBorders/>
          </w:tcPr>
          <w:p>
            <w:pPr>
              <w:pStyle w:val="Normal"/>
              <w:tabs>
                <w:tab w:val="clear" w:pos="720"/>
                <w:tab w:val="left" w:pos="360" w:leader="none"/>
              </w:tabs>
              <w:snapToGrid w:val="false"/>
              <w:spacing w:before="120" w:after="0"/>
              <w:rPr/>
            </w:pPr>
            <w:r>
              <w:rPr/>
            </w:r>
          </w:p>
        </w:tc>
        <w:tc>
          <w:tcPr>
            <w:tcW w:w="2932" w:type="dxa"/>
            <w:tcBorders>
              <w:top w:val="single" w:sz="4" w:space="0" w:color="000000"/>
              <w:bottom w:val="single" w:sz="4" w:space="0" w:color="000000"/>
            </w:tcBorders>
          </w:tcPr>
          <w:p>
            <w:pPr>
              <w:pStyle w:val="Header"/>
              <w:widowControl/>
              <w:tabs>
                <w:tab w:val="clear" w:pos="4320"/>
                <w:tab w:val="clear" w:pos="8640"/>
                <w:tab w:val="left" w:pos="360" w:leader="none"/>
              </w:tabs>
              <w:spacing w:before="120" w:after="0"/>
              <w:rPr/>
            </w:pPr>
            <w:r>
              <w:rPr/>
              <w:t>Jeff Skilling</w:t>
            </w:r>
          </w:p>
        </w:tc>
        <w:tc>
          <w:tcPr>
            <w:tcW w:w="354" w:type="dxa"/>
            <w:tcBorders/>
          </w:tcPr>
          <w:p>
            <w:pPr>
              <w:pStyle w:val="Normal"/>
              <w:tabs>
                <w:tab w:val="clear" w:pos="720"/>
                <w:tab w:val="left" w:pos="360" w:leader="none"/>
              </w:tabs>
              <w:snapToGrid w:val="false"/>
              <w:spacing w:before="120" w:after="0"/>
              <w:rPr/>
            </w:pPr>
            <w:r>
              <w:rPr/>
            </w:r>
          </w:p>
        </w:tc>
        <w:tc>
          <w:tcPr>
            <w:tcW w:w="2924" w:type="dxa"/>
            <w:tcBorders>
              <w:top w:val="single" w:sz="4" w:space="0" w:color="000000"/>
              <w:bottom w:val="single" w:sz="4"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top w:val="single" w:sz="6" w:space="0" w:color="000000"/>
              <w:bottom w:val="single" w:sz="4" w:space="0" w:color="000000"/>
            </w:tcBorders>
          </w:tcPr>
          <w:p>
            <w:pPr>
              <w:pStyle w:val="Normal"/>
              <w:tabs>
                <w:tab w:val="clear" w:pos="720"/>
                <w:tab w:val="left" w:pos="360" w:leader="none"/>
              </w:tabs>
              <w:snapToGrid w:val="false"/>
              <w:spacing w:before="120" w:after="0"/>
              <w:rPr/>
            </w:pPr>
            <w:r>
              <w:rPr/>
            </w:r>
          </w:p>
        </w:tc>
      </w:tr>
    </w:tbl>
    <w:p>
      <w:pPr>
        <w:pStyle w:val="Normal"/>
        <w:numPr>
          <w:ilvl w:val="0"/>
          <w:numId w:val="0"/>
        </w:numPr>
        <w:tabs>
          <w:tab w:val="clear" w:pos="720"/>
          <w:tab w:val="left" w:pos="360" w:leader="none"/>
        </w:tabs>
        <w:outlineLvl w:val="0"/>
        <w:rPr>
          <w:b/>
          <w:bCs/>
          <w:sz w:val="28"/>
          <w:szCs w:val="28"/>
          <w:u w:val="single"/>
        </w:rPr>
      </w:pPr>
      <w:r>
        <w:rPr>
          <w:b/>
          <w:bCs/>
          <w:sz w:val="28"/>
          <w:szCs w:val="28"/>
          <w:u w:val="single"/>
        </w:rPr>
      </w:r>
    </w:p>
    <w:p>
      <w:pPr>
        <w:pStyle w:val="Normal"/>
        <w:jc w:val="both"/>
        <w:rPr>
          <w:b/>
          <w:bCs/>
          <w:sz w:val="28"/>
          <w:szCs w:val="28"/>
          <w:u w:val="single"/>
        </w:rPr>
      </w:pPr>
      <w:r>
        <w:rPr>
          <w:b/>
          <w:bCs/>
          <w:sz w:val="28"/>
          <w:szCs w:val="28"/>
          <w:u w:val="single"/>
        </w:rPr>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ab/>
    </w:r>
    <w:r>
      <w:rPr>
        <w:rFonts w:cs="Arial" w:ascii="Arial" w:hAnsi="Arial"/>
        <w:sz w:val="16"/>
        <w:szCs w:val="16"/>
      </w:rPr>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5</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rFonts w:cs="Arial"/>
        <w:bCs/>
        <w:sz w:val="16"/>
      </w:rPr>
    </w:pPr>
    <w:r>
      <w:rPr>
        <w:rFonts w:cs="Arial"/>
        <w:bCs/>
        <w:sz w:val="16"/>
      </w:rPr>
      <w:t>RAC Deal Approval Sheet</w:t>
      <w:tab/>
      <w:t xml:space="preserve">                                                                                                                                                                  Pastoria 4  - Development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widowControl w:val="false"/>
      <w:numPr>
        <w:ilvl w:val="1"/>
        <w:numId w:val="1"/>
      </w:numPr>
      <w:outlineLvl w:val="1"/>
    </w:pPr>
    <w:rPr>
      <w:b/>
      <w:bCs/>
      <w:i/>
      <w:iCs/>
    </w:rPr>
  </w:style>
  <w:style w:type="paragraph" w:styleId="Heading3">
    <w:name w:val="heading 3"/>
    <w:basedOn w:val="Normal"/>
    <w:next w:val="Normal"/>
    <w:qFormat/>
    <w:pPr>
      <w:keepNext w:val="true"/>
      <w:widowControl w:val="false"/>
      <w:numPr>
        <w:ilvl w:val="2"/>
        <w:numId w:val="1"/>
      </w:numPr>
      <w:ind w:hanging="0" w:start="0" w:end="-1196"/>
      <w:outlineLvl w:val="2"/>
    </w:pPr>
    <w:rPr>
      <w:b/>
      <w:bCs/>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bCs/>
    </w:rPr>
  </w:style>
  <w:style w:type="paragraph" w:styleId="Heading5">
    <w:name w:val="heading 5"/>
    <w:basedOn w:val="Normal"/>
    <w:next w:val="Normal"/>
    <w:qFormat/>
    <w:pPr>
      <w:keepNext w:val="true"/>
      <w:numPr>
        <w:ilvl w:val="4"/>
        <w:numId w:val="1"/>
      </w:numPr>
      <w:jc w:val="end"/>
      <w:outlineLvl w:val="4"/>
    </w:pPr>
    <w:rPr>
      <w:b/>
      <w:bCs/>
    </w:rPr>
  </w:style>
  <w:style w:type="paragraph" w:styleId="Heading6">
    <w:name w:val="heading 6"/>
    <w:basedOn w:val="Normal"/>
    <w:next w:val="Normal"/>
    <w:qFormat/>
    <w:pPr>
      <w:keepNext w:val="true"/>
      <w:numPr>
        <w:ilvl w:val="5"/>
        <w:numId w:val="1"/>
      </w:numPr>
      <w:tabs>
        <w:tab w:val="clear" w:pos="720"/>
        <w:tab w:val="left" w:pos="360" w:leader="none"/>
      </w:tabs>
      <w:jc w:val="center"/>
      <w:outlineLvl w:val="5"/>
    </w:pPr>
    <w:rPr>
      <w:rFonts w:ascii="Arial" w:hAnsi="Arial" w:cs="Arial"/>
      <w:b/>
      <w:bCs/>
      <w:sz w:val="32"/>
      <w:szCs w:val="32"/>
    </w:rPr>
  </w:style>
  <w:style w:type="paragraph" w:styleId="Heading7">
    <w:name w:val="heading 7"/>
    <w:basedOn w:val="Normal"/>
    <w:next w:val="Normal"/>
    <w:qFormat/>
    <w:pPr>
      <w:keepNext w:val="true"/>
      <w:widowControl w:val="false"/>
      <w:numPr>
        <w:ilvl w:val="6"/>
        <w:numId w:val="1"/>
      </w:numPr>
      <w:outlineLvl w:val="6"/>
    </w:pPr>
    <w:rPr>
      <w:b/>
      <w:bCs/>
      <w:i/>
      <w:iCs/>
    </w:rPr>
  </w:style>
  <w:style w:type="paragraph" w:styleId="Heading8">
    <w:name w:val="heading 8"/>
    <w:basedOn w:val="Normal"/>
    <w:next w:val="Normal"/>
    <w:qFormat/>
    <w:pPr>
      <w:keepNext w:val="true"/>
      <w:numPr>
        <w:ilvl w:val="7"/>
        <w:numId w:val="1"/>
      </w:numPr>
      <w:jc w:val="both"/>
      <w:outlineLvl w:val="7"/>
    </w:pPr>
    <w:rPr>
      <w:rFonts w:ascii="Arial" w:hAnsi="Arial" w:cs="Arial"/>
      <w:b/>
      <w:bCs/>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bCs/>
    </w:rPr>
  </w:style>
  <w:style w:type="character" w:styleId="WW8Num1z0">
    <w:name w:val="WW8Num1z0"/>
    <w:qFormat/>
    <w:rPr>
      <w:rFonts w:ascii="Symbol" w:hAnsi="Symbol" w:cs="Times New Roman"/>
    </w:rPr>
  </w:style>
  <w:style w:type="character" w:styleId="WW8Num2z0">
    <w:name w:val="WW8Num2z0"/>
    <w:qFormat/>
    <w:rPr>
      <w:rFonts w:ascii="Symbol" w:hAnsi="Symbol"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Times New Roman"/>
    </w:rPr>
  </w:style>
  <w:style w:type="character" w:styleId="WW8Num3z3">
    <w:name w:val="WW8Num3z3"/>
    <w:qFormat/>
    <w:rPr>
      <w:rFonts w:ascii="Symbol" w:hAnsi="Symbol" w:cs="Times New Roman"/>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Times New Roman"/>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Times New Roman"/>
    </w:rPr>
  </w:style>
  <w:style w:type="character" w:styleId="WW8Num8z3">
    <w:name w:val="WW8Num8z3"/>
    <w:qFormat/>
    <w:rPr>
      <w:rFonts w:ascii="Symbol" w:hAnsi="Symbol" w:cs="Times New Roman"/>
    </w:rPr>
  </w:style>
  <w:style w:type="character" w:styleId="WW8Num9z0">
    <w:name w:val="WW8Num9z0"/>
    <w:qFormat/>
    <w:rPr>
      <w:b w:val="false"/>
      <w:i w:val="false"/>
    </w:rPr>
  </w:style>
  <w:style w:type="character" w:styleId="WW8Num10z0">
    <w:name w:val="WW8Num10z0"/>
    <w:qFormat/>
    <w:rPr>
      <w:rFonts w:ascii="Symbol" w:hAnsi="Symbol" w:cs="Times New Roman"/>
    </w:rPr>
  </w:style>
  <w:style w:type="character" w:styleId="WW8Num11z0">
    <w:name w:val="WW8Num11z0"/>
    <w:qFormat/>
    <w:rPr>
      <w:rFonts w:ascii="Symbol" w:hAnsi="Symbol" w:cs="Times New Roman"/>
    </w:rPr>
  </w:style>
  <w:style w:type="character" w:styleId="WW8Num12z0">
    <w:name w:val="WW8Num12z0"/>
    <w:qFormat/>
    <w:rPr>
      <w:rFonts w:ascii="Symbol" w:hAnsi="Symbol" w:cs="Times New Roman"/>
    </w:rPr>
  </w:style>
  <w:style w:type="character" w:styleId="WW8Num13z0">
    <w:name w:val="WW8Num13z0"/>
    <w:qFormat/>
    <w:rPr>
      <w:b w:val="false"/>
      <w:i w:val="false"/>
    </w:rPr>
  </w:style>
  <w:style w:type="character" w:styleId="WW8Num14z0">
    <w:name w:val="WW8Num14z0"/>
    <w:qFormat/>
    <w:rPr>
      <w:rFonts w:ascii="Symbol" w:hAnsi="Symbol" w:cs="Times New Roman"/>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Times New Roman"/>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Times New Roman"/>
    </w:rPr>
  </w:style>
  <w:style w:type="character" w:styleId="WW8Num19z3">
    <w:name w:val="WW8Num19z3"/>
    <w:qFormat/>
    <w:rPr>
      <w:rFonts w:ascii="Symbol" w:hAnsi="Symbol" w:cs="Times New Roman"/>
    </w:rPr>
  </w:style>
  <w:style w:type="character" w:styleId="WW8Num20z0">
    <w:name w:val="WW8Num20z0"/>
    <w:qFormat/>
    <w:rPr>
      <w:rFonts w:ascii="Symbol" w:hAnsi="Symbol"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Times New Roman"/>
    </w:rPr>
  </w:style>
  <w:style w:type="character" w:styleId="WW8Num21z0">
    <w:name w:val="WW8Num21z0"/>
    <w:qFormat/>
    <w:rPr>
      <w:rFonts w:ascii="Symbol" w:hAnsi="Symbol" w:cs="Times New Roman"/>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Wingdings" w:hAnsi="Wingdings" w:cs="Times New Roman"/>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Times New Roman"/>
    </w:rPr>
  </w:style>
  <w:style w:type="character" w:styleId="WW8Num32z0">
    <w:name w:val="WW8Num32z0"/>
    <w:qFormat/>
    <w:rPr>
      <w:rFonts w:ascii="Symbol" w:hAnsi="Symbol"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Times New Roman"/>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Times New Roman"/>
    </w:rPr>
  </w:style>
  <w:style w:type="character" w:styleId="WW8Num34z3">
    <w:name w:val="WW8Num34z3"/>
    <w:qFormat/>
    <w:rPr>
      <w:rFonts w:ascii="Symbol" w:hAnsi="Symbol" w:cs="Times New Roman"/>
    </w:rPr>
  </w:style>
  <w:style w:type="character" w:styleId="WW8Num36z0">
    <w:name w:val="WW8Num36z0"/>
    <w:qFormat/>
    <w:rPr>
      <w:rFonts w:ascii="Symbol" w:hAnsi="Symbol" w:cs="Times New Roman"/>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Times New Roman"/>
    </w:rPr>
  </w:style>
  <w:style w:type="character" w:styleId="WW8Num41z3">
    <w:name w:val="WW8Num41z3"/>
    <w:qFormat/>
    <w:rPr>
      <w:rFonts w:ascii="Symbol" w:hAnsi="Symbol" w:cs="Times New Roman"/>
    </w:rPr>
  </w:style>
  <w:style w:type="character" w:styleId="WW8Num42z0">
    <w:name w:val="WW8Num42z0"/>
    <w:qFormat/>
    <w:rPr>
      <w:rFonts w:ascii="Symbol" w:hAnsi="Symbol" w:cs="Times New Roman"/>
    </w:rPr>
  </w:style>
  <w:style w:type="character" w:styleId="WW8Num42z1">
    <w:name w:val="WW8Num42z1"/>
    <w:qFormat/>
    <w:rPr>
      <w:rFonts w:ascii="Courier New" w:hAnsi="Courier New" w:cs="Courier New"/>
    </w:rPr>
  </w:style>
  <w:style w:type="character" w:styleId="WW8Num42z2">
    <w:name w:val="WW8Num42z2"/>
    <w:qFormat/>
    <w:rPr>
      <w:rFonts w:ascii="Wingdings" w:hAnsi="Wingdings" w:cs="Times New Roman"/>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2">
    <w:name w:val="WW8Num44z2"/>
    <w:qFormat/>
    <w:rPr>
      <w:rFonts w:ascii="Wingdings" w:hAnsi="Wingdings" w:cs="Times New Roman"/>
    </w:rPr>
  </w:style>
  <w:style w:type="character" w:styleId="WW8Num44z3">
    <w:name w:val="WW8Num44z3"/>
    <w:qFormat/>
    <w:rPr>
      <w:rFonts w:ascii="Symbol" w:hAnsi="Symbol" w:cs="Times New Roman"/>
    </w:rPr>
  </w:style>
  <w:style w:type="character" w:styleId="WW8Num45z0">
    <w:name w:val="WW8Num45z0"/>
    <w:qFormat/>
    <w:rPr>
      <w:rFonts w:ascii="Symbol" w:hAnsi="Symbol"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Times New Roman"/>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Times New Roman"/>
    </w:rPr>
  </w:style>
  <w:style w:type="character" w:styleId="WW8Num47z1">
    <w:name w:val="WW8Num47z1"/>
    <w:qFormat/>
    <w:rPr>
      <w:rFonts w:ascii="Courier New" w:hAnsi="Courier New" w:cs="Courier New"/>
    </w:rPr>
  </w:style>
  <w:style w:type="character" w:styleId="WW8Num47z2">
    <w:name w:val="WW8Num47z2"/>
    <w:qFormat/>
    <w:rPr>
      <w:rFonts w:ascii="Wingdings" w:hAnsi="Wingdings" w:cs="Times New Roma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tabs>
        <w:tab w:val="clear" w:pos="720"/>
        <w:tab w:val="left" w:pos="360" w:leader="none"/>
      </w:tabs>
      <w:jc w:val="center"/>
      <w:outlineLvl w:val="0"/>
    </w:pPr>
    <w:rPr>
      <w:rFonts w:ascii="Arial" w:hAnsi="Arial" w:cs="Arial"/>
      <w:b/>
      <w:bCs/>
      <w:sz w:val="32"/>
      <w:szCs w:val="3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BodyText3">
    <w:name w:val="Body Text 3"/>
    <w:basedOn w:val="Normal"/>
    <w:qFormat/>
    <w:pPr>
      <w:widowControl w:val="false"/>
    </w:pPr>
    <w:rPr>
      <w:color w:val="FF0000"/>
    </w:rPr>
  </w:style>
  <w:style w:type="paragraph" w:styleId="Footer">
    <w:name w:val="footer"/>
    <w:basedOn w:val="Normal"/>
    <w:pPr>
      <w:widowControl w:val="false"/>
      <w:tabs>
        <w:tab w:val="clear" w:pos="720"/>
        <w:tab w:val="center" w:pos="4320" w:leader="none"/>
        <w:tab w:val="right" w:pos="8640" w:leader="none"/>
      </w:tabs>
    </w:pPr>
    <w:rPr/>
  </w:style>
  <w:style w:type="paragraph" w:styleId="BodyTextIndent">
    <w:name w:val="Body Text Indent"/>
    <w:basedOn w:val="Normal"/>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51"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2001-03-09T20:30:00Z</dcterms:created>
  <dc:creator>mruane</dc:creator>
  <dc:description/>
  <dc:language>en-CA</dc:language>
  <cp:lastModifiedBy>cschneid</cp:lastModifiedBy>
  <cp:lastPrinted>2001-03-09T16:47:00Z</cp:lastPrinted>
  <dcterms:modified xsi:type="dcterms:W3CDTF">2001-03-09T20:30:00Z</dcterms:modified>
  <cp:revision>2</cp:revision>
  <dc:subject/>
  <dc:title>ENRON RISK ASSESSMENT AND CONTROL</dc:title>
</cp:coreProperties>
</file>