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438" w:type="dxa"/>
        <w:jc w:val="start"/>
        <w:tblInd w:w="18" w:type="dxa"/>
        <w:tblLayout w:type="fixed"/>
        <w:tblCellMar>
          <w:top w:w="0" w:type="dxa"/>
          <w:start w:w="108" w:type="dxa"/>
          <w:bottom w:w="0" w:type="dxa"/>
          <w:end w:w="108" w:type="dxa"/>
        </w:tblCellMar>
      </w:tblPr>
      <w:tblGrid>
        <w:gridCol w:w="4626"/>
        <w:gridCol w:w="5812"/>
      </w:tblGrid>
      <w:tr>
        <w:trPr>
          <w:trHeight w:val="1656" w:hRule="atLeast"/>
        </w:trPr>
        <w:tc>
          <w:tcPr>
            <w:tcW w:w="4626" w:type="dxa"/>
            <w:tcBorders>
              <w:top w:val="single" w:sz="8" w:space="0" w:color="000000"/>
              <w:bottom w:val="single" w:sz="8" w:space="0" w:color="000000"/>
            </w:tcBorders>
          </w:tcPr>
          <w:p>
            <w:pPr>
              <w:pStyle w:val="Normal"/>
              <w:ind w:end="-108"/>
              <w:rPr>
                <w:b/>
              </w:rPr>
            </w:pPr>
            <w:r>
              <w:rPr>
                <w:b/>
              </w:rPr>
              <w:t>DEAL NAME:  OITA</w:t>
            </w:r>
          </w:p>
          <w:p>
            <w:pPr>
              <w:pStyle w:val="Normal"/>
              <w:ind w:end="-108"/>
              <w:rPr/>
            </w:pPr>
            <w:r>
              <w:rPr/>
              <w:t>Counterparty:  Showa Denko and Marubeni Ennex</w:t>
            </w:r>
          </w:p>
          <w:p>
            <w:pPr>
              <w:pStyle w:val="Normal"/>
              <w:ind w:end="-108"/>
              <w:rPr/>
            </w:pPr>
            <w:r>
              <w:rPr/>
              <w:t>Business Unit: EnCom / EPower Japan</w:t>
            </w:r>
          </w:p>
          <w:p>
            <w:pPr>
              <w:pStyle w:val="Normal"/>
              <w:ind w:end="-108"/>
              <w:rPr/>
            </w:pPr>
            <w:r>
              <w:rPr/>
              <w:t xml:space="preserve">Business Unit Originator:  </w:t>
            </w:r>
          </w:p>
          <w:p>
            <w:pPr>
              <w:pStyle w:val="Normal"/>
              <w:tabs>
                <w:tab w:val="clear" w:pos="720"/>
                <w:tab w:val="left" w:pos="1530" w:leader="none"/>
              </w:tabs>
              <w:ind w:end="-108"/>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10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ind w:end="-108"/>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5812" w:type="dxa"/>
            <w:tcBorders>
              <w:top w:val="single" w:sz="8" w:space="0" w:color="000000"/>
              <w:bottom w:val="single" w:sz="8" w:space="0" w:color="000000"/>
            </w:tcBorders>
          </w:tcPr>
          <w:p>
            <w:pPr>
              <w:pStyle w:val="Normal"/>
              <w:ind w:firstLine="90" w:start="-198" w:end="-106"/>
              <w:rPr/>
            </w:pPr>
            <w:r>
              <w:rPr/>
              <w:t>Date DASH Completed: 12 April 2001</w:t>
            </w:r>
          </w:p>
          <w:p>
            <w:pPr>
              <w:pStyle w:val="Normal"/>
              <w:ind w:firstLine="90" w:start="-198" w:end="-106"/>
              <w:rPr/>
            </w:pPr>
            <w:r>
              <w:rPr/>
              <w:t xml:space="preserve">RAC Analyst/Underwriter: Suryan Wirya Simunovic / Olivier Herbelot </w:t>
            </w:r>
          </w:p>
          <w:p>
            <w:pPr>
              <w:pStyle w:val="Normal"/>
              <w:ind w:firstLine="90" w:start="-198" w:end="-106"/>
              <w:rPr/>
            </w:pPr>
            <w:r>
              <w:rPr/>
              <w:t>Investment Type: Land Purchase Option</w:t>
            </w:r>
          </w:p>
          <w:p>
            <w:pPr>
              <w:pStyle w:val="Normal"/>
              <w:ind w:firstLine="90" w:start="-198" w:end="-106"/>
              <w:rPr/>
            </w:pPr>
            <w:r>
              <w:rPr/>
              <w:t>Capital Funding Source(s):  EnCom Balance Sheet</w:t>
            </w:r>
          </w:p>
          <w:p>
            <w:pPr>
              <w:pStyle w:val="Normal"/>
              <w:ind w:firstLine="90" w:start="-198" w:end="-106"/>
              <w:rPr/>
            </w:pPr>
            <w:r>
              <w:rPr/>
              <w:t>Expected Closing Date:  April 2001</w:t>
            </w:r>
          </w:p>
          <w:p>
            <w:pPr>
              <w:pStyle w:val="Normal"/>
              <w:ind w:firstLine="90" w:start="-198" w:end="-106"/>
              <w:rPr/>
            </w:pPr>
            <w:r>
              <w:rPr/>
              <w:t>Expected Funding Date:  November 2001 and May 2002</w:t>
            </w:r>
          </w:p>
          <w:p>
            <w:pPr>
              <w:pStyle w:val="Normal"/>
              <w:ind w:firstLine="90" w:start="-198" w:end="-106"/>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Normal"/>
        <w:rPr/>
      </w:pPr>
      <w:r>
        <w:rPr/>
        <w:t>RAC’s recommendation is subject to satisfactory fulfillment of the requirements below.</w:t>
      </w:r>
    </w:p>
    <w:p>
      <w:pPr>
        <w:pStyle w:val="Heading4"/>
        <w:pBdr>
          <w:top w:val="single" w:sz="8" w:space="1" w:color="000000"/>
        </w:pBdr>
        <w:tabs>
          <w:tab w:val="clear" w:pos="9990"/>
          <w:tab w:val="left" w:pos="10260" w:leader="none"/>
        </w:tabs>
        <w:rPr/>
      </w:pPr>
      <w:r>
        <w:rPr/>
        <w:t>APPROVAL AMOUNT REQUESTED</w:t>
      </w:r>
    </w:p>
    <w:p>
      <w:pPr>
        <w:pStyle w:val="Normal"/>
        <w:rPr/>
      </w:pPr>
      <w:r>
        <w:rPr/>
      </w:r>
    </w:p>
    <w:p>
      <w:pPr>
        <w:pStyle w:val="Normal"/>
        <w:ind w:hanging="1418" w:start="1418" w:end="0"/>
        <w:jc w:val="both"/>
        <w:rPr/>
      </w:pPr>
      <w:r>
        <w:rPr>
          <w:u w:val="single"/>
        </w:rPr>
        <w:t>Amount</w:t>
      </w:r>
      <w:r>
        <w:rPr/>
        <w:t>:</w:t>
        <w:tab/>
        <w:t>US$ 4m (Yen 495m)</w:t>
      </w:r>
    </w:p>
    <w:p>
      <w:pPr>
        <w:pStyle w:val="Normal"/>
        <w:ind w:hanging="1418" w:start="1418" w:end="0"/>
        <w:jc w:val="both"/>
        <w:rPr/>
      </w:pPr>
      <w:r>
        <w:rPr>
          <w:u w:val="single"/>
        </w:rPr>
        <w:t>Purpose</w:t>
      </w:r>
      <w:r>
        <w:rPr/>
        <w:t>:</w:t>
        <w:tab/>
        <w:t xml:space="preserve">To acquire two compound options which give EnCom the right to buy a possible IPP/LNG terminal site in Japan until August 2002.  </w:t>
      </w:r>
    </w:p>
    <w:p>
      <w:pPr>
        <w:pStyle w:val="Normal"/>
        <w:ind w:hanging="1418" w:start="1418" w:end="0"/>
        <w:jc w:val="both"/>
        <w:rPr/>
      </w:pPr>
      <w:r>
        <w:rPr>
          <w:u w:val="single"/>
        </w:rPr>
        <w:t>Requirements</w:t>
      </w:r>
      <w:r>
        <w:rPr/>
        <w:t>:</w:t>
        <w:tab/>
        <w:t>Payment of the first option premium (due in November 2001) will be subject to RAC receiving satisfactory evidence that (1) the environmental and port planning issues raised in the risk table will be resolved, (2) the agreed price remains in line with the local market, (3) the counterparty credit risk does not deteriorate, and (4) power produced by the proposed plant is expected to be competitive in the current and future Japanese market environment (see Risk Table).   RAC’s review of progress will also be required before payment of the second option premium.</w:t>
      </w:r>
    </w:p>
    <w:p>
      <w:pPr>
        <w:pStyle w:val="Normal"/>
        <w:jc w:val="both"/>
        <w:rPr/>
      </w:pPr>
      <w:r>
        <w:rPr/>
      </w:r>
    </w:p>
    <w:p>
      <w:pPr>
        <w:pStyle w:val="Heading1"/>
        <w:pBdr>
          <w:top w:val="single" w:sz="8" w:space="1" w:color="000000"/>
        </w:pBdr>
        <w:ind w:hanging="0" w:start="0" w:end="-36"/>
        <w:rPr/>
      </w:pPr>
      <w:r>
        <w:rPr/>
        <w:t>EXPOSURE SUMMARY</w:t>
      </w:r>
    </w:p>
    <w:p>
      <w:pPr>
        <w:pStyle w:val="Normal"/>
        <w:rPr/>
      </w:pPr>
      <w:r>
        <w:rPr/>
      </w:r>
    </w:p>
    <w:p>
      <w:pPr>
        <w:pStyle w:val="Normal"/>
        <w:rPr/>
      </w:pPr>
      <w:r>
        <w:rPr/>
        <w:t xml:space="preserve">Existing Exposure: </w:t>
        <w:tab/>
        <w:tab/>
        <w:t>$               0</w:t>
      </w:r>
    </w:p>
    <w:p>
      <w:pPr>
        <w:pStyle w:val="Normal"/>
        <w:rPr/>
      </w:pPr>
      <w:r>
        <w:rPr/>
        <w:t>This Transaction:</w:t>
        <w:tab/>
        <w:tab/>
        <w:tab/>
      </w:r>
      <w:r>
        <w:rPr>
          <w:u w:val="single"/>
        </w:rPr>
        <w:t>$ 4,000,000</w:t>
      </w:r>
      <w:r>
        <w:rPr/>
        <w:tab/>
        <w:t>(Acquisition of options 1 and 2)</w:t>
      </w:r>
    </w:p>
    <w:p>
      <w:pPr>
        <w:pStyle w:val="Normal"/>
        <w:rPr/>
      </w:pPr>
      <w:r>
        <w:rPr/>
        <w:t xml:space="preserve">Exposure After This Transaction: </w:t>
        <w:tab/>
        <w:t>$ 4,000,000</w:t>
      </w:r>
    </w:p>
    <w:p>
      <w:pPr>
        <w:pStyle w:val="Normal"/>
        <w:rPr/>
      </w:pPr>
      <w:r>
        <w:rPr/>
      </w:r>
    </w:p>
    <w:p>
      <w:pPr>
        <w:pStyle w:val="Normal"/>
        <w:rPr>
          <w:i/>
          <w:i/>
        </w:rPr>
      </w:pPr>
      <w:r>
        <w:rPr>
          <w:i/>
        </w:rPr>
        <w:t xml:space="preserve">Development costs for the period until November 2002 are estimated to be approximately $2.85 million.  This assumes both option premiums are paid and the option to purchase the land is kept until November 2002. </w:t>
      </w:r>
    </w:p>
    <w:p>
      <w:pPr>
        <w:pStyle w:val="Heading2"/>
        <w:widowControl/>
        <w:pBdr>
          <w:top w:val="single" w:sz="8" w:space="1" w:color="000000"/>
        </w:pBdr>
        <w:ind w:hanging="0" w:start="0" w:end="-36"/>
        <w:rPr>
          <w:i w:val="false"/>
          <w:i w:val="false"/>
        </w:rPr>
      </w:pPr>
      <w:r>
        <w:rPr>
          <w:i w:val="false"/>
        </w:rPr>
        <w:t>DEAL DESCRIPTION</w:t>
      </w:r>
    </w:p>
    <w:p>
      <w:pPr>
        <w:pStyle w:val="Normal"/>
        <w:rPr>
          <w:i/>
          <w:i/>
          <w:u w:val="single"/>
        </w:rPr>
      </w:pPr>
      <w:r>
        <w:rPr>
          <w:i/>
          <w:u w:val="single"/>
        </w:rPr>
      </w:r>
    </w:p>
    <w:p>
      <w:pPr>
        <w:pStyle w:val="Normal"/>
        <w:jc w:val="both"/>
        <w:rPr/>
      </w:pPr>
      <w:r>
        <w:rPr>
          <w:u w:val="single"/>
        </w:rPr>
        <w:t>Transaction</w:t>
      </w:r>
      <w:r>
        <w:rPr/>
        <w:t>:</w:t>
      </w:r>
    </w:p>
    <w:p>
      <w:pPr>
        <w:pStyle w:val="Normal"/>
        <w:jc w:val="both"/>
        <w:rPr/>
      </w:pPr>
      <w:r>
        <w:rPr/>
        <w:t xml:space="preserve">The proposal is for EnCom Japan to acquire options from owners Showa Denko and Marubeni Ennex for the purchase of 500,000 sqm of land to build a 2000 MW CCGT power plant and LNG terminal in Oita.  The two options for which purchase approval is sought are part of a group of seven compound 6-month options that give EnCom the right, but not the obligation, to purchase the land until May 2004 (see details in Annex 1).  The premium for the first option ($2m) is payable by 30 November 2001 with the option expiring on 1 May 2002.  The premium for the second option ($2m) is payable by 1 May 2002 with the option expiring on 31 October 2002.  All subsequent options also have $2m premium and 6 month maturity.  If EnCom fails to pay any premium by the due date, it will lose all subsequent options.  If EnCom decides to exercise its option and purchase the land at any time, all premia made until then will be deducted from the agreed land price of Yen 15 billion ($120.1m). </w:t>
      </w:r>
    </w:p>
    <w:p>
      <w:pPr>
        <w:pStyle w:val="Normal"/>
        <w:jc w:val="both"/>
        <w:rPr>
          <w:u w:val="single"/>
        </w:rPr>
      </w:pPr>
      <w:r>
        <w:rPr>
          <w:u w:val="single"/>
        </w:rPr>
      </w:r>
    </w:p>
    <w:p>
      <w:pPr>
        <w:pStyle w:val="Normal"/>
        <w:jc w:val="both"/>
        <w:rPr/>
      </w:pPr>
      <w:r>
        <w:rPr>
          <w:u w:val="single"/>
        </w:rPr>
        <w:t>Background</w:t>
      </w:r>
      <w:r>
        <w:rPr/>
        <w:t>:</w:t>
      </w:r>
    </w:p>
    <w:p>
      <w:pPr>
        <w:pStyle w:val="Normal"/>
        <w:jc w:val="both"/>
        <w:rPr/>
      </w:pPr>
      <w:r>
        <w:rPr/>
        <w:t>EnCom Corp. (Japan) was formed in July 1999 with the purpose of developing power stations and related energy assets in Japan.  The company has identified sites for four potential projects including the one in Oita Prefecture, located on the Island of Kyushu.  The site lies on reclaimed land and is well situated to accommodate a sea berth for an LNG receiving terminal, as the waterway is deep enough to receive 100,000 - 135,000 cubic meter LNG tankers.</w:t>
      </w:r>
    </w:p>
    <w:p>
      <w:pPr>
        <w:pStyle w:val="Normal"/>
        <w:keepNext w:val="true"/>
        <w:jc w:val="both"/>
        <w:rPr/>
      </w:pPr>
      <w:r>
        <w:rPr/>
        <w:t>Deregulation in Japan started in 1995 with the revision of the electric utility law which allowed wholesale IPP’s to enter the market.  In March 2000 Japan allowed non-utility companies (foreign and domestic) to begin supplying power to retail customers that have a demand greater than 2 MW and are connected to the extra high voltage grid. As a result around 8300 industrials and large commercial customers are now able to choose their supplier. Regulations, guidelines, and wheeling tariffs have been published for transmitting power on the high voltage network. EnCom in Japan is actively involved with the regulatory entities and other constituents in helping with the deregulation process.  Currently Japanese industry pays between 2 and 3 times more for electricity than their competitors in Europe and the USA.  In 2003 MITI (Japanese Ministry of Economy, Trade and Industry) will make an overall review of the deregulation process in the power industry.</w:t>
      </w:r>
    </w:p>
    <w:p>
      <w:pPr>
        <w:pStyle w:val="Normal"/>
        <w:jc w:val="both"/>
        <w:rPr/>
      </w:pPr>
      <w:r>
        <w:rPr/>
      </w:r>
    </w:p>
    <w:p>
      <w:pPr>
        <w:pStyle w:val="Heading2"/>
        <w:widowControl/>
        <w:pBdr>
          <w:top w:val="single" w:sz="8" w:space="1" w:color="000000"/>
        </w:pBdr>
        <w:ind w:hanging="0" w:start="0" w:end="-36"/>
        <w:rPr/>
      </w:pPr>
      <w:r>
        <w:rPr/>
        <w:t>TRANSACTION SOURCES AND USES OF FUNDS</w:t>
      </w:r>
    </w:p>
    <w:tbl>
      <w:tblPr>
        <w:tblW w:w="9369" w:type="dxa"/>
        <w:jc w:val="start"/>
        <w:tblInd w:w="378" w:type="dxa"/>
        <w:tblLayout w:type="fixed"/>
        <w:tblCellMar>
          <w:top w:w="0" w:type="dxa"/>
          <w:start w:w="108" w:type="dxa"/>
          <w:bottom w:w="0" w:type="dxa"/>
          <w:end w:w="108" w:type="dxa"/>
        </w:tblCellMar>
      </w:tblPr>
      <w:tblGrid>
        <w:gridCol w:w="2849"/>
        <w:gridCol w:w="1701"/>
        <w:gridCol w:w="580"/>
        <w:gridCol w:w="2790"/>
        <w:gridCol w:w="1449"/>
      </w:tblGrid>
      <w:tr>
        <w:trPr/>
        <w:tc>
          <w:tcPr>
            <w:tcW w:w="2849" w:type="dxa"/>
            <w:tcBorders/>
          </w:tcPr>
          <w:p>
            <w:pPr>
              <w:pStyle w:val="Normal"/>
              <w:snapToGrid w:val="false"/>
              <w:rPr/>
            </w:pPr>
            <w:r>
              <w:rPr/>
            </w:r>
          </w:p>
        </w:tc>
        <w:tc>
          <w:tcPr>
            <w:tcW w:w="1701" w:type="dxa"/>
            <w:tcBorders/>
          </w:tcPr>
          <w:p>
            <w:pPr>
              <w:pStyle w:val="Normal"/>
              <w:jc w:val="end"/>
              <w:rPr>
                <w:u w:val="single"/>
              </w:rPr>
            </w:pPr>
            <w:r>
              <w:rPr>
                <w:u w:val="single"/>
              </w:rPr>
              <w:t>Sources</w:t>
            </w:r>
            <w:r>
              <w:rPr/>
              <w:t xml:space="preserve"> ($ 000’s)</w:t>
            </w:r>
          </w:p>
        </w:tc>
        <w:tc>
          <w:tcPr>
            <w:tcW w:w="58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449" w:type="dxa"/>
            <w:tcBorders/>
          </w:tcPr>
          <w:p>
            <w:pPr>
              <w:pStyle w:val="Normal"/>
              <w:jc w:val="end"/>
              <w:rPr>
                <w:u w:val="single"/>
              </w:rPr>
            </w:pPr>
            <w:r>
              <w:rPr>
                <w:u w:val="single"/>
              </w:rPr>
              <w:t>Uses</w:t>
            </w:r>
            <w:r>
              <w:rPr/>
              <w:t xml:space="preserve"> ($ 000’s)</w:t>
            </w:r>
          </w:p>
        </w:tc>
      </w:tr>
      <w:tr>
        <w:trPr/>
        <w:tc>
          <w:tcPr>
            <w:tcW w:w="2849" w:type="dxa"/>
            <w:tcBorders/>
          </w:tcPr>
          <w:p>
            <w:pPr>
              <w:pStyle w:val="Normal"/>
              <w:rPr/>
            </w:pPr>
            <w:r>
              <w:rPr/>
              <w:t>EnCom Balance Sheet</w:t>
            </w:r>
          </w:p>
        </w:tc>
        <w:tc>
          <w:tcPr>
            <w:tcW w:w="1701" w:type="dxa"/>
            <w:tcBorders/>
          </w:tcPr>
          <w:p>
            <w:pPr>
              <w:pStyle w:val="Normal"/>
              <w:jc w:val="end"/>
              <w:rPr>
                <w:u w:val="single"/>
              </w:rPr>
            </w:pPr>
            <w:r>
              <w:rPr>
                <w:u w:val="single"/>
              </w:rPr>
              <w:t>4,000</w:t>
            </w:r>
          </w:p>
        </w:tc>
        <w:tc>
          <w:tcPr>
            <w:tcW w:w="580" w:type="dxa"/>
            <w:tcBorders/>
          </w:tcPr>
          <w:p>
            <w:pPr>
              <w:pStyle w:val="Normal"/>
              <w:snapToGrid w:val="false"/>
              <w:jc w:val="end"/>
              <w:rPr>
                <w:u w:val="single"/>
              </w:rPr>
            </w:pPr>
            <w:r>
              <w:rPr>
                <w:u w:val="single"/>
              </w:rPr>
            </w:r>
          </w:p>
        </w:tc>
        <w:tc>
          <w:tcPr>
            <w:tcW w:w="2790" w:type="dxa"/>
            <w:tcBorders/>
          </w:tcPr>
          <w:p>
            <w:pPr>
              <w:pStyle w:val="Header"/>
              <w:widowControl/>
              <w:tabs>
                <w:tab w:val="clear" w:pos="4320"/>
                <w:tab w:val="clear" w:pos="8640"/>
              </w:tabs>
              <w:rPr/>
            </w:pPr>
            <w:r>
              <w:rPr/>
              <w:t>Options Purchase</w:t>
            </w:r>
          </w:p>
        </w:tc>
        <w:tc>
          <w:tcPr>
            <w:tcW w:w="1449" w:type="dxa"/>
            <w:tcBorders/>
          </w:tcPr>
          <w:p>
            <w:pPr>
              <w:pStyle w:val="Normal"/>
              <w:jc w:val="end"/>
              <w:rPr>
                <w:u w:val="single"/>
              </w:rPr>
            </w:pPr>
            <w:r>
              <w:rPr>
                <w:u w:val="single"/>
              </w:rPr>
              <w:t>4,000</w:t>
            </w:r>
          </w:p>
        </w:tc>
      </w:tr>
      <w:tr>
        <w:trPr/>
        <w:tc>
          <w:tcPr>
            <w:tcW w:w="2849" w:type="dxa"/>
            <w:tcBorders/>
          </w:tcPr>
          <w:p>
            <w:pPr>
              <w:pStyle w:val="Normal"/>
              <w:jc w:val="end"/>
              <w:rPr/>
            </w:pPr>
            <w:r>
              <w:rPr/>
              <w:t>Total</w:t>
            </w:r>
          </w:p>
        </w:tc>
        <w:tc>
          <w:tcPr>
            <w:tcW w:w="1701" w:type="dxa"/>
            <w:tcBorders/>
          </w:tcPr>
          <w:p>
            <w:pPr>
              <w:pStyle w:val="Normal"/>
              <w:jc w:val="end"/>
              <w:rPr/>
            </w:pPr>
            <w:r>
              <w:rPr/>
              <w:t>4,000</w:t>
            </w:r>
          </w:p>
        </w:tc>
        <w:tc>
          <w:tcPr>
            <w:tcW w:w="580" w:type="dxa"/>
            <w:tcBorders/>
          </w:tcPr>
          <w:p>
            <w:pPr>
              <w:pStyle w:val="Normal"/>
              <w:snapToGrid w:val="false"/>
              <w:jc w:val="end"/>
              <w:rPr/>
            </w:pPr>
            <w:r>
              <w:rPr/>
            </w:r>
          </w:p>
        </w:tc>
        <w:tc>
          <w:tcPr>
            <w:tcW w:w="2790" w:type="dxa"/>
            <w:tcBorders/>
          </w:tcPr>
          <w:p>
            <w:pPr>
              <w:pStyle w:val="Header"/>
              <w:widowControl/>
              <w:tabs>
                <w:tab w:val="clear" w:pos="4320"/>
                <w:tab w:val="clear" w:pos="8640"/>
              </w:tabs>
              <w:jc w:val="end"/>
              <w:rPr/>
            </w:pPr>
            <w:r>
              <w:rPr/>
              <w:t>Total</w:t>
            </w:r>
          </w:p>
        </w:tc>
        <w:tc>
          <w:tcPr>
            <w:tcW w:w="1449" w:type="dxa"/>
            <w:tcBorders/>
          </w:tcPr>
          <w:p>
            <w:pPr>
              <w:pStyle w:val="Normal"/>
              <w:jc w:val="end"/>
              <w:rPr/>
            </w:pPr>
            <w:r>
              <w:rPr/>
              <w:t>4,000</w:t>
            </w:r>
          </w:p>
        </w:tc>
      </w:tr>
    </w:tbl>
    <w:p>
      <w:pPr>
        <w:pStyle w:val="Normal"/>
        <w:jc w:val="both"/>
        <w:rPr/>
      </w:pPr>
      <w:r>
        <w:rPr/>
        <w:tab/>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numPr>
          <w:ilvl w:val="0"/>
          <w:numId w:val="9"/>
        </w:numPr>
        <w:tabs>
          <w:tab w:val="clear" w:pos="720"/>
        </w:tabs>
        <w:ind w:hanging="270" w:start="270" w:end="-36"/>
        <w:jc w:val="both"/>
        <w:rPr/>
      </w:pPr>
      <w:r>
        <w:rPr/>
        <w:t xml:space="preserve">Significant uncertainty remains regarding the economic viability and timetable for building a gas fired power plant and LNG import terminal in Japan.  The option payment structure gives EnCom consecutive periods of exclusivity within which to complete the necessary studies, permitting, engineering / design and commercial activities with less exposure than buying the land outright.  </w:t>
      </w:r>
    </w:p>
    <w:p>
      <w:pPr>
        <w:pStyle w:val="Normal"/>
        <w:numPr>
          <w:ilvl w:val="0"/>
          <w:numId w:val="9"/>
        </w:numPr>
        <w:tabs>
          <w:tab w:val="clear" w:pos="720"/>
        </w:tabs>
        <w:ind w:hanging="270" w:start="270" w:end="-36"/>
        <w:jc w:val="both"/>
        <w:rPr/>
      </w:pPr>
      <w:r>
        <w:rPr/>
        <w:t>The proposed project also gives EnCom control of a possible IPP site at a time when the deregulatory process is likely to attract competitors trying to build power plants.</w:t>
      </w:r>
    </w:p>
    <w:p>
      <w:pPr>
        <w:pStyle w:val="Normal"/>
        <w:ind w:end="-36"/>
        <w:jc w:val="both"/>
        <w:rPr/>
      </w:pPr>
      <w:r>
        <w:rPr/>
        <w:t xml:space="preserve"> </w:t>
      </w:r>
    </w:p>
    <w:p>
      <w:pPr>
        <w:pStyle w:val="Normal"/>
        <w:pBdr>
          <w:top w:val="single" w:sz="8" w:space="1" w:color="000000"/>
        </w:pBdr>
        <w:ind w:end="-36"/>
        <w:rPr>
          <w:b/>
        </w:rPr>
      </w:pPr>
      <w:r>
        <w:rPr>
          <w:b/>
        </w:rPr>
        <w:t>EXIT STRATEGY</w:t>
      </w:r>
    </w:p>
    <w:p>
      <w:pPr>
        <w:pStyle w:val="Normal"/>
        <w:jc w:val="both"/>
        <w:rPr/>
      </w:pPr>
      <w:r>
        <w:rPr/>
        <w:t>EnCom is free to stop making premium payments at any time (including before 30 November 2001).</w:t>
      </w:r>
    </w:p>
    <w:p>
      <w:pPr>
        <w:pStyle w:val="Normal"/>
        <w:jc w:val="both"/>
        <w:rPr>
          <w:i/>
          <w:i/>
        </w:rPr>
      </w:pPr>
      <w:r>
        <w:rPr>
          <w:i/>
        </w:rPr>
      </w:r>
    </w:p>
    <w:p>
      <w:pPr>
        <w:pStyle w:val="Heading2"/>
        <w:widowControl/>
        <w:pBdr>
          <w:top w:val="single" w:sz="8" w:space="1" w:color="000000"/>
        </w:pBdr>
        <w:ind w:hanging="0" w:start="0" w:end="-36"/>
        <w:rPr>
          <w:i w:val="false"/>
          <w:i w:val="false"/>
        </w:rPr>
      </w:pPr>
      <w:r>
        <w:rPr>
          <w:i w:val="false"/>
        </w:rPr>
        <w:t>RISK MATRIX (Main 5 Risks Only)</w:t>
      </w:r>
    </w:p>
    <w:p>
      <w:pPr>
        <w:pStyle w:val="Normal"/>
        <w:rPr>
          <w:i/>
          <w:i/>
        </w:rPr>
      </w:pPr>
      <w:r>
        <w:rPr>
          <w:i/>
        </w:rPr>
      </w:r>
    </w:p>
    <w:tbl>
      <w:tblPr>
        <w:tblW w:w="9990" w:type="dxa"/>
        <w:jc w:val="start"/>
        <w:tblInd w:w="378" w:type="dxa"/>
        <w:tblLayout w:type="fixed"/>
        <w:tblCellMar>
          <w:top w:w="0" w:type="dxa"/>
          <w:start w:w="108" w:type="dxa"/>
          <w:bottom w:w="0" w:type="dxa"/>
          <w:end w:w="108" w:type="dxa"/>
        </w:tblCellMar>
      </w:tblPr>
      <w:tblGrid>
        <w:gridCol w:w="1715"/>
        <w:gridCol w:w="8275"/>
      </w:tblGrid>
      <w:tr>
        <w:trPr/>
        <w:tc>
          <w:tcPr>
            <w:tcW w:w="1715"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8275"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1715"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Environmental Assessment</w:t>
            </w:r>
          </w:p>
        </w:tc>
        <w:tc>
          <w:tcPr>
            <w:tcW w:w="8275" w:type="dxa"/>
            <w:tcBorders>
              <w:top w:val="single" w:sz="6" w:space="0" w:color="000000"/>
              <w:start w:val="single" w:sz="6" w:space="0" w:color="000000"/>
              <w:bottom w:val="single" w:sz="6" w:space="0" w:color="000000"/>
              <w:end w:val="single" w:sz="6" w:space="0" w:color="000000"/>
            </w:tcBorders>
          </w:tcPr>
          <w:p>
            <w:pPr>
              <w:pStyle w:val="Normal"/>
              <w:keepNext w:val="true"/>
              <w:jc w:val="both"/>
              <w:rPr/>
            </w:pPr>
            <w:r>
              <w:rPr/>
              <w:t xml:space="preserve">EnCom may not get environmental approval to build a power plant on the land.  Due to local regulations in Japan the environmental assessment and approval process takes approximately 3 years to complete.  To facilitate this process EnCom plans to employ an experienced consulting company to assist them in handling this task.  The main environmental issue is likely to be related to  a 100,000 sqm pond which is home to a rare type of dragonfly and would have to be relocated in order to build the plant.  Possible pond relocation costs will be for the sellers account.  If relocation is not allowed, Showa Denko and Marubeni Ennex will repay EnCom the land option premium paid up to that point.  The sellers also agreed to cover the costs of cleaning up any possible existing site contamination. </w:t>
            </w:r>
          </w:p>
        </w:tc>
      </w:tr>
      <w:tr>
        <w:trPr/>
        <w:tc>
          <w:tcPr>
            <w:tcW w:w="1715"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Land Price Risk</w:t>
            </w:r>
          </w:p>
        </w:tc>
        <w:tc>
          <w:tcPr>
            <w:tcW w:w="8275" w:type="dxa"/>
            <w:tcBorders>
              <w:top w:val="single" w:sz="6" w:space="0" w:color="000000"/>
              <w:start w:val="single" w:sz="6" w:space="0" w:color="000000"/>
              <w:bottom w:val="single" w:sz="6" w:space="0" w:color="000000"/>
              <w:end w:val="single" w:sz="6" w:space="0" w:color="000000"/>
            </w:tcBorders>
          </w:tcPr>
          <w:p>
            <w:pPr>
              <w:pStyle w:val="Normal"/>
              <w:keepNext w:val="true"/>
              <w:jc w:val="both"/>
              <w:rPr>
                <w:i/>
                <w:i/>
              </w:rPr>
            </w:pPr>
            <w:r>
              <w:rPr/>
              <w:t>It is difficult to assess whether the proposed land purchase price represents a fair market price, particularly given the current decline in Japanese real estate prices.</w:t>
            </w:r>
            <w:r>
              <w:rPr>
                <w:color w:val="000000"/>
                <w:lang w:val="en-AU"/>
              </w:rPr>
              <w:t xml:space="preserve">  The team has informed RAC that the City Prefecture is currently marketing similar reclaimed land for Yen 30,000 per sqm, consistent with the project’s proposed price, even though average non-reclaimed industrial land prices in the Oita region have declined from Yen 24,600 to Yen 23,700 per sqm between 1999 and 2000.  The origination team believes that the premium of 25% over such rates is justified because</w:t>
            </w:r>
            <w:r>
              <w:rPr>
                <w:color w:val="000000"/>
                <w:lang w:val="en-CA"/>
              </w:rPr>
              <w:t xml:space="preserve">: (1) </w:t>
            </w:r>
            <w:r>
              <w:rPr>
                <w:color w:val="000000"/>
                <w:lang w:val="en-AU"/>
              </w:rPr>
              <w:t xml:space="preserve">this land has direct access to the coast allowing for both more economic transport cost of gas via direct LNG discharge and lower plant operating costs due to cooling water access and (2) port planning permission for LPG and naphtha vessels have already been obtained which would make it easier for an LNG terminal permit to be obtained. </w:t>
            </w:r>
          </w:p>
        </w:tc>
      </w:tr>
      <w:tr>
        <w:trPr/>
        <w:tc>
          <w:tcPr>
            <w:tcW w:w="1715" w:type="dxa"/>
            <w:tcBorders>
              <w:top w:val="single" w:sz="6" w:space="0" w:color="000000"/>
              <w:start w:val="single" w:sz="6" w:space="0" w:color="000000"/>
              <w:bottom w:val="single" w:sz="6" w:space="0" w:color="000000"/>
              <w:end w:val="single" w:sz="6" w:space="0" w:color="000000"/>
            </w:tcBorders>
          </w:tcPr>
          <w:p>
            <w:pPr>
              <w:pStyle w:val="Header"/>
              <w:keepNext w:val="true"/>
              <w:widowControl/>
              <w:tabs>
                <w:tab w:val="clear" w:pos="4320"/>
                <w:tab w:val="clear" w:pos="8640"/>
              </w:tabs>
              <w:rPr>
                <w:b/>
              </w:rPr>
            </w:pPr>
            <w:r>
              <w:rPr>
                <w:b/>
              </w:rPr>
              <w:t>Power Market Risk</w:t>
            </w:r>
          </w:p>
        </w:tc>
        <w:tc>
          <w:tcPr>
            <w:tcW w:w="8275" w:type="dxa"/>
            <w:tcBorders>
              <w:top w:val="single" w:sz="6" w:space="0" w:color="000000"/>
              <w:start w:val="single" w:sz="6" w:space="0" w:color="000000"/>
              <w:bottom w:val="single" w:sz="6" w:space="0" w:color="000000"/>
              <w:end w:val="single" w:sz="6" w:space="0" w:color="000000"/>
            </w:tcBorders>
          </w:tcPr>
          <w:p>
            <w:pPr>
              <w:pStyle w:val="Normal"/>
              <w:keepNext w:val="true"/>
              <w:jc w:val="both"/>
              <w:rPr>
                <w:i/>
                <w:i/>
              </w:rPr>
            </w:pPr>
            <w:r>
              <w:rPr/>
              <w:t xml:space="preserve">The project’s economics will depend to a large extent on the outcome of the liberalization process and restructuring of the sector.  The origination team believes that EnCom can create value by building more economic plants using global market prices for main components instead of high domestic prices. RAC has required that the team present a more detailed analysis of the Japanese market and a financial model of the proposed project before the first payment on November, 2001.  </w:t>
            </w:r>
          </w:p>
        </w:tc>
      </w:tr>
      <w:tr>
        <w:trPr/>
        <w:tc>
          <w:tcPr>
            <w:tcW w:w="1715"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Credit Risk</w:t>
            </w:r>
          </w:p>
        </w:tc>
        <w:tc>
          <w:tcPr>
            <w:tcW w:w="8275" w:type="dxa"/>
            <w:tcBorders>
              <w:top w:val="single" w:sz="6" w:space="0" w:color="000000"/>
              <w:start w:val="single" w:sz="6" w:space="0" w:color="000000"/>
              <w:bottom w:val="single" w:sz="6" w:space="0" w:color="000000"/>
              <w:end w:val="single" w:sz="6" w:space="0" w:color="000000"/>
            </w:tcBorders>
          </w:tcPr>
          <w:p>
            <w:pPr>
              <w:pStyle w:val="Normal"/>
              <w:jc w:val="both"/>
              <w:rPr/>
            </w:pPr>
            <w:r>
              <w:rPr/>
              <w:t>EnCom is exposed to the credit performance risk of both Showa Denko (65% owner) and Marubeni (35% owner) through either (i) the repayment of the option premiums, should environmental evaluations fail, or (ii) the sale/delivery of the underlying property should evaluations pass.</w:t>
            </w:r>
          </w:p>
          <w:p>
            <w:pPr>
              <w:pStyle w:val="Normal"/>
              <w:jc w:val="both"/>
              <w:rPr/>
            </w:pPr>
            <w:r>
              <w:rPr>
                <w:i/>
              </w:rPr>
              <w:t>Showa Denko K.K.</w:t>
            </w:r>
            <w:r>
              <w:rPr/>
              <w:t xml:space="preserve"> is a regional chemical and petrochemical refiner and also a producer of electronic parts.  The firm is heavily debt financed with a significant proportion of short-term debt.  The company has a market equity capitalization of USD 2.6b and is rated “B” by S&amp;P. The firm’s instruments are thinly traded; however, Enron Credit Limited estimates a market CDS bid of 1,500bps for a three-year term.</w:t>
            </w:r>
          </w:p>
          <w:p>
            <w:pPr>
              <w:pStyle w:val="Normal"/>
              <w:jc w:val="both"/>
              <w:rPr/>
            </w:pPr>
            <w:r>
              <w:rPr>
                <w:i/>
              </w:rPr>
              <w:t>Marubeni Corporation</w:t>
            </w:r>
            <w:r>
              <w:rPr/>
              <w:t xml:space="preserve"> is a diversified trading and marketing company whose operations include power plant and industrial site development, telecommunications, commodity trading and minerals and mining. The firm is heavily debt financed and reports a significant proportion of short-term debt.  The company has a market equity capitalization of USD 2.9b and a short-term S&amp;P rating of A-3 (which is roughly equivalent to a long-term S&amp;P rating of BB).  Enron Credit Limited estimates a market CDS bid of 500 to 600 bps for a three-year term.</w:t>
            </w:r>
          </w:p>
          <w:p>
            <w:pPr>
              <w:pStyle w:val="Normal"/>
              <w:jc w:val="both"/>
              <w:rPr/>
            </w:pPr>
            <w:r>
              <w:rPr/>
              <w:t>The agreement contains no credit provisions such as material adverse change or cross-default to indebtedness which would allow early termination prior to insolvency.</w:t>
            </w:r>
          </w:p>
        </w:tc>
      </w:tr>
    </w:tbl>
    <w:p>
      <w:pPr>
        <w:pStyle w:val="Normal"/>
        <w:rPr/>
      </w:pPr>
      <w:r>
        <w:rPr/>
      </w:r>
    </w:p>
    <w:tbl>
      <w:tblPr>
        <w:tblW w:w="9990" w:type="dxa"/>
        <w:jc w:val="start"/>
        <w:tblInd w:w="378" w:type="dxa"/>
        <w:tblLayout w:type="fixed"/>
        <w:tblCellMar>
          <w:top w:w="0" w:type="dxa"/>
          <w:start w:w="108" w:type="dxa"/>
          <w:bottom w:w="0" w:type="dxa"/>
          <w:end w:w="108" w:type="dxa"/>
        </w:tblCellMar>
      </w:tblPr>
      <w:tblGrid>
        <w:gridCol w:w="1715"/>
        <w:gridCol w:w="8275"/>
      </w:tblGrid>
      <w:tr>
        <w:trPr/>
        <w:tc>
          <w:tcPr>
            <w:tcW w:w="1715"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Changing Port Plan</w:t>
            </w:r>
          </w:p>
        </w:tc>
        <w:tc>
          <w:tcPr>
            <w:tcW w:w="8275" w:type="dxa"/>
            <w:tcBorders>
              <w:top w:val="single" w:sz="6" w:space="0" w:color="000000"/>
              <w:start w:val="single" w:sz="6" w:space="0" w:color="000000"/>
              <w:bottom w:val="single" w:sz="6" w:space="0" w:color="000000"/>
              <w:end w:val="single" w:sz="6" w:space="0" w:color="000000"/>
            </w:tcBorders>
          </w:tcPr>
          <w:p>
            <w:pPr>
              <w:pStyle w:val="Normal"/>
              <w:keepNext w:val="true"/>
              <w:jc w:val="both"/>
              <w:rPr>
                <w:i/>
                <w:i/>
              </w:rPr>
            </w:pPr>
            <w:r>
              <w:rPr/>
              <w:t xml:space="preserve">There is a risk that proposed changes to the port plan are rejected by either the local or regional port authority.  Initially the owners of the Oita land planned and obtained permission to build an ethylene plant with naphtha feedstocks being discharged at a purpose built port.  Since ethylene cargoes are typically larger than LNG cargoes and both cargoes are classified as dangerous material, the origination team believes that there is there is only minimal risk that changes in the port plan would be rejected, provided that all appropriate procedure are followed. </w:t>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bottom w:val="single" w:sz="4" w:space="0" w:color="000000"/>
            </w:tcBorders>
          </w:tcPr>
          <w:p>
            <w:pPr>
              <w:pStyle w:val="Heading1"/>
              <w:ind w:hanging="0" w:start="0"/>
              <w:rPr/>
            </w:pPr>
            <w:r>
              <w:rPr/>
              <w:t>Fair</w:t>
            </w:r>
          </w:p>
        </w:tc>
        <w:tc>
          <w:tcPr>
            <w:tcW w:w="1170" w:type="dxa"/>
            <w:tcBorders>
              <w:top w:val="single" w:sz="4" w:space="0" w:color="000000"/>
              <w:bottom w:val="single" w:sz="4" w:space="0" w:color="000000"/>
            </w:tcBorders>
          </w:tcPr>
          <w:p>
            <w:pPr>
              <w:pStyle w:val="Heading1"/>
              <w:ind w:hanging="0" w:start="0"/>
              <w:rPr/>
            </w:pPr>
            <w:r>
              <w:rPr/>
              <w:t>Good</w:t>
            </w:r>
          </w:p>
        </w:tc>
        <w:tc>
          <w:tcPr>
            <w:tcW w:w="1170" w:type="dxa"/>
            <w:tcBorders>
              <w:top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jc w:val="end"/>
              <w:rPr/>
            </w:pPr>
            <w:r>
              <w:rPr/>
              <w:t>X</w:t>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Header"/>
              <w:widowControl/>
              <w:tabs>
                <w:tab w:val="clear" w:pos="4320"/>
                <w:tab w:val="clear" w:pos="8640"/>
              </w:tabs>
              <w:snapToGrid w:val="false"/>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jc w:val="end"/>
              <w:rPr/>
            </w:pPr>
            <w:r>
              <w:rPr/>
              <w:t>X</w:t>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jc w:val="end"/>
              <w:rPr/>
            </w:pPr>
            <w:r>
              <w:rPr/>
              <w:t>X</w:t>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end w:val="single" w:sz="4" w:space="0" w:color="000000"/>
            </w:tcBorders>
          </w:tcPr>
          <w:p>
            <w:pPr>
              <w:pStyle w:val="Normal"/>
              <w:snapToGrid w:val="false"/>
              <w:jc w:val="center"/>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jc w:val="center"/>
              <w:rPr/>
            </w:pPr>
            <w:r>
              <w:rPr/>
              <w:t>X</w:t>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tcBorders>
          </w:tcPr>
          <w:p>
            <w:pPr>
              <w:pStyle w:val="Normal"/>
              <w:snapToGrid w:val="false"/>
              <w:jc w:val="center"/>
              <w:rPr/>
            </w:pPr>
            <w:r>
              <w:rPr/>
            </w:r>
          </w:p>
        </w:tc>
        <w:tc>
          <w:tcPr>
            <w:tcW w:w="1170" w:type="dxa"/>
            <w:tcBorders>
              <w:top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Heading6"/>
        <w:ind w:hanging="0" w:start="0"/>
        <w:rPr/>
      </w:pPr>
      <w:r>
        <w:rPr/>
        <w:t>OTHER RAC COMMENTS</w:t>
      </w:r>
    </w:p>
    <w:p>
      <w:pPr>
        <w:pStyle w:val="Normal"/>
        <w:pBdr>
          <w:bottom w:val="single" w:sz="4" w:space="1" w:color="000000"/>
        </w:pBdr>
        <w:jc w:val="both"/>
        <w:rPr/>
      </w:pPr>
      <w:r>
        <w:rPr/>
      </w:r>
    </w:p>
    <w:p>
      <w:pPr>
        <w:pStyle w:val="Normal"/>
        <w:pBdr>
          <w:bottom w:val="single" w:sz="4" w:space="1" w:color="000000"/>
        </w:pBdr>
        <w:jc w:val="both"/>
        <w:rPr/>
      </w:pPr>
      <w:r>
        <w:rPr/>
        <w:t>N/A</w:t>
      </w:r>
    </w:p>
    <w:p>
      <w:pPr>
        <w:pStyle w:val="Normal"/>
        <w:pBdr>
          <w:bottom w:val="single" w:sz="4" w:space="1" w:color="000000"/>
        </w:pBdr>
        <w:jc w:val="both"/>
        <w:rPr/>
      </w:pPr>
      <w:r>
        <w:rPr/>
      </w:r>
    </w:p>
    <w:p>
      <w:pPr>
        <w:pStyle w:val="Normal"/>
        <w:rPr>
          <w:b/>
        </w:rPr>
      </w:pPr>
      <w:r>
        <w:rPr>
          <w:b/>
        </w:rPr>
        <w:t>MILESTONES</w:t>
      </w:r>
    </w:p>
    <w:p>
      <w:pPr>
        <w:pStyle w:val="Normal"/>
        <w:jc w:val="both"/>
        <w:rPr>
          <w:b/>
        </w:rPr>
      </w:pPr>
      <w:r>
        <w:rPr>
          <w:b/>
        </w:rPr>
      </w:r>
    </w:p>
    <w:p>
      <w:pPr>
        <w:pStyle w:val="Normal"/>
        <w:jc w:val="both"/>
        <w:rPr/>
      </w:pPr>
      <w:r>
        <w:rPr/>
        <w:t>First option to be exercised by November 2001</w:t>
      </w:r>
    </w:p>
    <w:p>
      <w:pPr>
        <w:pStyle w:val="Normal"/>
        <w:jc w:val="both"/>
        <w:rPr/>
      </w:pPr>
      <w:r>
        <w:rPr/>
        <w:t>Second option to be exercised by May 2002</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Business Unit 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Jun Kuwabara</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Business Unit Management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Tatsuro Seguchi / Carey Sloan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John Sherriff / Michael Brown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Evans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Ted Murphy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Paul Chivers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b/>
          <w:sz w:val="22"/>
          <w:u w:val="single"/>
        </w:rPr>
      </w:pPr>
      <w:r>
        <w:rPr>
          <w:b/>
          <w:sz w:val="22"/>
          <w:u w:val="single"/>
        </w:rPr>
      </w:r>
      <w:r>
        <w:br w:type="page"/>
      </w:r>
    </w:p>
    <w:p>
      <w:pPr>
        <w:pStyle w:val="Normal"/>
        <w:rPr>
          <w:b/>
          <w:sz w:val="22"/>
          <w:u w:val="single"/>
        </w:rPr>
      </w:pPr>
      <w:r>
        <w:rPr>
          <w:b/>
          <w:sz w:val="22"/>
          <w:u w:val="single"/>
        </w:rPr>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$4,000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EnCom Investment</w:t>
            </w:r>
          </w:p>
        </w:tc>
        <w:tc>
          <w:tcPr>
            <w:tcW w:w="2250" w:type="dxa"/>
            <w:tcBorders>
              <w:top w:val="single" w:sz="4" w:space="0" w:color="000000"/>
              <w:bottom w:val="single" w:sz="4" w:space="0" w:color="000000"/>
            </w:tcBorders>
          </w:tcPr>
          <w:p>
            <w:pPr>
              <w:pStyle w:val="Normal"/>
              <w:jc w:val="end"/>
              <w:rPr/>
            </w:pPr>
            <w:r>
              <w:rPr/>
              <w:t>$4,000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r>
    </w:p>
    <w:p>
      <w:pPr>
        <w:pStyle w:val="List"/>
        <w:numPr>
          <w:ilvl w:val="0"/>
          <w:numId w:val="7"/>
        </w:numPr>
        <w:rPr/>
      </w:pPr>
      <w:r>
        <w:rPr/>
        <w:t>Any recourse to Enron (other than investment):</w:t>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r>
    </w:p>
    <w:p>
      <w:pPr>
        <w:pStyle w:val="List"/>
        <w:numPr>
          <w:ilvl w:val="0"/>
          <w:numId w:val="4"/>
        </w:numPr>
        <w:rPr/>
      </w:pPr>
      <w:r>
        <w:rPr/>
        <w:t>Business unit intent to syndicate:</w:t>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8"/>
        </w:numPr>
        <w:rPr/>
      </w:pPr>
      <w:r>
        <w:rPr/>
        <w:t>Intended Enron hold period:</w:t>
        <w:br/>
        <w:br/>
      </w:r>
    </w:p>
    <w:p>
      <w:pPr>
        <w:pStyle w:val="Normal"/>
        <w:numPr>
          <w:ilvl w:val="0"/>
          <w:numId w:val="2"/>
        </w:numPr>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tab/>
        <w:tab/>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tab/>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5577840</wp:posOffset>
                </wp:positionH>
                <wp:positionV relativeFrom="paragraph">
                  <wp:posOffset>25400</wp:posOffset>
                </wp:positionV>
                <wp:extent cx="1005840" cy="0"/>
                <wp:effectExtent l="0" t="5080" r="0" b="5080"/>
                <wp:wrapNone/>
                <wp:docPr id="1"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rPr/>
      </w:pPr>
      <w:r>
        <w:rPr/>
        <w:t>Is this a JEDI 2 “Qualified Investment”?</w:t>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tab/>
        <w:tab/>
        <w:tab/>
        <w:tab/>
        <w:tab/>
        <w:tab/>
        <w:tab/>
        <w:tab/>
        <w:tab/>
        <w:tab/>
        <w:tab/>
      </w:r>
    </w:p>
    <w:p>
      <w:pPr>
        <w:pStyle w:val="Header"/>
        <w:widowControl/>
        <w:tabs>
          <w:tab w:val="clear" w:pos="4320"/>
          <w:tab w:val="clear" w:pos="8640"/>
        </w:tabs>
        <w:ind w:firstLine="720" w:start="3600" w:end="0"/>
        <w:rPr/>
      </w:pPr>
      <w:r>
        <w:rPr>
          <w:rFonts w:eastAsia="Monotype Sorts" w:cs="Monotype Sorts" w:ascii="Monotype Sorts" w:hAnsi="Monotype Sorts"/>
        </w:rPr>
        <w:sym w:font="Monotype Sorts" w:char="f06f"/>
      </w:r>
      <w:r>
        <w:rPr/>
        <w:t xml:space="preserve"> </w:t>
      </w:r>
      <w:r>
        <w:rPr/>
        <w:t>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2"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3"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88265</wp:posOffset>
                </wp:positionV>
                <wp:extent cx="962025" cy="2540"/>
                <wp:effectExtent l="5715" t="5080" r="5080" b="5715"/>
                <wp:wrapNone/>
                <wp:docPr id="4"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Header"/>
        <w:widowControl/>
        <w:tabs>
          <w:tab w:val="clear" w:pos="4320"/>
          <w:tab w:val="clear" w:pos="8640"/>
        </w:tabs>
        <w:rPr/>
      </w:pPr>
      <w:r>
        <w:rPr/>
        <w:tab/>
        <w:tab/>
        <w:tab/>
        <w:tab/>
        <w:tab/>
        <w:t>Signature</w:t>
        <w:tab/>
        <w:tab/>
        <w:tab/>
        <w:t>Name (Printed)</w:t>
        <w:tab/>
        <w:tab/>
        <w:tab/>
        <w:t>Date</w:t>
      </w:r>
    </w:p>
    <w:p>
      <w:pPr>
        <w:pStyle w:val="Normal"/>
        <w:tabs>
          <w:tab w:val="left" w:pos="720" w:leader="none"/>
        </w:tabs>
        <w:ind w:start="360" w:end="0"/>
        <w:rPr/>
      </w:pPr>
      <w:r>
        <w:rPr/>
        <w:tab/>
        <w:tab/>
        <w:tab/>
        <w:tab/>
        <w:tab/>
        <w:tab/>
        <w:tab/>
        <w:tab/>
        <w:tab/>
        <w:tab/>
        <w:tab/>
        <w:tab/>
        <w:tab/>
        <w:tab/>
        <w:tab/>
        <w:tab/>
        <w:tab/>
        <w:tab/>
        <w:tab/>
        <w:tab/>
        <w:tab/>
        <w:tab/>
        <w:tab/>
        <w:tab/>
      </w:r>
    </w:p>
    <w:p>
      <w:pPr>
        <w:pStyle w:val="Normal"/>
        <w:rPr>
          <w:b/>
          <w:sz w:val="28"/>
          <w:u w:val="single"/>
        </w:rPr>
      </w:pPr>
      <w:r>
        <w:rPr>
          <w:b/>
          <w:sz w:val="28"/>
          <w:u w:val="single"/>
        </w:rPr>
      </w:r>
    </w:p>
    <w:p>
      <w:pPr>
        <w:pStyle w:val="Normal"/>
        <w:rPr/>
      </w:pPr>
      <w:r>
        <w:rPr>
          <w:b/>
          <w:sz w:val="28"/>
          <w:u w:val="single"/>
        </w:rPr>
        <w:t>Support Teams Signature List</w:t>
      </w:r>
      <w:r>
        <w:rPr>
          <w:b/>
          <w:sz w:val="28"/>
        </w:rPr>
        <w:t>*</w:t>
      </w:r>
    </w:p>
    <w:p>
      <w:pPr>
        <w:pStyle w:val="Heading1"/>
        <w:ind w:hanging="0" w:start="0"/>
        <w:rPr>
          <w:b w:val="false"/>
          <w:sz w:val="24"/>
          <w:u w:val="single"/>
        </w:rPr>
      </w:pPr>
      <w:r>
        <w:rPr>
          <w:b w:val="false"/>
          <w:sz w:val="24"/>
          <w:u w:val="single"/>
        </w:rPr>
      </w:r>
    </w:p>
    <w:p>
      <w:pPr>
        <w:pStyle w:val="Normal"/>
        <w:rPr>
          <w:b/>
          <w:sz w:val="24"/>
          <w:u w:val="single"/>
        </w:rPr>
      </w:pPr>
      <w:r>
        <w:rPr>
          <w:b/>
          <w:sz w:val="24"/>
          <w:u w:val="single"/>
        </w:rPr>
      </w:r>
    </w:p>
    <w:tbl>
      <w:tblPr>
        <w:tblW w:w="9464" w:type="dxa"/>
        <w:jc w:val="start"/>
        <w:tblInd w:w="0" w:type="dxa"/>
        <w:tblLayout w:type="fixed"/>
        <w:tblCellMar>
          <w:top w:w="0" w:type="dxa"/>
          <w:start w:w="108" w:type="dxa"/>
          <w:bottom w:w="0" w:type="dxa"/>
          <w:end w:w="108" w:type="dxa"/>
        </w:tblCellMar>
      </w:tblPr>
      <w:tblGrid>
        <w:gridCol w:w="2943"/>
        <w:gridCol w:w="360"/>
        <w:gridCol w:w="2115"/>
        <w:gridCol w:w="289"/>
        <w:gridCol w:w="2198"/>
        <w:gridCol w:w="293"/>
        <w:gridCol w:w="1266"/>
      </w:tblGrid>
      <w:tr>
        <w:trPr>
          <w:trHeight w:val="405" w:hRule="atLeast"/>
        </w:trPr>
        <w:tc>
          <w:tcPr>
            <w:tcW w:w="2943"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115" w:type="dxa"/>
            <w:tcBorders>
              <w:top w:val="single" w:sz="4" w:space="0" w:color="000000"/>
            </w:tcBorders>
            <w:vAlign w:val="bottom"/>
          </w:tcPr>
          <w:p>
            <w:pPr>
              <w:pStyle w:val="Normal"/>
              <w:keepNext w:val="true"/>
              <w:jc w:val="center"/>
              <w:rPr>
                <w:b/>
              </w:rPr>
            </w:pPr>
            <w:r>
              <w:rPr>
                <w:b/>
              </w:rPr>
              <w:t>Name</w:t>
            </w:r>
          </w:p>
        </w:tc>
        <w:tc>
          <w:tcPr>
            <w:tcW w:w="289" w:type="dxa"/>
            <w:tcBorders>
              <w:top w:val="single" w:sz="4" w:space="0" w:color="000000"/>
            </w:tcBorders>
            <w:vAlign w:val="bottom"/>
          </w:tcPr>
          <w:p>
            <w:pPr>
              <w:pStyle w:val="Normal"/>
              <w:keepNext w:val="true"/>
              <w:snapToGrid w:val="false"/>
              <w:jc w:val="center"/>
              <w:rPr>
                <w:b/>
              </w:rPr>
            </w:pPr>
            <w:r>
              <w:rPr>
                <w:b/>
              </w:rPr>
            </w:r>
          </w:p>
        </w:tc>
        <w:tc>
          <w:tcPr>
            <w:tcW w:w="2198"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266" w:type="dxa"/>
            <w:tcBorders>
              <w:top w:val="single" w:sz="4" w:space="0" w:color="000000"/>
            </w:tcBorders>
            <w:vAlign w:val="bottom"/>
          </w:tcPr>
          <w:p>
            <w:pPr>
              <w:pStyle w:val="Normal"/>
              <w:keepNext w:val="true"/>
              <w:jc w:val="center"/>
              <w:rPr>
                <w:b/>
              </w:rPr>
            </w:pPr>
            <w:r>
              <w:rPr>
                <w:b/>
              </w:rPr>
              <w:t>Date</w:t>
            </w:r>
          </w:p>
        </w:tc>
      </w:tr>
      <w:tr>
        <w:trPr/>
        <w:tc>
          <w:tcPr>
            <w:tcW w:w="2943"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Jim Sandt / Rod Sayers</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Transaction Support/Accounting</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Melissa Allen</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Financial Operations</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Melissa Allen</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Structuring</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Tani Nath</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HR</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Drew Lynch</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Regulatory Affairs</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Mark Schroeder</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Country Team / Local Office</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Jan-Erland Bekeng / Jeremy Thirsk</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Risk Management (Metals)</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Andrew Cornfield  / David Tregar</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Risk Management (Other)</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James New</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EES Deals Only</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Graham Dunbar</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Insurance</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Paul Chivers</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IT</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Mark Pickering</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Regional Support Co-ordination</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Naomi Connell</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pacing w:before="120" w:after="0"/>
              <w:jc w:val="center"/>
              <w:rPr/>
            </w:pPr>
            <w:r>
              <w:rPr/>
              <w:t>N/A</w:t>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r>
        <w:trPr/>
        <w:tc>
          <w:tcPr>
            <w:tcW w:w="2943" w:type="dxa"/>
            <w:tcBorders/>
          </w:tcPr>
          <w:p>
            <w:pPr>
              <w:pStyle w:val="Normal"/>
              <w:spacing w:before="120" w:after="0"/>
              <w:rPr/>
            </w:pPr>
            <w:r>
              <w:rPr/>
              <w:t>Engineering Technical Services</w:t>
            </w:r>
          </w:p>
        </w:tc>
        <w:tc>
          <w:tcPr>
            <w:tcW w:w="360" w:type="dxa"/>
            <w:tcBorders/>
          </w:tcPr>
          <w:p>
            <w:pPr>
              <w:pStyle w:val="Normal"/>
              <w:snapToGrid w:val="false"/>
              <w:spacing w:before="120" w:after="0"/>
              <w:rPr/>
            </w:pPr>
            <w:r>
              <w:rPr/>
            </w:r>
          </w:p>
        </w:tc>
        <w:tc>
          <w:tcPr>
            <w:tcW w:w="2115" w:type="dxa"/>
            <w:tcBorders>
              <w:top w:val="single" w:sz="6" w:space="0" w:color="000000"/>
              <w:bottom w:val="single" w:sz="6" w:space="0" w:color="000000"/>
            </w:tcBorders>
          </w:tcPr>
          <w:p>
            <w:pPr>
              <w:pStyle w:val="Normal"/>
              <w:spacing w:before="120" w:after="0"/>
              <w:rPr/>
            </w:pPr>
            <w:r>
              <w:rPr/>
              <w:t>John Chappell  /   Brian Stanley</w:t>
            </w:r>
          </w:p>
        </w:tc>
        <w:tc>
          <w:tcPr>
            <w:tcW w:w="289" w:type="dxa"/>
            <w:tcBorders/>
          </w:tcPr>
          <w:p>
            <w:pPr>
              <w:pStyle w:val="Normal"/>
              <w:snapToGrid w:val="false"/>
              <w:spacing w:before="120" w:after="0"/>
              <w:rPr/>
            </w:pPr>
            <w:r>
              <w:rPr/>
            </w:r>
          </w:p>
        </w:tc>
        <w:tc>
          <w:tcPr>
            <w:tcW w:w="2198" w:type="dxa"/>
            <w:tcBorders>
              <w:top w:val="single" w:sz="6" w:space="0" w:color="000000"/>
              <w:bottom w:val="single" w:sz="6" w:space="0" w:color="000000"/>
            </w:tcBorders>
            <w:vAlign w:val="center"/>
          </w:tcPr>
          <w:p>
            <w:pPr>
              <w:pStyle w:val="Normal"/>
              <w:snapToGrid w:val="false"/>
              <w:spacing w:before="120" w:after="0"/>
              <w:jc w:val="center"/>
              <w:rPr/>
            </w:pPr>
            <w:r>
              <w:rPr/>
            </w:r>
          </w:p>
        </w:tc>
        <w:tc>
          <w:tcPr>
            <w:tcW w:w="293" w:type="dxa"/>
            <w:tcBorders/>
          </w:tcPr>
          <w:p>
            <w:pPr>
              <w:pStyle w:val="Normal"/>
              <w:snapToGrid w:val="false"/>
              <w:spacing w:before="120" w:after="0"/>
              <w:rPr/>
            </w:pPr>
            <w:r>
              <w:rPr/>
            </w:r>
          </w:p>
        </w:tc>
        <w:tc>
          <w:tcPr>
            <w:tcW w:w="1266"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both"/>
        <w:rPr/>
      </w:pPr>
      <w:r>
        <w:rPr/>
        <w:t>*</w:t>
      </w:r>
      <w:r>
        <w:rPr>
          <w:u w:val="single"/>
        </w:rPr>
        <w:t>Note:</w:t>
      </w:r>
      <w:r>
        <w:rPr>
          <w:b w:val="false"/>
        </w:rPr>
        <w:t xml:space="preserve"> If the DASH is circulated together with the final contracts, then a separate CACS will not be required; in this case, the signatories on the Support Teams Signature List will be determined by the legal counsel working on the deal. If the final contracts are not attached to the DASH, then a separate CACS will be required at a later date and the signatories on the Support Teams Signature List will be determined by the RAC Underwriting group.    </w:t>
      </w:r>
      <w:r>
        <w:br w:type="page"/>
      </w:r>
    </w:p>
    <w:p>
      <w:pPr>
        <w:pStyle w:val="Heading1"/>
        <w:ind w:hanging="0" w:start="0"/>
        <w:rPr>
          <w:b w:val="false"/>
          <w:sz w:val="24"/>
          <w:u w:val="single"/>
        </w:rPr>
      </w:pPr>
      <w:r>
        <w:rPr>
          <w:b w:val="false"/>
          <w:sz w:val="24"/>
          <w:u w:val="single"/>
        </w:rPr>
      </w:r>
    </w:p>
    <w:p>
      <w:pPr>
        <w:pStyle w:val="Heading8"/>
        <w:ind w:hanging="0" w:start="0"/>
        <w:rPr>
          <w:sz w:val="24"/>
        </w:rPr>
      </w:pPr>
      <w:r>
        <w:rPr>
          <w:sz w:val="24"/>
        </w:rPr>
        <w:t>Annex 1</w:t>
      </w:r>
    </w:p>
    <w:p>
      <w:pPr>
        <w:pStyle w:val="Normal"/>
        <w:rPr>
          <w:sz w:val="24"/>
        </w:rPr>
      </w:pPr>
      <w:r>
        <w:rPr>
          <w:sz w:val="24"/>
        </w:rPr>
      </w:r>
    </w:p>
    <w:p>
      <w:pPr>
        <w:pStyle w:val="Normal"/>
        <w:rPr/>
      </w:pPr>
      <w:r>
        <w:rPr/>
      </w:r>
    </w:p>
    <w:p>
      <w:pPr>
        <w:pStyle w:val="Normal"/>
        <w:jc w:val="center"/>
        <w:rPr>
          <w:b/>
        </w:rPr>
      </w:pPr>
      <w:r>
        <w:rPr>
          <w:b/>
        </w:rPr>
        <w:t>OPTION PAYMENT SCHEDULE</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sz w:val="18"/>
        </w:rPr>
      </w:pPr>
      <w:bookmarkStart w:id="0" w:name="_1048404728"/>
      <w:bookmarkStart w:id="1" w:name="_1048402632"/>
      <w:bookmarkEnd w:id="0"/>
      <w:bookmarkEnd w:id="1"/>
      <w:r>
        <w:rPr>
          <w:sz w:val="18"/>
        </w:rPr>
        <w:object w:dxaOrig="9826" w:dyaOrig="163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91.3pt;height:81.8pt" filled="f" o:ole="">
            <v:imagedata r:id="rId3" o:title=""/>
          </v:shape>
          <o:OLEObject Type="Embed" ProgID="" ShapeID="ole_rId2" DrawAspect="Content" ObjectID="_1254814930" r:id="rId2"/>
        </w:object>
      </w:r>
    </w:p>
    <w:p>
      <w:pPr>
        <w:pStyle w:val="Header"/>
        <w:widowControl/>
        <w:tabs>
          <w:tab w:val="clear" w:pos="4320"/>
          <w:tab w:val="clear" w:pos="8640"/>
        </w:tabs>
        <w:rPr>
          <w:sz w:val="18"/>
        </w:rPr>
      </w:pPr>
      <w:r>
        <w:rPr>
          <w:sz w:val="18"/>
        </w:rPr>
      </w:r>
    </w:p>
    <w:p>
      <w:pPr>
        <w:pStyle w:val="Header"/>
        <w:widowControl/>
        <w:tabs>
          <w:tab w:val="clear" w:pos="4320"/>
          <w:tab w:val="clear" w:pos="8640"/>
        </w:tabs>
        <w:rPr>
          <w:sz w:val="18"/>
        </w:rPr>
      </w:pPr>
      <w:r>
        <w:rPr>
          <w:sz w:val="18"/>
        </w:rPr>
        <w:t>(*) Area highlighted represents the options for which purchase approval is being sought under this DASH.</w:t>
      </w:r>
      <w:r>
        <w:br w:type="page"/>
      </w:r>
    </w:p>
    <w:p>
      <w:pPr>
        <w:pStyle w:val="Header"/>
        <w:widowControl/>
        <w:tabs>
          <w:tab w:val="clear" w:pos="4320"/>
          <w:tab w:val="clear" w:pos="8640"/>
        </w:tabs>
        <w:rPr>
          <w:sz w:val="18"/>
        </w:rPr>
      </w:pPr>
      <w:r>
        <w:rPr>
          <w:sz w:val="18"/>
        </w:rPr>
      </w:r>
    </w:p>
    <w:p>
      <w:pPr>
        <w:pStyle w:val="Heading8"/>
        <w:ind w:hanging="0" w:start="0"/>
        <w:rPr>
          <w:sz w:val="24"/>
        </w:rPr>
      </w:pPr>
      <w:r>
        <w:rPr>
          <w:sz w:val="24"/>
        </w:rPr>
        <w:t>Annex 2</w:t>
      </w:r>
    </w:p>
    <w:p>
      <w:pPr>
        <w:pStyle w:val="Header"/>
        <w:widowControl/>
        <w:tabs>
          <w:tab w:val="clear" w:pos="4320"/>
          <w:tab w:val="clear" w:pos="8640"/>
        </w:tabs>
        <w:rPr>
          <w:sz w:val="18"/>
        </w:rPr>
      </w:pPr>
      <w:r>
        <w:rPr>
          <w:sz w:val="18"/>
        </w:rPr>
      </w:r>
    </w:p>
    <w:p>
      <w:pPr>
        <w:pStyle w:val="Header"/>
        <w:widowControl/>
        <w:tabs>
          <w:tab w:val="clear" w:pos="4320"/>
          <w:tab w:val="clear" w:pos="8640"/>
        </w:tabs>
        <w:rPr>
          <w:sz w:val="18"/>
        </w:rPr>
      </w:pPr>
      <w:r>
        <w:rPr>
          <w:sz w:val="18"/>
        </w:rPr>
      </w:r>
    </w:p>
    <w:p>
      <w:pPr>
        <w:pStyle w:val="BodyText"/>
        <w:jc w:val="center"/>
        <w:rPr>
          <w:b/>
        </w:rPr>
      </w:pPr>
      <w:r>
        <w:rPr>
          <w:b/>
        </w:rPr>
        <w:t>SUMMARY OF CREDIT ANALYSIS</w:t>
      </w:r>
    </w:p>
    <w:p>
      <w:pPr>
        <w:pStyle w:val="Normal"/>
        <w:jc w:val="both"/>
        <w:rPr>
          <w:b/>
        </w:rPr>
      </w:pPr>
      <w:r>
        <w:rPr>
          <w:b/>
        </w:rPr>
      </w:r>
    </w:p>
    <w:p>
      <w:pPr>
        <w:pStyle w:val="Normal"/>
        <w:jc w:val="both"/>
        <w:rPr/>
      </w:pPr>
      <w:r>
        <w:rPr>
          <w:b/>
          <w:i/>
          <w:u w:val="single"/>
        </w:rPr>
        <w:t>Showa Denko K.K.</w:t>
      </w:r>
      <w:r>
        <w:rPr/>
        <w:t xml:space="preserve"> is a regional chemical and petrochemical refiner and also a producer of electronic parts.  The firm is heavily debt financed with a significant proportion of short-term debt.  In addition, the firm reports modest operating margins and significant operating leverage.</w:t>
      </w:r>
    </w:p>
    <w:p>
      <w:pPr>
        <w:pStyle w:val="Normal"/>
        <w:jc w:val="both"/>
        <w:rPr/>
      </w:pPr>
      <w:r>
        <w:rPr/>
      </w:r>
    </w:p>
    <w:p>
      <w:pPr>
        <w:pStyle w:val="Normal"/>
        <w:tabs>
          <w:tab w:val="clear" w:pos="720"/>
          <w:tab w:val="left" w:pos="567" w:leader="none"/>
          <w:tab w:val="right" w:pos="3261" w:leader="none"/>
          <w:tab w:val="left" w:pos="4111" w:leader="none"/>
          <w:tab w:val="right" w:pos="6663" w:leader="none"/>
        </w:tabs>
        <w:jc w:val="both"/>
        <w:rPr/>
      </w:pPr>
      <w:r>
        <w:rPr/>
        <w:tab/>
      </w:r>
      <w:r>
        <w:rPr>
          <w:sz w:val="16"/>
        </w:rPr>
        <w:t xml:space="preserve">Revenues  </w:t>
        <w:tab/>
        <w:t xml:space="preserve"> 6,497m</w:t>
        <w:tab/>
        <w:t>Gross Margin</w:t>
        <w:tab/>
        <w:t>18.5%</w:t>
      </w:r>
    </w:p>
    <w:p>
      <w:pPr>
        <w:pStyle w:val="Normal"/>
        <w:tabs>
          <w:tab w:val="clear" w:pos="720"/>
          <w:tab w:val="left" w:pos="567" w:leader="none"/>
          <w:tab w:val="right" w:pos="3261" w:leader="none"/>
          <w:tab w:val="left" w:pos="4111" w:leader="none"/>
          <w:tab w:val="right" w:pos="6663" w:leader="none"/>
        </w:tabs>
        <w:jc w:val="both"/>
        <w:rPr>
          <w:sz w:val="16"/>
        </w:rPr>
      </w:pPr>
      <w:r>
        <w:rPr>
          <w:sz w:val="16"/>
        </w:rPr>
        <w:tab/>
        <w:t>EBITDA</w:t>
        <w:tab/>
        <w:t xml:space="preserve"> 684m</w:t>
        <w:tab/>
        <w:t>Net Margin</w:t>
        <w:tab/>
        <w:t>10.5%</w:t>
      </w:r>
    </w:p>
    <w:p>
      <w:pPr>
        <w:pStyle w:val="Normal"/>
        <w:tabs>
          <w:tab w:val="clear" w:pos="720"/>
          <w:tab w:val="left" w:pos="567" w:leader="none"/>
          <w:tab w:val="right" w:pos="3261" w:leader="none"/>
          <w:tab w:val="left" w:pos="4111" w:leader="none"/>
          <w:tab w:val="right" w:pos="6663" w:leader="none"/>
        </w:tabs>
        <w:jc w:val="both"/>
        <w:rPr>
          <w:sz w:val="16"/>
        </w:rPr>
      </w:pPr>
      <w:r>
        <w:rPr>
          <w:sz w:val="16"/>
        </w:rPr>
        <w:tab/>
        <w:t>Market Equity</w:t>
        <w:tab/>
        <w:t xml:space="preserve"> 2,600m</w:t>
        <w:tab/>
        <w:t>Debt/Ent.Value</w:t>
        <w:tab/>
        <w:t>71%</w:t>
      </w:r>
    </w:p>
    <w:p>
      <w:pPr>
        <w:pStyle w:val="Normal"/>
        <w:tabs>
          <w:tab w:val="clear" w:pos="720"/>
          <w:tab w:val="left" w:pos="567" w:leader="none"/>
          <w:tab w:val="right" w:pos="3261" w:leader="none"/>
          <w:tab w:val="left" w:pos="4111" w:leader="none"/>
          <w:tab w:val="right" w:pos="6663" w:leader="none"/>
        </w:tabs>
        <w:jc w:val="both"/>
        <w:rPr>
          <w:sz w:val="16"/>
        </w:rPr>
      </w:pPr>
      <w:r>
        <w:rPr>
          <w:sz w:val="16"/>
        </w:rPr>
        <w:tab/>
        <w:t>Debt</w:t>
        <w:tab/>
        <w:t xml:space="preserve"> 6,384m</w:t>
        <w:tab/>
        <w:t>Debt/EBITDA</w:t>
        <w:tab/>
        <w:t>9.3x</w:t>
      </w:r>
    </w:p>
    <w:p>
      <w:pPr>
        <w:pStyle w:val="Normal"/>
        <w:tabs>
          <w:tab w:val="clear" w:pos="720"/>
          <w:tab w:val="left" w:pos="993" w:leader="none"/>
          <w:tab w:val="right" w:pos="3261" w:leader="none"/>
          <w:tab w:val="left" w:pos="4111" w:leader="none"/>
          <w:tab w:val="right" w:pos="6663" w:leader="none"/>
        </w:tabs>
        <w:jc w:val="both"/>
        <w:rPr/>
      </w:pPr>
      <w:r>
        <w:rPr/>
        <w:tab/>
      </w:r>
      <w:r>
        <w:rPr>
          <w:i/>
          <w:sz w:val="14"/>
        </w:rPr>
        <w:t>All amounts in USD</w:t>
      </w:r>
    </w:p>
    <w:p>
      <w:pPr>
        <w:pStyle w:val="Normal"/>
        <w:tabs>
          <w:tab w:val="clear" w:pos="720"/>
          <w:tab w:val="left" w:pos="993" w:leader="none"/>
          <w:tab w:val="right" w:pos="3261" w:leader="none"/>
          <w:tab w:val="left" w:pos="4111" w:leader="none"/>
          <w:tab w:val="right" w:pos="6663" w:leader="none"/>
        </w:tabs>
        <w:jc w:val="both"/>
        <w:rPr>
          <w:i/>
          <w:i/>
          <w:sz w:val="14"/>
        </w:rPr>
      </w:pPr>
      <w:r>
        <w:rPr>
          <w:i/>
          <w:sz w:val="14"/>
        </w:rPr>
      </w:r>
    </w:p>
    <w:p>
      <w:pPr>
        <w:pStyle w:val="Normal"/>
        <w:tabs>
          <w:tab w:val="clear" w:pos="720"/>
          <w:tab w:val="left" w:pos="993" w:leader="none"/>
          <w:tab w:val="right" w:pos="3261" w:leader="none"/>
          <w:tab w:val="left" w:pos="4111" w:leader="none"/>
          <w:tab w:val="right" w:pos="6663" w:leader="none"/>
        </w:tabs>
        <w:jc w:val="both"/>
        <w:rPr/>
      </w:pPr>
      <w:r>
        <w:rPr/>
        <w:t>Based on the above financial performance information together with capital market indicators (equity cap and indicative CDS quote), Showa Denko K.K. is e-rated 10.</w:t>
      </w:r>
    </w:p>
    <w:p>
      <w:pPr>
        <w:pStyle w:val="Normal"/>
        <w:jc w:val="both"/>
        <w:rPr/>
      </w:pPr>
      <w:r>
        <w:rPr/>
      </w:r>
    </w:p>
    <w:p>
      <w:pPr>
        <w:pStyle w:val="Normal"/>
        <w:jc w:val="both"/>
        <w:rPr/>
      </w:pPr>
      <w:r>
        <w:rPr>
          <w:b/>
          <w:i/>
          <w:u w:val="single"/>
        </w:rPr>
        <w:t>Marubeni Corporation</w:t>
      </w:r>
      <w:r>
        <w:rPr/>
        <w:t xml:space="preserve"> is a diversified trading and marketing company whose operations include power plant and industrial site development, telecommunications, commodity trading and minerals and mining. The firm is heavily debt financed with a significant proportion of short-term debt.  In addition, the firm reports modest operating margins and significant operating leverage.</w:t>
      </w:r>
    </w:p>
    <w:p>
      <w:pPr>
        <w:pStyle w:val="Normal"/>
        <w:jc w:val="both"/>
        <w:rPr/>
      </w:pPr>
      <w:r>
        <w:rPr/>
      </w:r>
    </w:p>
    <w:p>
      <w:pPr>
        <w:pStyle w:val="Normal"/>
        <w:tabs>
          <w:tab w:val="clear" w:pos="720"/>
          <w:tab w:val="left" w:pos="567" w:leader="none"/>
          <w:tab w:val="right" w:pos="3261" w:leader="none"/>
          <w:tab w:val="left" w:pos="4111" w:leader="none"/>
          <w:tab w:val="right" w:pos="6663" w:leader="none"/>
        </w:tabs>
        <w:jc w:val="both"/>
        <w:rPr/>
      </w:pPr>
      <w:r>
        <w:rPr/>
        <w:tab/>
      </w:r>
      <w:r>
        <w:rPr>
          <w:sz w:val="16"/>
        </w:rPr>
        <w:t>Gross Trading Profit</w:t>
        <w:tab/>
        <w:t xml:space="preserve"> 4,278m</w:t>
        <w:tab/>
        <w:t>Gross Margin</w:t>
        <w:tab/>
        <w:t>na</w:t>
      </w:r>
    </w:p>
    <w:p>
      <w:pPr>
        <w:pStyle w:val="Normal"/>
        <w:tabs>
          <w:tab w:val="clear" w:pos="720"/>
          <w:tab w:val="left" w:pos="567" w:leader="none"/>
          <w:tab w:val="right" w:pos="3261" w:leader="none"/>
          <w:tab w:val="left" w:pos="4111" w:leader="none"/>
          <w:tab w:val="right" w:pos="6663" w:leader="none"/>
        </w:tabs>
        <w:jc w:val="both"/>
        <w:rPr>
          <w:sz w:val="16"/>
        </w:rPr>
      </w:pPr>
      <w:r>
        <w:rPr>
          <w:sz w:val="16"/>
        </w:rPr>
        <w:tab/>
        <w:t>EBITDA</w:t>
        <w:tab/>
        <w:t xml:space="preserve"> 565m</w:t>
        <w:tab/>
        <w:t>Net Margin</w:t>
        <w:tab/>
        <w:t>13%</w:t>
      </w:r>
    </w:p>
    <w:p>
      <w:pPr>
        <w:pStyle w:val="Normal"/>
        <w:tabs>
          <w:tab w:val="clear" w:pos="720"/>
          <w:tab w:val="left" w:pos="567" w:leader="none"/>
          <w:tab w:val="right" w:pos="3261" w:leader="none"/>
          <w:tab w:val="left" w:pos="4111" w:leader="none"/>
          <w:tab w:val="right" w:pos="6663" w:leader="none"/>
        </w:tabs>
        <w:jc w:val="both"/>
        <w:rPr>
          <w:sz w:val="16"/>
        </w:rPr>
      </w:pPr>
      <w:r>
        <w:rPr>
          <w:sz w:val="16"/>
        </w:rPr>
        <w:tab/>
        <w:t>Market Equity</w:t>
        <w:tab/>
        <w:t xml:space="preserve"> 2,925m</w:t>
        <w:tab/>
        <w:t>Debt/Ent.Value</w:t>
        <w:tab/>
        <w:t>91%</w:t>
      </w:r>
    </w:p>
    <w:p>
      <w:pPr>
        <w:pStyle w:val="Normal"/>
        <w:tabs>
          <w:tab w:val="clear" w:pos="720"/>
          <w:tab w:val="left" w:pos="567" w:leader="none"/>
          <w:tab w:val="right" w:pos="3261" w:leader="none"/>
          <w:tab w:val="left" w:pos="4111" w:leader="none"/>
          <w:tab w:val="right" w:pos="6663" w:leader="none"/>
        </w:tabs>
        <w:jc w:val="both"/>
        <w:rPr>
          <w:sz w:val="16"/>
        </w:rPr>
      </w:pPr>
      <w:r>
        <w:rPr>
          <w:sz w:val="16"/>
        </w:rPr>
        <w:tab/>
        <w:t>Debt</w:t>
        <w:tab/>
        <w:t xml:space="preserve"> 30,666m</w:t>
        <w:tab/>
        <w:t>Debt/EBITDA</w:t>
        <w:tab/>
        <w:t>54x</w:t>
      </w:r>
    </w:p>
    <w:p>
      <w:pPr>
        <w:pStyle w:val="Normal"/>
        <w:tabs>
          <w:tab w:val="clear" w:pos="720"/>
          <w:tab w:val="left" w:pos="993" w:leader="none"/>
          <w:tab w:val="right" w:pos="3261" w:leader="none"/>
          <w:tab w:val="left" w:pos="4111" w:leader="none"/>
          <w:tab w:val="right" w:pos="6663" w:leader="none"/>
        </w:tabs>
        <w:jc w:val="both"/>
        <w:rPr/>
      </w:pPr>
      <w:r>
        <w:rPr/>
        <w:tab/>
      </w:r>
      <w:r>
        <w:rPr>
          <w:i/>
          <w:sz w:val="14"/>
        </w:rPr>
        <w:t>All amounts in USD</w:t>
      </w:r>
    </w:p>
    <w:p>
      <w:pPr>
        <w:pStyle w:val="Normal"/>
        <w:tabs>
          <w:tab w:val="clear" w:pos="720"/>
          <w:tab w:val="left" w:pos="567" w:leader="none"/>
          <w:tab w:val="right" w:pos="3261" w:leader="none"/>
          <w:tab w:val="left" w:pos="4111" w:leader="none"/>
          <w:tab w:val="right" w:pos="6663" w:leader="none"/>
        </w:tabs>
        <w:jc w:val="both"/>
        <w:rPr>
          <w:i/>
          <w:i/>
          <w:sz w:val="14"/>
        </w:rPr>
      </w:pPr>
      <w:r>
        <w:rPr>
          <w:i/>
          <w:sz w:val="14"/>
        </w:rPr>
      </w:r>
    </w:p>
    <w:p>
      <w:pPr>
        <w:pStyle w:val="Normal"/>
        <w:tabs>
          <w:tab w:val="clear" w:pos="720"/>
          <w:tab w:val="left" w:pos="993" w:leader="none"/>
          <w:tab w:val="right" w:pos="3261" w:leader="none"/>
          <w:tab w:val="left" w:pos="4111" w:leader="none"/>
          <w:tab w:val="right" w:pos="6663" w:leader="none"/>
        </w:tabs>
        <w:jc w:val="both"/>
        <w:rPr/>
      </w:pPr>
      <w:r>
        <w:rPr/>
        <w:t>Based on the above financial performance information together with capital market indicators (equity cap and indicative CDS quote), Marubeni Corporation is e-rated 10.</w:t>
      </w:r>
    </w:p>
    <w:p>
      <w:pPr>
        <w:pStyle w:val="Header"/>
        <w:widowControl/>
        <w:tabs>
          <w:tab w:val="clear" w:pos="4320"/>
          <w:tab w:val="clear" w:pos="8640"/>
        </w:tabs>
        <w:rPr>
          <w:sz w:val="18"/>
        </w:rPr>
      </w:pPr>
      <w:r>
        <w:rPr>
          <w:sz w:val="18"/>
        </w:rPr>
      </w:r>
    </w:p>
    <w:sectPr>
      <w:headerReference w:type="default" r:id="rId4"/>
      <w:headerReference w:type="first" r:id="rId5"/>
      <w:footerReference w:type="default" r:id="rId6"/>
      <w:footerReference w:type="first" r:id="rId7"/>
      <w:type w:val="nextPage"/>
      <w:pgSz w:w="12240" w:h="15840"/>
      <w:pgMar w:left="1009" w:right="1009"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Oita</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abstractNum w:abstractNumId="9">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pBdr>
        <w:top w:val="single" w:sz="8" w:space="1" w:color="000000"/>
      </w:pBdr>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bCs/>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val="false"/>
      <w:i w:val="false"/>
    </w:rPr>
  </w:style>
  <w:style w:type="character" w:styleId="WW8Num18z0">
    <w:name w:val="WW8Num18z0"/>
    <w:qFormat/>
    <w:rPr>
      <w:b w:val="false"/>
      <w:i w:val="false"/>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90" w:start="-9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2001-04-17T15:38:00Z</dcterms:created>
  <dc:creator>mruane</dc:creator>
  <dc:description/>
  <dc:language>en-CA</dc:language>
  <cp:lastModifiedBy>SSimunov</cp:lastModifiedBy>
  <cp:lastPrinted>2001-04-17T19:06:00Z</cp:lastPrinted>
  <dcterms:modified xsi:type="dcterms:W3CDTF">2001-04-17T15:41:00Z</dcterms:modified>
  <cp:revision>3</cp:revision>
  <dc:subject/>
  <dc:title>ENRON RISK ASSESSMENT AND CONTROL</dc:title>
</cp:coreProperties>
</file>