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DEAL APPROVAL SHEET </w:t>
      </w:r>
    </w:p>
    <w:p>
      <w:pPr>
        <w:pStyle w:val="Normal"/>
        <w:jc w:val="center"/>
        <w:rPr>
          <w:b/>
          <w:sz w:val="32"/>
        </w:rPr>
      </w:pPr>
      <w:r>
        <w:rPr>
          <w:b/>
          <w:sz w:val="32"/>
        </w:rPr>
        <w:t>*** DRAFT ***</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LV Cogen Turbine Swap (4x Long/Short)</w:t>
            </w:r>
          </w:p>
          <w:p>
            <w:pPr>
              <w:pStyle w:val="Heading1"/>
              <w:ind w:hanging="0" w:start="0"/>
              <w:rPr/>
            </w:pPr>
            <w:r>
              <w:rPr>
                <w:b w:val="false"/>
              </w:rPr>
              <w:t>Counterparty</w:t>
            </w:r>
            <w:r>
              <w:rPr/>
              <w:t xml:space="preserve">:  </w:t>
            </w:r>
            <w:r>
              <w:rPr>
                <w:b w:val="false"/>
              </w:rPr>
              <w:t>GE-SS Power Systems</w:t>
            </w:r>
          </w:p>
          <w:p>
            <w:pPr>
              <w:pStyle w:val="Normal"/>
              <w:rPr/>
            </w:pPr>
            <w:r>
              <w:rPr/>
              <w:t>Business Unit:  EWS/Americas/West Power</w:t>
            </w:r>
          </w:p>
          <w:p>
            <w:pPr>
              <w:pStyle w:val="Normal"/>
              <w:rPr/>
            </w:pPr>
            <w:r>
              <w:rPr/>
              <w:t>Business Unit Originator:  Jake Thomas</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30, 2001</w:t>
            </w:r>
          </w:p>
          <w:p>
            <w:pPr>
              <w:pStyle w:val="Normal"/>
              <w:ind w:firstLine="90" w:start="-198" w:end="-738"/>
              <w:rPr/>
            </w:pPr>
            <w:r>
              <w:rPr/>
              <w:t>Investment Type:  Purchase &amp; Divestiture of Equipment</w:t>
            </w:r>
          </w:p>
          <w:p>
            <w:pPr>
              <w:pStyle w:val="Normal"/>
              <w:ind w:firstLine="90" w:start="-198" w:end="-738"/>
              <w:rPr/>
            </w:pPr>
            <w:r>
              <w:rPr/>
              <w:t>Capital Funding Source(s):  E-Next Generation</w:t>
            </w:r>
          </w:p>
          <w:p>
            <w:pPr>
              <w:pStyle w:val="Normal"/>
              <w:ind w:firstLine="90" w:start="-198" w:end="-738"/>
              <w:rPr/>
            </w:pPr>
            <w:r>
              <w:rPr/>
              <w:t>Expected Closing Date:  April [xx], 2001</w:t>
            </w:r>
          </w:p>
          <w:p>
            <w:pPr>
              <w:pStyle w:val="Normal"/>
              <w:ind w:firstLine="90" w:start="-198" w:end="-738"/>
              <w:rPr/>
            </w:pPr>
            <w:r>
              <w:rPr/>
              <w:t>Expected Funding Date:  April [xx],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Management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(need to be verified)</w:t>
      </w:r>
    </w:p>
    <w:p>
      <w:pPr>
        <w:pStyle w:val="Normal"/>
        <w:rPr/>
      </w:pPr>
      <w:r>
        <w:rPr/>
        <w:tab/>
        <w:t>Total Sales Proceeds</w:t>
        <w:tab/>
        <w:tab/>
        <w:tab/>
        <w:tab/>
        <w:tab/>
        <w:tab/>
        <w:tab/>
        <w:tab/>
        <w:tab/>
        <w:t xml:space="preserve"> ($67,776,700)</w:t>
      </w:r>
    </w:p>
    <w:p>
      <w:pPr>
        <w:pStyle w:val="Normal"/>
        <w:ind w:start="360" w:end="-36"/>
        <w:rPr/>
      </w:pPr>
      <w:r>
        <w:rPr/>
        <w:t>Total Purchase:</w:t>
        <w:tab/>
        <w:tab/>
        <w:tab/>
        <w:tab/>
        <w:tab/>
        <w:tab/>
        <w:tab/>
        <w:tab/>
        <w:tab/>
        <w:tab/>
        <w:t xml:space="preserve">   </w:t>
      </w:r>
      <w:r>
        <w:rPr>
          <w:u w:val="single"/>
        </w:rPr>
        <w:t xml:space="preserve">  62,705,600</w:t>
      </w:r>
    </w:p>
    <w:p>
      <w:pPr>
        <w:pStyle w:val="Normal"/>
        <w:ind w:start="360" w:end="-36"/>
        <w:rPr/>
      </w:pPr>
      <w:r>
        <w:rPr/>
        <w:t xml:space="preserve">  </w:t>
      </w:r>
      <w:r>
        <w:rPr/>
        <w:t>This Transaction</w:t>
        <w:tab/>
        <w:tab/>
        <w:tab/>
        <w:tab/>
        <w:tab/>
        <w:tab/>
        <w:tab/>
        <w:tab/>
        <w:tab/>
        <w:t xml:space="preserve"> ($   5,071,100)</w:t>
      </w:r>
    </w:p>
    <w:p>
      <w:pPr>
        <w:pStyle w:val="Normal"/>
        <w:rPr/>
      </w:pPr>
      <w:r>
        <w:rPr/>
        <w:tab/>
      </w:r>
    </w:p>
    <w:p>
      <w:pPr>
        <w:pStyle w:val="Heading1"/>
        <w:pBdr>
          <w:top w:val="single" w:sz="8" w:space="1" w:color="000000"/>
        </w:pBdr>
        <w:ind w:hanging="0" w:start="0" w:end="-36"/>
        <w:rPr/>
      </w:pPr>
      <w:r>
        <w:rPr/>
        <w:t>EXPOSURE SUMMARY</w:t>
      </w:r>
    </w:p>
    <w:p>
      <w:pPr>
        <w:pStyle w:val="Normal"/>
        <w:rPr/>
      </w:pPr>
      <w:r>
        <w:rPr/>
        <w:tab/>
        <w:t>Initial Payment to GE 03/02/2001</w:t>
        <w:tab/>
        <w:tab/>
        <w:tab/>
        <w:tab/>
        <w:tab/>
        <w:tab/>
        <w:t>$       500,000</w:t>
      </w:r>
    </w:p>
    <w:p>
      <w:pPr>
        <w:pStyle w:val="Normal"/>
        <w:ind w:start="360" w:end="0"/>
        <w:rPr/>
      </w:pPr>
      <w:r>
        <w:rPr/>
        <w:t>This Transaction</w:t>
        <w:tab/>
        <w:tab/>
        <w:tab/>
        <w:tab/>
        <w:tab/>
        <w:tab/>
        <w:tab/>
        <w:tab/>
        <w:tab/>
        <w:tab/>
      </w:r>
      <w:r>
        <w:rPr>
          <w:u w:val="single"/>
        </w:rPr>
        <w:t xml:space="preserve">     (5,071,100)</w:t>
      </w:r>
    </w:p>
    <w:p>
      <w:pPr>
        <w:pStyle w:val="Normal"/>
        <w:ind w:start="360" w:end="0"/>
        <w:rPr/>
      </w:pPr>
      <w:r>
        <w:rPr/>
        <w:t xml:space="preserve">  </w:t>
      </w:r>
      <w:r>
        <w:rPr/>
        <w:t>Total</w:t>
        <w:tab/>
        <w:tab/>
        <w:tab/>
        <w:tab/>
        <w:tab/>
        <w:tab/>
        <w:tab/>
        <w:tab/>
        <w:tab/>
        <w:tab/>
        <w:tab/>
        <w:tab/>
        <w:t>($   4,571,100)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 xml:space="preserve">Americas West Power (“West Power”), through E-Next Generation LLC (“E-Next”), requests $62.7 million to purchase four (4) LM6000 gas turbines from GE-SS Power Systems.   The gas turbines will be delivered during the fourth quarter of 2001 and will enable a profitable sale of certain LM 6000 turbines currently held by E-Next and allocated to expansion of the Southwest Power Project (aka LV Cogen) in Las Vegas, Nevada.  </w:t>
      </w:r>
    </w:p>
    <w:p>
      <w:pPr>
        <w:pStyle w:val="Normal"/>
        <w:rPr/>
      </w:pPr>
      <w:r>
        <w:rPr/>
      </w:r>
    </w:p>
    <w:p>
      <w:pPr>
        <w:pStyle w:val="Normal"/>
        <w:rPr/>
      </w:pPr>
      <w:r>
        <w:rPr/>
        <w:t>Three of the existing turbines and one of the new turbines will be sold to Delta Power, an independent power producer.  The purchase will be financed by John Hancock Mutual Life Insurance and ________ Partners.  One of the existing turbines and three of the new turbines will then be allocated to the Southwest Power Project.  West Power has negotiated the turbine sale agreement with Delta Power and John Hancock has approved financing for the acquisition and intends to close on or before April 30, 2001.</w:t>
      </w:r>
    </w:p>
    <w:p>
      <w:pPr>
        <w:pStyle w:val="Normal"/>
        <w:rPr/>
      </w:pPr>
      <w:r>
        <w:rPr/>
      </w:r>
    </w:p>
    <w:p>
      <w:pPr>
        <w:pStyle w:val="Normal"/>
        <w:rPr/>
      </w:pPr>
      <w:r>
        <w:rPr/>
        <w:t xml:space="preserve">West Power is in the process of finalizing the development of the Southwest Power expansion, which consists of four LM6000’s in combined cycle mode with construction expected to commence May 1, 2001 and commercial operations scheduled for September 1, 2001.  The delivery schedule of the new turbines should not have an impact on the project’s construction schedule.    Southwest Power has secured all major equipment and obtained all permits required to immediately begin construction, has fully negotiated an EPC contract, and is negotiating with several parties for a long-term fixed price off-take agreement. </w:t>
      </w:r>
    </w:p>
    <w:p>
      <w:pPr>
        <w:pStyle w:val="Normal"/>
        <w:ind w:firstLine="360" w:end="0"/>
        <w:rPr/>
      </w:pPr>
      <w:r>
        <w:rPr/>
      </w:r>
    </w:p>
    <w:p>
      <w:pPr>
        <w:pStyle w:val="Heading2"/>
        <w:widowControl/>
        <w:pBdr>
          <w:top w:val="single" w:sz="8" w:space="3" w:color="000000"/>
        </w:pBdr>
        <w:ind w:hanging="0" w:start="0" w:end="-36"/>
        <w:rPr>
          <w:i w:val="false"/>
          <w:i w:val="false"/>
        </w:rPr>
      </w:pPr>
      <w:r>
        <w:rPr>
          <w:i w:val="false"/>
        </w:rPr>
        <w:t>TRANSACTION UPSIDES</w:t>
      </w:r>
    </w:p>
    <w:p>
      <w:pPr>
        <w:pStyle w:val="Normal"/>
        <w:rPr>
          <w:i/>
          <w:i/>
        </w:rPr>
      </w:pPr>
      <w:r>
        <w:rPr>
          <w:i/>
        </w:rPr>
      </w:r>
    </w:p>
    <w:p>
      <w:pPr>
        <w:pStyle w:val="Normal"/>
        <w:rPr/>
      </w:pPr>
      <w:r>
        <w:rPr/>
        <w:t xml:space="preserve">The turbines sold to Delta Power will be priced approximately $5.0 million higher than the new turbine costs.  In addition, there will be interest savings of approximately $1.5 million so that the total value of the transaction is approximately $6.5 million while still maintaining the schedule for the Southwest Power expansion </w:t>
      </w:r>
    </w:p>
    <w:p>
      <w:pPr>
        <w:pStyle w:val="Normal"/>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Sale of four turbines to Delta Power and sale of Southwest Power expansion project will result in final closing of West Power’s LM 6000 turbine position.</w:t>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Southwest Power Expansion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West Power is in late stage development with permitting, interconnect, EPC and tolling agreements close to execution.  West Power intends to seek approval to construct this project during the second quarter of 2001.  The strong power market and the project’s favorable location support the viability of the project.  In the event the project does not proceed, West Power is confident of its ability to re-market these turbines at a profit. </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pPr>
            <w:r>
              <w:rPr/>
              <w:t>Closing risk on turbine sale to Delta Power.</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If Delta Power fails to close on its purchase of the existing E-Next turbines by 20 April 2001, Enron will be increasing its turbine position to satisfy its obligations under the turbine purchase agreement, or paying cancellation charges of $6,320,560 on the turbine order.  </w:t>
            </w:r>
          </w:p>
        </w:tc>
      </w:tr>
    </w:tbl>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i w:val="false"/>
        </w:rPr>
        <w:t>TRANSACTION SOURCES AND USES OF FUNDS</w:t>
      </w:r>
      <w:r>
        <w:rPr>
          <w:i w:val="false"/>
          <w:color w:val="FF0000"/>
        </w:rPr>
        <w:t xml:space="preserve"> </w:t>
      </w:r>
    </w:p>
    <w:p>
      <w:pPr>
        <w:pStyle w:val="Normal"/>
        <w:rPr>
          <w:i/>
          <w:i/>
          <w:color w:val="FF0000"/>
        </w:rPr>
      </w:pPr>
      <w:r>
        <w:rPr>
          <w:i/>
          <w:color w:val="FF0000"/>
        </w:rPr>
      </w:r>
    </w:p>
    <w:p>
      <w:pPr>
        <w:pStyle w:val="Normal"/>
        <w:ind w:firstLine="360" w:end="0"/>
        <w:rPr>
          <w:b/>
        </w:rPr>
      </w:pPr>
      <w:r>
        <w:rPr>
          <w:b/>
        </w:rPr>
        <w:t>PAYMENT SCHEDULE</w:t>
      </w:r>
    </w:p>
    <w:p>
      <w:pPr>
        <w:pStyle w:val="Normal"/>
        <w:rPr>
          <w:b/>
        </w:rPr>
      </w:pPr>
      <w:r>
        <w:rPr>
          <w:b/>
        </w:rPr>
      </w:r>
    </w:p>
    <w:tbl>
      <w:tblPr>
        <w:tblW w:w="3708" w:type="dxa"/>
        <w:jc w:val="start"/>
        <w:tblInd w:w="0" w:type="dxa"/>
        <w:tblLayout w:type="fixed"/>
        <w:tblCellMar>
          <w:top w:w="0" w:type="dxa"/>
          <w:start w:w="30" w:type="dxa"/>
          <w:bottom w:w="0" w:type="dxa"/>
          <w:end w:w="30" w:type="dxa"/>
        </w:tblCellMar>
      </w:tblPr>
      <w:tblGrid>
        <w:gridCol w:w="1704"/>
        <w:gridCol w:w="631"/>
        <w:gridCol w:w="1373"/>
      </w:tblGrid>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30-Mar-01</w:t>
            </w:r>
          </w:p>
        </w:tc>
        <w:tc>
          <w:tcPr>
            <w:tcW w:w="631" w:type="dxa"/>
            <w:tcBorders/>
          </w:tcPr>
          <w:p>
            <w:pPr>
              <w:pStyle w:val="Normal"/>
              <w:jc w:val="end"/>
              <w:rPr>
                <w:rFonts w:ascii="Arial" w:hAnsi="Arial" w:cs="Arial"/>
                <w:color w:val="000000"/>
                <w:sz w:val="18"/>
              </w:rPr>
            </w:pPr>
            <w:r>
              <w:rPr>
                <w:rFonts w:cs="Arial" w:ascii="Arial" w:hAnsi="Arial"/>
                <w:color w:val="000000"/>
                <w:sz w:val="18"/>
              </w:rPr>
              <w:t>15%</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9,480,840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22-Apr-01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22-May-01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22-Jun-01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22-Jul-01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22-Aug-01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22-Sep-01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22-Oct-01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22-Nov-01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22-Dec-01</w:t>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22-Jan-02</w:t>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22-Feb-02</w:t>
            </w:r>
          </w:p>
        </w:tc>
        <w:tc>
          <w:tcPr>
            <w:tcW w:w="631" w:type="dxa"/>
            <w:tcBorders/>
          </w:tcPr>
          <w:p>
            <w:pPr>
              <w:pStyle w:val="Normal"/>
              <w:jc w:val="end"/>
              <w:rPr>
                <w:rFonts w:ascii="Arial" w:hAnsi="Arial" w:cs="Arial"/>
                <w:color w:val="000000"/>
                <w:sz w:val="18"/>
              </w:rPr>
            </w:pPr>
            <w:r>
              <w:rPr>
                <w:rFonts w:cs="Arial" w:ascii="Arial" w:hAnsi="Arial"/>
                <w:color w:val="000000"/>
                <w:sz w:val="18"/>
              </w:rPr>
              <w:t>5%</w:t>
            </w:r>
          </w:p>
        </w:tc>
        <w:tc>
          <w:tcPr>
            <w:tcW w:w="1373" w:type="dxa"/>
            <w:tcBorders/>
          </w:tcPr>
          <w:p>
            <w:pPr>
              <w:pStyle w:val="Normal"/>
              <w:jc w:val="end"/>
              <w:rPr/>
            </w:pPr>
            <w:r>
              <w:rPr>
                <w:rFonts w:eastAsia="Arial" w:cs="Arial" w:ascii="Arial" w:hAnsi="Arial"/>
                <w:color w:val="000000"/>
                <w:sz w:val="18"/>
              </w:rPr>
              <w:t xml:space="preserve">     </w:t>
            </w:r>
            <w:r>
              <w:rPr>
                <w:rFonts w:cs="Arial" w:ascii="Arial" w:hAnsi="Arial"/>
                <w:color w:val="000000"/>
                <w:sz w:val="18"/>
                <w:u w:val="single"/>
              </w:rPr>
              <w:t xml:space="preserve">3,160,280 </w:t>
            </w:r>
          </w:p>
        </w:tc>
      </w:tr>
      <w:tr>
        <w:trPr>
          <w:trHeight w:val="252" w:hRule="atLeast"/>
        </w:trPr>
        <w:tc>
          <w:tcPr>
            <w:tcW w:w="1704" w:type="dxa"/>
            <w:tcBorders/>
          </w:tcPr>
          <w:p>
            <w:pPr>
              <w:pStyle w:val="Normal"/>
              <w:snapToGrid w:val="false"/>
              <w:jc w:val="center"/>
              <w:rPr>
                <w:rFonts w:ascii="Arial" w:hAnsi="Arial" w:cs="Arial"/>
                <w:color w:val="000000"/>
                <w:sz w:val="18"/>
                <w:u w:val="single"/>
              </w:rPr>
            </w:pPr>
            <w:r>
              <w:rPr>
                <w:rFonts w:cs="Arial" w:ascii="Arial" w:hAnsi="Arial"/>
                <w:color w:val="000000"/>
                <w:sz w:val="18"/>
                <w:u w:val="single"/>
              </w:rPr>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63,205,600 </w:t>
            </w:r>
          </w:p>
        </w:tc>
      </w:tr>
    </w:tbl>
    <w:p>
      <w:pPr>
        <w:pStyle w:val="Normal"/>
        <w:rPr>
          <w:sz w:val="18"/>
        </w:rPr>
      </w:pPr>
      <w:r>
        <w:rPr>
          <w:sz w:val="18"/>
        </w:rPr>
      </w:r>
    </w:p>
    <w:p>
      <w:pPr>
        <w:pStyle w:val="Heading2"/>
        <w:widowControl/>
        <w:ind w:hanging="0" w:start="0" w:end="-36"/>
        <w:rPr>
          <w:i w:val="false"/>
          <w:i w:val="false"/>
          <w:sz w:val="16"/>
        </w:rPr>
      </w:pPr>
      <w:r>
        <w:rPr>
          <w:i w:val="false"/>
          <w:sz w:val="16"/>
        </w:rPr>
        <w:t xml:space="preserve">  </w:t>
      </w:r>
      <w:r>
        <w:rPr>
          <w:i w:val="false"/>
          <w:sz w:val="16"/>
        </w:rPr>
        <w:t>*15% due includes $500,000 paid on March 2, 2001, to hold the turbine order. Amount due on 22 March is $8,980,840.</w:t>
      </w:r>
    </w:p>
    <w:p>
      <w:pPr>
        <w:pStyle w:val="Heading2"/>
        <w:widowControl/>
        <w:ind w:hanging="0" w:start="0" w:end="-36"/>
        <w:rPr/>
      </w:pPr>
      <w:r>
        <w:rPr>
          <w:b w:val="false"/>
          <w:i w:val="false"/>
          <w:sz w:val="16"/>
        </w:rPr>
        <w:t>**</w:t>
      </w:r>
      <w:r>
        <w:rPr>
          <w:i w:val="false"/>
          <w:sz w:val="16"/>
        </w:rPr>
        <w:t>To be fully refunded by E-Next.</w:t>
      </w:r>
    </w:p>
    <w:p>
      <w:pPr>
        <w:pStyle w:val="Header"/>
        <w:widowControl/>
        <w:tabs>
          <w:tab w:val="clear" w:pos="4320"/>
          <w:tab w:val="clear" w:pos="8640"/>
        </w:tabs>
        <w:rPr>
          <w:i/>
          <w:i/>
          <w:sz w:val="16"/>
        </w:rPr>
      </w:pPr>
      <w:r>
        <w:rPr>
          <w:i/>
          <w:sz w:val="16"/>
        </w:rPr>
      </w:r>
    </w:p>
    <w:p>
      <w:pPr>
        <w:pStyle w:val="Heading2"/>
        <w:widowControl/>
        <w:pBdr>
          <w:top w:val="single" w:sz="8" w:space="1" w:color="000000"/>
        </w:pBdr>
        <w:ind w:hanging="0" w:start="0" w:end="-36"/>
        <w:rPr/>
      </w:pPr>
      <w:r>
        <w:rPr>
          <w:i w:val="false"/>
        </w:rPr>
        <w:t>RETURN SUMMARY</w:t>
      </w:r>
      <w:r>
        <w:rPr>
          <w:i w:val="false"/>
          <w:color w:val="FF0000"/>
        </w:rPr>
        <w:t xml:space="preserve"> </w:t>
      </w:r>
    </w:p>
    <w:p>
      <w:pPr>
        <w:pStyle w:val="Normal"/>
        <w:rPr/>
      </w:pPr>
      <w:r>
        <w:rPr/>
        <w:t>Time swap results in nominal gain of $4,444,400.</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bl>
    <w:p>
      <w:pPr>
        <w:pStyle w:val="Normal"/>
        <w:rPr/>
      </w:pPr>
      <w:r>
        <w:rPr/>
      </w:r>
      <w:r>
        <w:br w:type="page"/>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t>This transaction should result in no change in Enron’s turbine position.</w:t>
      </w:r>
    </w:p>
    <w:p>
      <w:pPr>
        <w:pStyle w:val="Normal"/>
        <w:rPr/>
      </w:pPr>
      <w:r>
        <w:rPr/>
      </w:r>
    </w:p>
    <w:p>
      <w:pPr>
        <w:pStyle w:val="Normal"/>
        <w:rPr/>
      </w:pPr>
      <w:r>
        <w:rPr/>
        <w:t>The requested amount does not include interest-carry associated with E-Next’s financing of the existing turbines.  See attached FASH.</w:t>
      </w:r>
    </w:p>
    <w:p>
      <w:pPr>
        <w:pStyle w:val="Normal"/>
        <w:rPr/>
      </w:pPr>
      <w:r>
        <w:rPr/>
      </w:r>
    </w:p>
    <w:p>
      <w:pPr>
        <w:pStyle w:val="Normal"/>
        <w:rPr/>
      </w:pPr>
      <w:r>
        <w:rPr/>
        <w:t>Delta has signed the Purchase and Sale Agreement, subject to financing.</w:t>
      </w:r>
    </w:p>
    <w:p>
      <w:pPr>
        <w:pStyle w:val="Normal"/>
        <w:rPr/>
      </w:pPr>
      <w:r>
        <w:rPr/>
      </w:r>
    </w:p>
    <w:p>
      <w:pPr>
        <w:pStyle w:val="Normal"/>
        <w:rPr/>
      </w:pPr>
      <w:r>
        <w:rPr/>
        <w:t>John Hancock will be providing a Commitment Letter to Delta subject to final documentation.  Final documentation is expected to be executed in mid-April 2001.  Although the Commitment Letter does not provide 100% assurance that the transaction will close, there exist very few conditions to closing, suggesting a reasonably high probability of success.</w:t>
      </w:r>
    </w:p>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MILESTONES:</w:t>
      </w:r>
    </w:p>
    <w:p>
      <w:pPr>
        <w:pStyle w:val="Normal"/>
        <w:pBdr>
          <w:top w:val="single" w:sz="8" w:space="1" w:color="000000"/>
        </w:pBdr>
        <w:rPr>
          <w:b/>
        </w:rPr>
      </w:pPr>
      <w:r>
        <w:rPr>
          <w:b/>
        </w:rPr>
      </w:r>
    </w:p>
    <w:p>
      <w:pPr>
        <w:pStyle w:val="Normal"/>
        <w:pBdr>
          <w:top w:val="single" w:sz="8" w:space="1" w:color="000000"/>
        </w:pBdr>
        <w:rPr>
          <w:bCs/>
        </w:rPr>
      </w:pPr>
      <w:r>
        <w:rPr>
          <w:bCs/>
        </w:rPr>
        <w:t>1.  Notification of Closing on Sale</w:t>
        <w:tab/>
        <w:tab/>
        <w:tab/>
        <w:tab/>
        <w:tab/>
        <w:tab/>
        <w:tab/>
        <w:t>upon occurrence</w:t>
      </w:r>
    </w:p>
    <w:p>
      <w:pPr>
        <w:pStyle w:val="Normal"/>
        <w:pBdr>
          <w:top w:val="single" w:sz="8" w:space="1" w:color="000000"/>
        </w:pBdr>
        <w:rPr>
          <w:bCs/>
        </w:rPr>
      </w:pPr>
      <w:r>
        <w:rPr>
          <w:bCs/>
        </w:rPr>
        <w:t>2.  Notification of Closing on Purchase</w:t>
        <w:tab/>
        <w:tab/>
        <w:tab/>
        <w:tab/>
        <w:tab/>
        <w:tab/>
        <w:t>upon occurrence</w:t>
      </w:r>
    </w:p>
    <w:p>
      <w:pPr>
        <w:pStyle w:val="Normal"/>
        <w:pBdr>
          <w:top w:val="single" w:sz="8" w:space="1" w:color="000000"/>
        </w:pBdr>
        <w:rPr>
          <w:bCs/>
        </w:rPr>
      </w:pPr>
      <w:r>
        <w:rPr>
          <w:bCs/>
        </w:rPr>
        <w:t>3.  Exit Strategy for Turbines in lieu of sale</w:t>
        <w:tab/>
        <w:tab/>
        <w:tab/>
        <w:tab/>
        <w:tab/>
        <w:t>05/31/2001</w:t>
      </w:r>
    </w:p>
    <w:p>
      <w:pPr>
        <w:pStyle w:val="Header"/>
        <w:widowControl/>
        <w:tabs>
          <w:tab w:val="clear" w:pos="4320"/>
          <w:tab w:val="clear" w:pos="8640"/>
        </w:tabs>
        <w:rPr>
          <w:bCs/>
        </w:rPr>
      </w:pPr>
      <w:r>
        <w:rPr>
          <w:bCs/>
        </w:rPr>
      </w:r>
    </w:p>
    <w:p>
      <w:pPr>
        <w:pStyle w:val="Normal"/>
        <w:pBdr>
          <w:top w:val="single" w:sz="8" w:space="1" w:color="000000"/>
        </w:pBdr>
        <w:rPr>
          <w:b/>
        </w:rPr>
      </w:pPr>
      <w:r>
        <w:rPr>
          <w:b/>
        </w:rPr>
        <w:t>CONDITIONS PRECEDENT TO APPROVAL:</w:t>
      </w:r>
    </w:p>
    <w:p>
      <w:pPr>
        <w:pStyle w:val="Normal"/>
        <w:pBdr>
          <w:top w:val="single" w:sz="8" w:space="1" w:color="000000"/>
        </w:pBdr>
        <w:rPr>
          <w:b/>
        </w:rPr>
      </w:pPr>
      <w:r>
        <w:rPr>
          <w:b/>
        </w:rPr>
      </w:r>
    </w:p>
    <w:p>
      <w:pPr>
        <w:pStyle w:val="Normal"/>
        <w:pBdr>
          <w:top w:val="single" w:sz="8" w:space="1" w:color="000000"/>
        </w:pBdr>
        <w:rPr>
          <w:bCs/>
        </w:rPr>
      </w:pPr>
      <w:r>
        <w:rPr>
          <w:bCs/>
        </w:rPr>
        <w:t>1.  General Electric must consent to the sale configuration as presented herein.</w:t>
      </w:r>
    </w:p>
    <w:p>
      <w:pPr>
        <w:pStyle w:val="Normal"/>
        <w:pBdr>
          <w:top w:val="single" w:sz="8" w:space="1" w:color="000000"/>
        </w:pBdr>
        <w:rPr>
          <w:bCs/>
        </w:rPr>
      </w:pPr>
      <w:r>
        <w:rPr>
          <w:bCs/>
        </w:rPr>
        <w:t>2.  Receipt of Commitment Letter from John Hancock and/or its affiliates satisfactory to RAC indicating a firm offer to provide funding for the Delta Power acquisition of the turbines.</w:t>
      </w:r>
    </w:p>
    <w:p>
      <w:pPr>
        <w:pStyle w:val="Normal"/>
        <w:pBdr>
          <w:top w:val="single" w:sz="8" w:space="1" w:color="000000"/>
        </w:pBdr>
        <w:rPr>
          <w:bCs/>
        </w:rPr>
      </w:pPr>
      <w:r>
        <w:rPr>
          <w:bCs/>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270"/>
        <w:gridCol w:w="302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270" w:type="dxa"/>
            <w:tcBorders>
              <w:top w:val="single" w:sz="4" w:space="0" w:color="000000"/>
            </w:tcBorders>
            <w:vAlign w:val="bottom"/>
          </w:tcPr>
          <w:p>
            <w:pPr>
              <w:pStyle w:val="Normal"/>
              <w:keepNext w:val="true"/>
              <w:snapToGrid w:val="false"/>
              <w:rPr>
                <w:b/>
                <w:i/>
                <w:i/>
              </w:rPr>
            </w:pPr>
            <w:r>
              <w:rPr>
                <w:b/>
                <w:i/>
              </w:rPr>
            </w:r>
          </w:p>
        </w:tc>
        <w:tc>
          <w:tcPr>
            <w:tcW w:w="302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West Origination</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Jake Thomas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 Mgmt</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Chris Sherman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John Lavaroto/Louise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Legal</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Executive</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RAC</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Executive</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/mnt/main-storage/datasets/enron-docs/doc/DASH_LVTurbineSwap_033001-79ea621511fcb2fbc725b50b4aeebc988ff36f0f9c8641c534cebbfa7795f345.doc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RAC Deal Approval Sheet                                                                           Deal Name:  LV Cogen Turbine Swap (4x Long)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style>
  <w:style w:type="character" w:styleId="WW8Num4z0">
    <w:name w:val="WW8Num4z0"/>
    <w:qFormat/>
    <w:rPr>
      <w:rFonts w:ascii="Symbol" w:hAnsi="Symbol" w:cs="Symbol"/>
    </w:rPr>
  </w:style>
  <w:style w:type="character" w:styleId="WW8Num6z0">
    <w:name w:val="WW8Num6z0"/>
    <w:qFormat/>
    <w:rPr>
      <w:b w:val="false"/>
      <w:i w:val="false"/>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4z0">
    <w:name w:val="WW8Num34z0"/>
    <w:qFormat/>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2001-03-30T14:03:00Z</dcterms:created>
  <dc:creator>mruane</dc:creator>
  <dc:description>MR: 9-20-99 added tax signoff</dc:description>
  <dc:language>en-CA</dc:language>
  <cp:lastModifiedBy>cschneid</cp:lastModifiedBy>
  <cp:lastPrinted>2001-03-01T18:10:00Z</cp:lastPrinted>
  <dcterms:modified xsi:type="dcterms:W3CDTF">2001-03-30T14:03:00Z</dcterms:modified>
  <cp:revision>2</cp:revision>
  <dc:subject/>
  <dc:title>ENRON RISK ASSESSMENT AND CONTROL</dc:title>
</cp:coreProperties>
</file>