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rPr>
      </w:pPr>
      <w:r>
        <w:fldChar w:fldCharType="begin">
          <w:ffData>
            <w:name w:val="Dropdown9"/>
            <w:enabled/>
            <w:ddList>
              <w:result w:val="4"/>
              <w:listEntry w:val="SELECT DEAL TYPE"/>
              <w:listEntry w:val="NEW DEAL"/>
              <w:listEntry w:val="SUBSEQUENT INVESTMENT"/>
              <w:listEntry w:val="AMENDMENT"/>
              <w:listEntry w:val="DIVESTITURE"/>
            </w:ddList>
          </w:ffData>
        </w:fldChar>
      </w:r>
      <w:r>
        <w:rPr>
          <w:b/>
          <w:rFonts w:cs="Arial" w:ascii="Arial" w:hAnsi="Arial"/>
        </w:rPr>
        <w:instrText xml:space="preserve"> FORMDROPDOWN </w:instrText>
      </w:r>
      <w:r>
        <w:rPr>
          <w:b/>
          <w:rFonts w:cs="Arial" w:ascii="Arial" w:hAnsi="Arial"/>
        </w:rPr>
        <w:fldChar w:fldCharType="separate"/>
      </w:r>
      <w:bookmarkStart w:id="0" w:name="Dropdown9"/>
      <w:bookmarkStart w:id="1" w:name="Dropdown9"/>
      <w:bookmarkEnd w:id="1"/>
      <w:r/>
      <w:r>
        <w:rPr>
          <w:b/>
          <w:rFonts w:cs="Arial" w:ascii="Arial" w:hAnsi="Arial"/>
        </w:rPr>
        <w:fldChar w:fldCharType="end"/>
      </w:r>
      <w:r>
        <w:rPr>
          <w:rFonts w:cs="Arial" w:ascii="Arial" w:hAnsi="Arial"/>
          <w:b/>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ind w:end="-14"/>
              <w:rPr>
                <w:rFonts w:ascii="Arial" w:hAnsi="Arial" w:cs="Arial"/>
                <w:b/>
                <w:sz w:val="20"/>
              </w:rPr>
            </w:pPr>
            <w:r>
              <w:rPr>
                <w:rFonts w:cs="Arial" w:ascii="Arial" w:hAnsi="Arial"/>
                <w:b/>
                <w:sz w:val="20"/>
              </w:rPr>
              <w:t>DEAL NAME:</w:t>
            </w:r>
          </w:p>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Jupiter Equity Call</w:t>
            </w:r>
            <w:r/>
            <w:r>
              <w:rPr>
                <w:sz w:val="20"/>
                <w:b/>
                <w:rFonts w:cs="Arial" w:ascii="Arial" w:hAnsi="Arial"/>
                <w:lang w:val="en-CA" w:eastAsia="en-CA"/>
              </w:rPr>
              <w:fldChar w:fldCharType="end"/>
            </w:r>
            <w:r>
              <w:rPr>
                <w:rFonts w:cs="Arial" w:ascii="Arial" w:hAnsi="Arial"/>
                <w:b/>
                <w:sz w:val="20"/>
                <w:lang w:val="en-CA" w:eastAsia="en-CA"/>
              </w:rPr>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rFonts w:ascii="Arial" w:hAnsi="Arial" w:cs="Arial"/>
                <w:b/>
              </w:rPr>
            </w:pPr>
            <w:r>
              <w:rPr>
                <w:rFonts w:cs="Arial" w:ascii="Arial" w:hAnsi="Arial"/>
              </w:rPr>
              <w:t>Counterparty:</w:t>
            </w:r>
          </w:p>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Chris Cline</w:t>
            </w:r>
            <w:r/>
            <w:r>
              <w:rPr>
                <w:sz w:val="20"/>
                <w:b/>
                <w:rFonts w:cs="Arial" w:ascii="Arial" w:hAnsi="Arial"/>
                <w:lang w:val="en-CA" w:eastAsia="en-CA"/>
              </w:rPr>
              <w:fldChar w:fldCharType="end"/>
            </w:r>
            <w:r>
              <w:rPr>
                <w:rFonts w:cs="Arial" w:ascii="Arial" w:hAnsi="Arial"/>
                <w:b/>
                <w:sz w:val="20"/>
                <w:lang w:val="en-CA" w:eastAsia="en-CA"/>
              </w:rPr>
            </w:r>
          </w:p>
          <w:p>
            <w:pPr>
              <w:pStyle w:val="Normal"/>
              <w:rPr>
                <w:rFonts w:ascii="Arial" w:hAnsi="Arial" w:cs="Arial"/>
                <w:b/>
                <w:sz w:val="20"/>
              </w:rPr>
            </w:pPr>
            <w:r>
              <w:rPr>
                <w:rFonts w:cs="Arial" w:ascii="Arial" w:hAnsi="Arial"/>
                <w:b/>
                <w:sz w:val="20"/>
              </w:rPr>
            </w:r>
          </w:p>
          <w:p>
            <w:pPr>
              <w:pStyle w:val="Normal"/>
              <w:ind w:end="-738"/>
              <w:rPr>
                <w:rFonts w:ascii="Arial" w:hAnsi="Arial" w:cs="Arial"/>
                <w:color w:val="0000FF"/>
                <w:sz w:val="20"/>
              </w:rPr>
            </w:pPr>
            <w:r>
              <w:rPr>
                <w:rFonts w:cs="Arial" w:ascii="Arial" w:hAnsi="Arial"/>
                <w:color w:val="0000FF"/>
                <w:sz w:val="20"/>
              </w:rPr>
              <w:t>Business Unit:</w:t>
            </w:r>
          </w:p>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Asset Services"/>
                    <w:listEntry w:val="Enron Energy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 xml:space="preserve">Business Unit Originator: </w:t>
            </w:r>
          </w:p>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Mike Beyer</w:t>
            </w:r>
            <w:r/>
            <w:r>
              <w:rPr>
                <w:sz w:val="20"/>
                <w:rFonts w:cs="Arial" w:ascii="Arial" w:hAnsi="Arial"/>
                <w:lang w:val="en-CA" w:eastAsia="en-CA"/>
              </w:rPr>
              <w:fldChar w:fldCharType="end"/>
            </w:r>
            <w:r>
              <w:rPr>
                <w:rFonts w:cs="Arial" w:ascii="Arial" w:hAnsi="Arial"/>
                <w:sz w:val="20"/>
                <w:lang w:val="en-CA" w:eastAsia="en-CA"/>
              </w:rPr>
            </w:r>
          </w:p>
          <w:p>
            <w:pPr>
              <w:pStyle w:val="Normal"/>
              <w:rPr>
                <w:rFonts w:ascii="Arial" w:hAnsi="Arial" w:cs="Arial"/>
                <w:b/>
                <w:sz w:val="20"/>
              </w:rPr>
            </w:pPr>
            <w:r>
              <w:rPr>
                <w:rFonts w:cs="Arial" w:ascii="Arial" w:hAnsi="Arial"/>
                <w:b/>
                <w:sz w:val="20"/>
              </w:rPr>
            </w:r>
          </w:p>
          <w:p>
            <w:pPr>
              <w:pStyle w:val="Normal"/>
              <w:ind w:end="-14"/>
              <w:rPr>
                <w:rFonts w:ascii="Arial" w:hAnsi="Arial" w:cs="Arial"/>
                <w:b/>
                <w:color w:val="0000FF"/>
                <w:sz w:val="20"/>
              </w:rPr>
            </w:pPr>
            <w:r>
              <w:rPr>
                <w:rFonts w:cs="Arial" w:ascii="Arial" w:hAnsi="Arial"/>
                <w:color w:val="0000FF"/>
                <w:sz w:val="20"/>
              </w:rPr>
              <w:t>Industry:</w:t>
            </w:r>
          </w:p>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Energy-Coal</w:t>
            </w:r>
            <w:r/>
            <w:r>
              <w:rPr>
                <w:sz w:val="18"/>
                <w:rFonts w:cs="Arial" w:ascii="Arial" w:hAnsi="Arial"/>
                <w:lang w:val="en-CA" w:eastAsia="en-CA"/>
              </w:rPr>
              <w:fldChar w:fldCharType="end"/>
            </w:r>
            <w:r>
              <w:rPr>
                <w:rFonts w:cs="Arial" w:ascii="Arial" w:hAnsi="Arial"/>
                <w:sz w:val="18"/>
                <w:lang w:val="en-CA" w:eastAsia="en-CA"/>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This Transaction:</w:t>
            </w:r>
          </w:p>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firstLine="90" w:start="-198" w:end="-738"/>
              <w:rPr>
                <w:rFonts w:ascii="Arial" w:hAnsi="Arial" w:cs="Arial"/>
                <w:b/>
                <w:sz w:val="20"/>
              </w:rPr>
            </w:pPr>
            <w:r>
              <w:rPr>
                <w:rFonts w:cs="Arial" w:ascii="Arial" w:hAnsi="Arial"/>
                <w:b/>
                <w:sz w:val="20"/>
              </w:rPr>
            </w:r>
          </w:p>
        </w:tc>
        <w:tc>
          <w:tcPr>
            <w:tcW w:w="5040" w:type="dxa"/>
            <w:tcBorders>
              <w:top w:val="single" w:sz="8" w:space="0" w:color="000000"/>
            </w:tcBorders>
          </w:tcPr>
          <w:p>
            <w:pPr>
              <w:pStyle w:val="Normal"/>
              <w:ind w:end="-738"/>
              <w:rPr>
                <w:rFonts w:ascii="Arial" w:hAnsi="Arial" w:cs="Arial"/>
                <w:sz w:val="20"/>
              </w:rPr>
            </w:pPr>
            <w:r>
              <w:rPr>
                <w:rFonts w:cs="Arial" w:ascii="Arial" w:hAnsi="Arial"/>
                <w:sz w:val="20"/>
              </w:rPr>
              <w:t>Date DASH Completed:</w:t>
            </w:r>
          </w:p>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17, 2001</w:t>
            </w:r>
            <w:r/>
            <w:r>
              <w:rPr>
                <w:sz w:val="20"/>
                <w:rFonts w:cs="Arial" w:ascii="Arial" w:hAnsi="Arial"/>
                <w:lang w:val="en-CA" w:eastAsia="en-CA"/>
              </w:rPr>
              <w:fldChar w:fldCharType="end"/>
            </w:r>
            <w:r>
              <w:rPr>
                <w:rFonts w:cs="Arial" w:ascii="Arial" w:hAnsi="Arial"/>
                <w:sz w:val="20"/>
                <w:lang w:val="en-CA" w:eastAsia="en-CA"/>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RAC Underwriter:</w:t>
            </w:r>
          </w:p>
          <w:p>
            <w:pPr>
              <w:pStyle w:val="Normal"/>
              <w:ind w:end="-738"/>
              <w:rPr>
                <w:rFonts w:ascii="Arial" w:hAnsi="Arial" w:cs="Arial"/>
                <w:sz w:val="20"/>
              </w:rPr>
            </w:pPr>
            <w:r>
              <w:fldChar w:fldCharType="begin">
                <w:ffData>
                  <w:name w:val="Dropdown7"/>
                  <w:enabled/>
                  <w:ddList>
                    <w:result w:val="2"/>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RAC Analyst:</w:t>
            </w:r>
          </w:p>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Transaction Type:</w:t>
            </w:r>
          </w:p>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Capital Funding Source:</w:t>
            </w:r>
          </w:p>
          <w:p>
            <w:pPr>
              <w:pStyle w:val="Normal"/>
              <w:ind w:end="-738"/>
              <w:rPr>
                <w:rFonts w:ascii="Arial" w:hAnsi="Arial" w:cs="Arial"/>
                <w:color w:val="0000FF"/>
                <w:sz w:val="20"/>
              </w:rPr>
            </w:pPr>
            <w:r>
              <w:fldChar w:fldCharType="begin">
                <w:ffData>
                  <w:name w:val="Dropdown2"/>
                  <w:enabled/>
                  <w:ddList>
                    <w:result w:val="5"/>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Country:</w:t>
            </w:r>
          </w:p>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Closing Date:</w:t>
            </w:r>
          </w:p>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22, 2001</w:t>
            </w:r>
            <w:r/>
            <w:r>
              <w:rPr>
                <w:sz w:val="20"/>
                <w:rFonts w:cs="Arial" w:ascii="Arial" w:hAnsi="Arial"/>
                <w:lang w:val="en-CA" w:eastAsia="en-CA"/>
              </w:rPr>
              <w:fldChar w:fldCharType="end"/>
            </w:r>
            <w:r>
              <w:rPr>
                <w:rFonts w:cs="Arial" w:ascii="Arial" w:hAnsi="Arial"/>
                <w:sz w:val="20"/>
                <w:lang w:val="en-CA" w:eastAsia="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Funding Date:</w:t>
            </w:r>
          </w:p>
          <w:p>
            <w:pPr>
              <w:pStyle w:val="Normal"/>
              <w:ind w:end="-738"/>
              <w:rPr>
                <w:rFonts w:ascii="Arial" w:hAnsi="Arial" w:cs="Arial"/>
                <w:sz w:val="20"/>
              </w:rPr>
            </w:pPr>
            <w:r>
              <w:fldChar w:fldCharType="begin">
                <w:ffData>
                  <w:name w:val="Text7"/>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0"/>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rPr>
      </w:pPr>
      <w:r>
        <w:rPr>
          <w:rFonts w:cs="Arial" w:ascii="Arial" w:hAnsi="Arial"/>
        </w:rPr>
        <w:t>EXPOSURE SUMMARY ($000s)</w:t>
        <w:tab/>
        <w:tab/>
        <w:tab/>
        <w:t xml:space="preserve">    </w:t>
      </w:r>
      <w:r>
        <w:rPr>
          <w:rFonts w:cs="Arial" w:ascii="Arial" w:hAnsi="Arial"/>
          <w:u w:val="single"/>
        </w:rPr>
        <w:t>Equity</w:t>
      </w:r>
      <w:r>
        <w:rPr>
          <w:rFonts w:cs="Arial" w:ascii="Arial" w:hAnsi="Arial"/>
        </w:rPr>
        <w:tab/>
      </w:r>
      <w:r>
        <w:rPr>
          <w:rFonts w:cs="Arial" w:ascii="Arial" w:hAnsi="Arial"/>
          <w:u w:val="single"/>
        </w:rPr>
        <w:t>Debt</w:t>
      </w:r>
      <w:r>
        <w:rPr>
          <w:rFonts w:cs="Arial" w:ascii="Arial" w:hAnsi="Arial"/>
        </w:rPr>
        <w:tab/>
        <w:t xml:space="preserve">        </w:t>
      </w:r>
      <w:r>
        <w:rPr>
          <w:rFonts w:cs="Arial" w:ascii="Arial" w:hAnsi="Arial"/>
          <w:u w:val="single"/>
        </w:rPr>
        <w:t>Total</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  (8,834)</w:t>
            </w:r>
          </w:p>
        </w:tc>
        <w:tc>
          <w:tcPr>
            <w:tcW w:w="433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$(16,000)    $   (24,834)</w:t>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center"/>
              <w:rPr/>
            </w:pPr>
            <w:r>
              <w:rPr>
                <w:rFonts w:eastAsia="Arial" w:cs="Arial" w:ascii="Arial" w:hAnsi="Arial"/>
                <w:sz w:val="20"/>
              </w:rPr>
              <w:t xml:space="preserve">    </w:t>
            </w:r>
            <w:r>
              <w:rPr>
                <w:rFonts w:cs="Arial" w:ascii="Arial" w:hAnsi="Arial"/>
                <w:sz w:val="20"/>
                <w:u w:val="single"/>
              </w:rPr>
              <w:t>$    8,834</w:t>
            </w:r>
          </w:p>
        </w:tc>
        <w:tc>
          <w:tcPr>
            <w:tcW w:w="433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u w:val="single"/>
              </w:rPr>
              <w:t>16,000</w:t>
            </w:r>
            <w:r>
              <w:rPr>
                <w:rFonts w:cs="Arial" w:ascii="Arial" w:hAnsi="Arial"/>
                <w:sz w:val="20"/>
              </w:rPr>
              <w:t xml:space="preserve"> *    </w:t>
            </w:r>
            <w:r>
              <w:rPr>
                <w:rFonts w:cs="Arial" w:ascii="Arial" w:hAnsi="Arial"/>
                <w:sz w:val="20"/>
                <w:u w:val="single"/>
              </w:rPr>
              <w:t>$   24,434</w:t>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ind w:end="-36"/>
              <w:rPr>
                <w:rFonts w:ascii="Arial" w:hAnsi="Arial" w:eastAsia="Arial" w:cs="Arial"/>
                <w:sz w:val="20"/>
                <w:u w:val="single"/>
              </w:rPr>
            </w:pPr>
            <w:r>
              <w:rPr>
                <w:rFonts w:eastAsia="Arial" w:cs="Arial" w:ascii="Arial" w:hAnsi="Arial"/>
                <w:sz w:val="20"/>
                <w:u w:val="single"/>
              </w:rPr>
              <w:t xml:space="preserve">                              </w:t>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bottom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$8,834</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 xml:space="preserve">0       </w:t>
            </w:r>
          </w:p>
        </w:tc>
        <w:tc>
          <w:tcPr>
            <w:tcW w:w="433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     0        $       0</w:t>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op w:val="single" w:sz="4" w:space="0" w:color="000000"/>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t>* Note: Amount drawn under the $16,000,000 loan commitment as of May 17, 2001 is $9,639,000.</w:t>
      </w:r>
    </w:p>
    <w:p>
      <w:pPr>
        <w:pStyle w:val="Normal"/>
        <w:ind w:end="-36"/>
        <w:rPr>
          <w:rFonts w:ascii="Arial" w:hAnsi="Arial" w:cs="Arial"/>
          <w:sz w:val="20"/>
        </w:rPr>
      </w:pPr>
      <w:r>
        <w:rPr>
          <w:rFonts w:cs="Arial" w:ascii="Arial" w:hAnsi="Arial"/>
          <w:sz w:val="20"/>
        </w:rPr>
      </w:r>
    </w:p>
    <w:p>
      <w:pPr>
        <w:pStyle w:val="Normal"/>
        <w:rPr>
          <w:rFonts w:ascii="Arial" w:hAnsi="Arial" w:cs="Arial"/>
          <w:vanish/>
          <w:sz w:val="20"/>
        </w:rPr>
      </w:pPr>
      <w:r>
        <w:rPr>
          <w:rFonts w:cs="Arial" w:ascii="Arial" w:hAnsi="Arial"/>
          <w:b/>
          <w:sz w:val="20"/>
        </w:rPr>
        <w:t xml:space="preserve">DEAL DESCRIPTION:  </w:t>
      </w:r>
      <w:r>
        <w:rPr>
          <w:rFonts w:cs="Arial" w:ascii="Arial" w:hAnsi="Arial"/>
          <w:sz w:val="20"/>
        </w:rPr>
        <w:t xml:space="preserve">In December 1999, EGM/Jedi II invested $10 million for the marketing rights and IPCs equal to 10% of the Free Cash Flow from Jupiter LLC.  The investment also included a $16.0 million loan commitment from EGM/Jedi II to fund development and finance equipment. </w:t>
      </w:r>
    </w:p>
    <w:p>
      <w:pPr>
        <w:pStyle w:val="Normal"/>
        <w:rPr>
          <w:rFonts w:ascii="Arial" w:hAnsi="Arial" w:cs="Arial"/>
          <w:vanish/>
          <w:sz w:val="20"/>
        </w:rPr>
      </w:pPr>
      <w:r>
        <w:rPr>
          <w:rFonts w:eastAsia="Arial" w:cs="Arial" w:ascii="Arial" w:hAnsi="Arial"/>
          <w:sz w:val="20"/>
        </w:rPr>
        <w:t xml:space="preserve">  </w:t>
      </w:r>
      <w:r>
        <w:rPr>
          <w:rFonts w:cs="Arial" w:ascii="Arial" w:hAnsi="Arial"/>
          <w:sz w:val="20"/>
        </w:rPr>
        <w:t>In February 2000, development was suspended to allow negotiations with Massey Energy for a three party joint venture including the Jupiter property and adjacent properties owned by Massey. Those negotiations were unsuccessful and were terminated. Development was restarted in December 2000,</w:t>
      </w:r>
    </w:p>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and is expected to be completed in July 2001.  Raw coal production commenced last month.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The owner of Jupiter, Christopher Cline, is currently attempting to refinance his coal operations including Jupiter, LLC and Panther, LLC.  As part of the refinancing, ArcLight Energy Partners, Fund I LP, a New York investment fund, has offered to acquire a 32.5% interest in Jupiter cash flow for $8.0 million.  EGM/Jedi II have the right to “tag along” on any sale of Jupiter equity.  Cline is concerned that we will complicate the transaction with additional requirements to our tag along rights.  In order to prevent a delay in the proposed refinancing, Cline has proposed the purchase of a call option on EGM/Jedi II’s Jupiter IPCs.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proposed transaction is as follows:</w:t>
      </w:r>
    </w:p>
    <w:p>
      <w:pPr>
        <w:pStyle w:val="Normal"/>
        <w:rPr>
          <w:rFonts w:ascii="Arial" w:hAnsi="Arial" w:cs="Arial"/>
          <w:sz w:val="20"/>
        </w:rPr>
      </w:pPr>
      <w:r>
        <w:rPr>
          <w:rFonts w:cs="Arial" w:ascii="Arial" w:hAnsi="Arial"/>
          <w:sz w:val="20"/>
        </w:rPr>
      </w:r>
    </w:p>
    <w:p>
      <w:pPr>
        <w:pStyle w:val="Normal"/>
        <w:numPr>
          <w:ilvl w:val="0"/>
          <w:numId w:val="9"/>
        </w:numPr>
        <w:rPr>
          <w:rFonts w:ascii="Arial" w:hAnsi="Arial" w:cs="Arial"/>
          <w:sz w:val="20"/>
        </w:rPr>
      </w:pPr>
      <w:r>
        <w:rPr>
          <w:rFonts w:cs="Arial" w:ascii="Arial" w:hAnsi="Arial"/>
          <w:sz w:val="20"/>
        </w:rPr>
        <w:t xml:space="preserve">EGM/Jedi II would grant Jupiter, LLC an option to purchase all EGM/Jedi II IPCs for $5.0 million. </w:t>
      </w:r>
    </w:p>
    <w:p>
      <w:pPr>
        <w:pStyle w:val="Normal"/>
        <w:numPr>
          <w:ilvl w:val="0"/>
          <w:numId w:val="9"/>
        </w:numPr>
        <w:rPr>
          <w:rFonts w:ascii="Arial" w:hAnsi="Arial" w:cs="Arial"/>
          <w:sz w:val="20"/>
        </w:rPr>
      </w:pPr>
      <w:r>
        <w:rPr>
          <w:rFonts w:cs="Arial" w:ascii="Arial" w:hAnsi="Arial"/>
          <w:sz w:val="20"/>
        </w:rPr>
        <w:t xml:space="preserve">The option would be exercisable on or before August 22, 2001, only if Jupiter’s EGM/Jedi II debt is repaid and terminated, if Panther’s EGM/Jedi II debt is repaid and terminated, and if the Shrewsbury Dock Option, which is part of the DPR Accelerated Put transaction, is amended to include a commitment by Cline to install rail capability at Shrewsbury Dock by 12/31/02.  </w:t>
      </w:r>
    </w:p>
    <w:p>
      <w:pPr>
        <w:pStyle w:val="Normal"/>
        <w:numPr>
          <w:ilvl w:val="0"/>
          <w:numId w:val="9"/>
        </w:numPr>
        <w:rPr>
          <w:rFonts w:ascii="Arial" w:hAnsi="Arial" w:cs="Arial"/>
          <w:sz w:val="20"/>
        </w:rPr>
      </w:pPr>
      <w:r>
        <w:rPr>
          <w:rFonts w:cs="Arial" w:ascii="Arial" w:hAnsi="Arial"/>
          <w:sz w:val="20"/>
        </w:rPr>
        <w:t xml:space="preserve">The Jupiter marketing agreement would survive the exercise of the equity call. </w:t>
      </w:r>
    </w:p>
    <w:p>
      <w:pPr>
        <w:pStyle w:val="Normal"/>
        <w:numPr>
          <w:ilvl w:val="0"/>
          <w:numId w:val="9"/>
        </w:numPr>
        <w:rPr>
          <w:rFonts w:ascii="Arial" w:hAnsi="Arial" w:cs="Arial"/>
          <w:sz w:val="20"/>
        </w:rPr>
      </w:pPr>
      <w:r>
        <w:rPr>
          <w:rFonts w:cs="Arial" w:ascii="Arial" w:hAnsi="Arial"/>
          <w:sz w:val="20"/>
        </w:rPr>
        <w:t>As consideration for the call option, Jupiter would sell EGM 200,000 tons of coal at $38 per ton, which is currently at least $5.00 below market.</w:t>
      </w:r>
    </w:p>
    <w:p>
      <w:pPr>
        <w:pStyle w:val="Normal"/>
        <w:rPr>
          <w:rFonts w:ascii="Arial" w:hAnsi="Arial" w:cs="Arial"/>
          <w:sz w:val="20"/>
        </w:rPr>
      </w:pPr>
      <w:r>
        <w:rPr>
          <w:rFonts w:cs="Arial" w:ascii="Arial" w:hAnsi="Arial"/>
          <w:sz w:val="20"/>
        </w:rPr>
      </w:r>
    </w:p>
    <w:p>
      <w:pPr>
        <w:pStyle w:val="BodyText2"/>
        <w:rPr>
          <w:b w:val="false"/>
        </w:rPr>
      </w:pPr>
      <w:r>
        <w:rPr>
          <w:b w:val="false"/>
        </w:rPr>
        <w:t>Although the proposed $6.0 million consideration for the equity call is less than the existing Mark to Market value of $8.8 million and less than the original investment of $10 million, this transaction is recommended for the following reasons:</w:t>
      </w:r>
    </w:p>
    <w:p>
      <w:pPr>
        <w:pStyle w:val="BodyText2"/>
        <w:rPr>
          <w:b w:val="false"/>
        </w:rPr>
      </w:pPr>
      <w:r>
        <w:rPr>
          <w:b w:val="false"/>
        </w:rPr>
      </w:r>
    </w:p>
    <w:p>
      <w:pPr>
        <w:pStyle w:val="BodyText2"/>
        <w:numPr>
          <w:ilvl w:val="0"/>
          <w:numId w:val="4"/>
        </w:numPr>
        <w:rPr>
          <w:b w:val="false"/>
        </w:rPr>
      </w:pPr>
      <w:r>
        <w:rPr>
          <w:b w:val="false"/>
        </w:rPr>
        <w:t>The original investment of $10 million was based on an equity value of $5.4 million and an $8.8 million Marked to Market value for marketing fees.  The $6.0 million consideration, therefore, exceeds the initial equity value.</w:t>
      </w:r>
    </w:p>
    <w:p>
      <w:pPr>
        <w:pStyle w:val="BodyText2"/>
        <w:numPr>
          <w:ilvl w:val="0"/>
          <w:numId w:val="4"/>
        </w:numPr>
        <w:rPr/>
      </w:pPr>
      <w:r>
        <w:rPr>
          <w:b w:val="false"/>
        </w:rPr>
        <w:t>EGM/Jedi II’s original $26 million capital risk exposure is reduced by $21 million.</w:t>
      </w:r>
    </w:p>
    <w:p>
      <w:pPr>
        <w:pStyle w:val="BodyText2"/>
        <w:numPr>
          <w:ilvl w:val="0"/>
          <w:numId w:val="4"/>
        </w:numPr>
        <w:rPr>
          <w:b w:val="false"/>
        </w:rPr>
      </w:pPr>
      <w:r>
        <w:rPr>
          <w:b w:val="false"/>
        </w:rPr>
        <w:t>EGM will have marketing rights for the life of the property.</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3510"/>
        <w:gridCol w:w="1080"/>
        <w:gridCol w:w="540"/>
        <w:gridCol w:w="3060"/>
        <w:gridCol w:w="990"/>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Pr>
          <w:p>
            <w:pPr>
              <w:pStyle w:val="Normal"/>
              <w:snapToGrid w:val="false"/>
              <w:jc w:val="end"/>
              <w:rPr>
                <w:rFonts w:ascii="Arial" w:hAnsi="Arial" w:cs="Arial"/>
                <w:sz w:val="20"/>
                <w:u w:val="single"/>
              </w:rPr>
            </w:pPr>
            <w:r>
              <w:rPr>
                <w:rFonts w:cs="Arial" w:ascii="Arial" w:hAnsi="Arial"/>
                <w:sz w:val="20"/>
                <w:u w:val="single"/>
              </w:rPr>
            </w:r>
          </w:p>
        </w:tc>
        <w:tc>
          <w:tcPr>
            <w:tcW w:w="990"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Normal"/>
              <w:rPr>
                <w:rFonts w:ascii="Arial" w:hAnsi="Arial" w:cs="Arial"/>
                <w:sz w:val="20"/>
              </w:rPr>
            </w:pPr>
            <w:r>
              <w:rPr>
                <w:rFonts w:cs="Arial" w:ascii="Arial" w:hAnsi="Arial"/>
                <w:sz w:val="20"/>
              </w:rPr>
              <w:t>Non-Recourse Debt</w:t>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EPC</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Enron Equity</w:t>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Transaction Costs</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Contingency</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Other</w:t>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Normal"/>
              <w:snapToGrid w:val="false"/>
              <w:jc w:val="end"/>
              <w:rPr>
                <w:rFonts w:ascii="Arial" w:hAnsi="Arial" w:cs="Arial"/>
                <w:sz w:val="20"/>
              </w:rPr>
            </w:pPr>
            <w:r>
              <w:rPr>
                <w:rFonts w:cs="Arial" w:ascii="Arial" w:hAnsi="Arial"/>
                <w:sz w:val="20"/>
              </w:rPr>
            </w:r>
          </w:p>
        </w:tc>
        <w:tc>
          <w:tcPr>
            <w:tcW w:w="99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bl>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sz w:val="20"/>
              </w:rPr>
            </w:pPr>
            <w:r>
              <w:rPr>
                <w:rFonts w:cs="Arial" w:ascii="Arial" w:hAnsi="Arial"/>
                <w:b/>
                <w:sz w:val="20"/>
              </w:rPr>
              <w:t xml:space="preserve">RETURN SUMMARY (000)  </w:t>
            </w:r>
          </w:p>
          <w:p>
            <w:pPr>
              <w:pStyle w:val="Normal"/>
              <w:rPr>
                <w:rFonts w:ascii="Arial" w:hAnsi="Arial" w:cs="Arial"/>
                <w:b/>
                <w:sz w:val="20"/>
              </w:rPr>
            </w:pPr>
            <w:r>
              <w:rPr>
                <w:rFonts w:cs="Arial" w:ascii="Arial" w:hAnsi="Arial"/>
                <w:b/>
                <w:sz w:val="20"/>
              </w:rPr>
            </w:r>
          </w:p>
          <w:p>
            <w:pPr>
              <w:pStyle w:val="Normal"/>
              <w:rPr>
                <w:rFonts w:ascii="Arial" w:hAnsi="Arial" w:cs="Arial"/>
                <w:b/>
                <w:i/>
                <w:i/>
                <w:sz w:val="20"/>
                <w:u w:val="single"/>
              </w:rPr>
            </w:pPr>
            <w:r>
              <w:rPr>
                <w:rFonts w:eastAsia="Arial" w:cs="Arial" w:ascii="Arial" w:hAnsi="Arial"/>
                <w:sz w:val="20"/>
              </w:rPr>
              <w:t xml:space="preserve">                 </w:t>
            </w:r>
            <w:r>
              <w:rPr>
                <w:rFonts w:cs="Arial" w:ascii="Arial" w:hAnsi="Arial"/>
                <w:b/>
                <w:sz w:val="20"/>
              </w:rPr>
              <w:t>See attached schedule.</w:t>
            </w:r>
          </w:p>
        </w:tc>
        <w:tc>
          <w:tcPr>
            <w:tcW w:w="4414" w:type="dxa"/>
            <w:tcBorders/>
          </w:tcPr>
          <w:p>
            <w:pPr>
              <w:pStyle w:val="Normal"/>
              <w:jc w:val="end"/>
              <w:rPr>
                <w:rFonts w:ascii="Arial" w:hAnsi="Arial" w:cs="Arial"/>
                <w:sz w:val="20"/>
              </w:rPr>
            </w:pPr>
            <w:r>
              <w:rPr>
                <w:rFonts w:cs="Arial" w:ascii="Arial" w:hAnsi="Arial"/>
                <w:sz w:val="20"/>
              </w:rPr>
              <w:t>Specify Levered or Unlevered</w:t>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360" w:hRule="atLeast"/>
        </w:trPr>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306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9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Risk free rate (%):</w:t>
            </w:r>
          </w:p>
        </w:tc>
        <w:tc>
          <w:tcPr>
            <w:tcW w:w="990" w:type="dxa"/>
            <w:tcBorders/>
          </w:tcPr>
          <w:p>
            <w:pPr>
              <w:pStyle w:val="Normal"/>
              <w:snapToGrid w:val="false"/>
              <w:ind w:end="-69"/>
              <w:jc w:val="end"/>
              <w:rPr>
                <w:rFonts w:ascii="Arial" w:hAnsi="Arial" w:cs="Arial"/>
                <w:b w:val="false"/>
                <w:sz w:val="20"/>
              </w:rPr>
            </w:pPr>
            <w:r>
              <w:rPr>
                <w:rFonts w:cs="Arial" w:ascii="Arial" w:hAnsi="Arial"/>
                <w:b w:val="false"/>
                <w:sz w:val="20"/>
              </w:rPr>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Marketing Fees</w:t>
            </w:r>
          </w:p>
        </w:tc>
        <w:tc>
          <w:tcPr>
            <w:tcW w:w="1260" w:type="dxa"/>
            <w:tcBorders/>
          </w:tcPr>
          <w:p>
            <w:pPr>
              <w:pStyle w:val="Normal"/>
              <w:jc w:val="end"/>
              <w:rPr>
                <w:rFonts w:ascii="Arial" w:hAnsi="Arial" w:eastAsia="Arial" w:cs="Arial"/>
                <w:sz w:val="20"/>
              </w:rPr>
            </w:pPr>
            <w:r>
              <w:rPr>
                <w:rFonts w:eastAsia="Arial" w:cs="Arial" w:ascii="Arial" w:hAnsi="Arial"/>
                <w:sz w:val="20"/>
              </w:rPr>
              <w:t xml:space="preserve">       </w:t>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Equity Premium (%):</w:t>
            </w:r>
          </w:p>
        </w:tc>
        <w:tc>
          <w:tcPr>
            <w:tcW w:w="990" w:type="dxa"/>
            <w:tcBorders/>
          </w:tcPr>
          <w:p>
            <w:pPr>
              <w:pStyle w:val="Normal"/>
              <w:snapToGrid w:val="false"/>
              <w:ind w:end="-69"/>
              <w:jc w:val="end"/>
              <w:rPr>
                <w:rFonts w:ascii="Arial" w:hAnsi="Arial" w:cs="Arial"/>
                <w:b w:val="false"/>
                <w:sz w:val="20"/>
              </w:rPr>
            </w:pPr>
            <w:r>
              <w:rPr>
                <w:rFonts w:cs="Arial" w:ascii="Arial" w:hAnsi="Arial"/>
                <w:b w:val="false"/>
                <w:sz w:val="20"/>
              </w:rPr>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eastAsia="Arial" w:cs="Arial"/>
                <w:sz w:val="20"/>
              </w:rPr>
            </w:pPr>
            <w:r>
              <w:rPr>
                <w:rFonts w:eastAsia="Arial" w:cs="Arial" w:ascii="Arial" w:hAnsi="Arial"/>
                <w:sz w:val="20"/>
              </w:rPr>
              <w:t xml:space="preserve">           </w:t>
            </w:r>
          </w:p>
        </w:tc>
        <w:tc>
          <w:tcPr>
            <w:tcW w:w="1170" w:type="dxa"/>
            <w:tcBorders/>
          </w:tcPr>
          <w:p>
            <w:pPr>
              <w:pStyle w:val="Heading9"/>
              <w:widowControl/>
              <w:tabs>
                <w:tab w:val="decimal" w:pos="792" w:leader="none"/>
                <w:tab w:val="left" w:pos="2870" w:leader="none"/>
                <w:tab w:val="left" w:pos="3617" w:leader="none"/>
              </w:tabs>
              <w:snapToGrid w:val="false"/>
              <w:ind w:start="0" w:end="-63"/>
              <w:rPr>
                <w:rFonts w:ascii="Arial" w:hAnsi="Arial" w:cs="Arial"/>
                <w:b w:val="false"/>
                <w:sz w:val="20"/>
              </w:rPr>
            </w:pPr>
            <w:r>
              <w:rPr>
                <w:rFonts w:cs="Arial" w:ascii="Arial" w:hAnsi="Arial"/>
                <w:b w:val="false"/>
                <w:sz w:val="20"/>
              </w:rPr>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3060" w:type="dxa"/>
            <w:tcBorders/>
          </w:tcPr>
          <w:p>
            <w:pPr>
              <w:pStyle w:val="Normal"/>
              <w:ind w:end="-63"/>
              <w:rPr>
                <w:rFonts w:ascii="Arial" w:hAnsi="Arial" w:cs="Arial"/>
                <w:sz w:val="20"/>
              </w:rPr>
            </w:pPr>
            <w:r>
              <w:rPr>
                <w:rFonts w:cs="Arial" w:ascii="Arial" w:hAnsi="Arial"/>
                <w:sz w:val="20"/>
              </w:rPr>
              <w:t>Credit Premium (%):</w:t>
            </w:r>
          </w:p>
        </w:tc>
        <w:tc>
          <w:tcPr>
            <w:tcW w:w="990" w:type="dxa"/>
            <w:tcBorders/>
          </w:tcPr>
          <w:p>
            <w:pPr>
              <w:pStyle w:val="Normal"/>
              <w:snapToGrid w:val="false"/>
              <w:ind w:end="-63"/>
              <w:jc w:val="end"/>
              <w:rPr>
                <w:rFonts w:ascii="Arial" w:hAnsi="Arial" w:cs="Arial"/>
                <w:sz w:val="20"/>
              </w:rPr>
            </w:pPr>
            <w:r>
              <w:rPr>
                <w:rFonts w:cs="Arial" w:ascii="Arial" w:hAnsi="Arial"/>
                <w:sz w:val="20"/>
              </w:rPr>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Country Premium (%):</w:t>
            </w:r>
          </w:p>
        </w:tc>
        <w:tc>
          <w:tcPr>
            <w:tcW w:w="990" w:type="dxa"/>
            <w:tcBorders/>
          </w:tcPr>
          <w:p>
            <w:pPr>
              <w:pStyle w:val="Normal"/>
              <w:tabs>
                <w:tab w:val="clear" w:pos="720"/>
                <w:tab w:val="left" w:pos="432" w:leader="none"/>
              </w:tabs>
              <w:snapToGrid w:val="false"/>
              <w:ind w:end="-63"/>
              <w:jc w:val="end"/>
              <w:rPr>
                <w:rFonts w:ascii="Arial" w:hAnsi="Arial" w:cs="Arial"/>
                <w:b w:val="false"/>
                <w:sz w:val="20"/>
              </w:rPr>
            </w:pPr>
            <w:r>
              <w:rPr>
                <w:rFonts w:cs="Arial" w:ascii="Arial" w:hAnsi="Arial"/>
                <w:b w:val="false"/>
                <w:sz w:val="20"/>
              </w:rPr>
            </w:r>
          </w:p>
        </w:tc>
      </w:tr>
      <w:tr>
        <w:trPr>
          <w:trHeight w:val="202" w:hRule="atLeast"/>
        </w:trPr>
        <w:tc>
          <w:tcPr>
            <w:tcW w:w="2160" w:type="dxa"/>
            <w:tcBorders>
              <w:bottom w:val="single" w:sz="12"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bottom w:val="single" w:sz="12"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bottom w:val="single" w:sz="12" w:space="0" w:color="000000"/>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Transaction-Specific (%):</w:t>
            </w:r>
          </w:p>
        </w:tc>
        <w:tc>
          <w:tcPr>
            <w:tcW w:w="990" w:type="dxa"/>
            <w:tcBorders/>
          </w:tcPr>
          <w:p>
            <w:pPr>
              <w:pStyle w:val="Normal"/>
              <w:tabs>
                <w:tab w:val="clear" w:pos="720"/>
                <w:tab w:val="left" w:pos="432" w:leader="none"/>
              </w:tabs>
              <w:snapToGrid w:val="false"/>
              <w:ind w:end="-63"/>
              <w:jc w:val="end"/>
              <w:rPr>
                <w:rFonts w:ascii="Arial" w:hAnsi="Arial" w:cs="Arial"/>
                <w:b w:val="false"/>
                <w:sz w:val="20"/>
              </w:rPr>
            </w:pPr>
            <w:r>
              <w:rPr>
                <w:rFonts w:cs="Arial" w:ascii="Arial" w:hAnsi="Arial"/>
                <w:b w:val="false"/>
                <w:sz w:val="20"/>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12" w:space="0" w:color="000000"/>
              <w:bottom w:val="single" w:sz="12" w:space="0" w:color="000000"/>
            </w:tcBorders>
          </w:tcPr>
          <w:p>
            <w:pPr>
              <w:pStyle w:val="Normal"/>
              <w:jc w:val="center"/>
              <w:rPr>
                <w:rFonts w:ascii="Arial" w:hAnsi="Arial" w:cs="Arial"/>
                <w:b/>
                <w:sz w:val="20"/>
              </w:rPr>
            </w:pPr>
            <w:r>
              <w:rPr>
                <w:rFonts w:cs="Arial" w:ascii="Arial" w:hAnsi="Arial"/>
                <w:b/>
                <w:sz w:val="20"/>
              </w:rPr>
              <w:t>$      1,011</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rFonts w:ascii="Arial" w:hAnsi="Arial" w:cs="Arial"/>
              </w:rPr>
            </w:pPr>
            <w:r>
              <w:rPr>
                <w:rFonts w:cs="Arial" w:ascii="Arial" w:hAnsi="Arial"/>
              </w:rPr>
              <w:t>22.32%</w:t>
            </w:r>
          </w:p>
        </w:tc>
        <w:tc>
          <w:tcPr>
            <w:tcW w:w="540" w:type="dxa"/>
            <w:tcBorders/>
          </w:tcPr>
          <w:p>
            <w:pPr>
              <w:pStyle w:val="Heading9"/>
              <w:widowControl/>
              <w:snapToGrid w:val="false"/>
              <w:ind w:start="0" w:end="-108"/>
              <w:rPr>
                <w:rFonts w:ascii="Arial" w:hAnsi="Arial" w:cs="Arial"/>
              </w:rPr>
            </w:pPr>
            <w:r>
              <w:rPr>
                <w:rFonts w:cs="Arial" w:ascii="Arial" w:hAnsi="Arial"/>
              </w:rPr>
            </w:r>
          </w:p>
        </w:tc>
        <w:tc>
          <w:tcPr>
            <w:tcW w:w="3060" w:type="dxa"/>
            <w:tcBorders>
              <w:top w:val="single" w:sz="12" w:space="0" w:color="000000"/>
              <w:start w:val="single" w:sz="4" w:space="0" w:color="000000"/>
              <w:bottom w:val="single" w:sz="12" w:space="0" w:color="000000"/>
            </w:tcBorders>
          </w:tcPr>
          <w:p>
            <w:pPr>
              <w:pStyle w:val="Heading9"/>
              <w:widowControl/>
              <w:ind w:start="0" w:end="72"/>
              <w:rPr>
                <w:rFonts w:ascii="Arial" w:hAnsi="Arial" w:cs="Arial"/>
              </w:rPr>
            </w:pPr>
            <w:r>
              <w:rPr>
                <w:rFonts w:cs="Arial" w:ascii="Arial" w:hAnsi="Arial"/>
              </w:rPr>
              <w:t>RAC CAPITAL PRICE:</w:t>
            </w:r>
          </w:p>
        </w:tc>
        <w:tc>
          <w:tcPr>
            <w:tcW w:w="99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rFonts w:ascii="Arial" w:hAnsi="Arial" w:cs="Arial"/>
                <w:b/>
                <w:sz w:val="20"/>
              </w:rPr>
            </w:pPr>
            <w:r>
              <w:rPr>
                <w:rFonts w:cs="Arial" w:ascii="Arial" w:hAnsi="Arial"/>
                <w:b/>
                <w:sz w:val="20"/>
              </w:rPr>
              <w:t>27.5%</w:t>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2970"/>
        <w:gridCol w:w="3060"/>
        <w:gridCol w:w="990"/>
      </w:tblGrid>
      <w:tr>
        <w:trPr>
          <w:trHeight w:val="144" w:hRule="atLeast"/>
        </w:trPr>
        <w:tc>
          <w:tcPr>
            <w:tcW w:w="2160" w:type="dxa"/>
            <w:tcBorders/>
          </w:tcPr>
          <w:p>
            <w:pPr>
              <w:pStyle w:val="Header"/>
              <w:widowControl/>
              <w:tabs>
                <w:tab w:val="clear" w:pos="4320"/>
                <w:tab w:val="clear" w:pos="8640"/>
              </w:tabs>
              <w:rPr>
                <w:rFonts w:ascii="Arial" w:hAnsi="Arial" w:cs="Arial"/>
              </w:rPr>
            </w:pPr>
            <w:r>
              <w:rPr>
                <w:rFonts w:cs="Arial" w:ascii="Arial" w:hAnsi="Arial"/>
              </w:rPr>
              <w:t>E-Rating:</w:t>
            </w:r>
          </w:p>
          <w:p>
            <w:pPr>
              <w:pStyle w:val="Header"/>
              <w:widowControl/>
              <w:tabs>
                <w:tab w:val="clear" w:pos="4320"/>
                <w:tab w:val="clear" w:pos="8640"/>
              </w:tabs>
              <w:rPr>
                <w:rFonts w:ascii="Arial" w:hAnsi="Arial" w:cs="Arial"/>
              </w:rPr>
            </w:pPr>
            <w:r>
              <w:rPr>
                <w:rFonts w:cs="Arial" w:ascii="Arial" w:hAnsi="Arial"/>
              </w:rPr>
            </w:r>
          </w:p>
        </w:tc>
        <w:tc>
          <w:tcPr>
            <w:tcW w:w="297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rPr>
                <w:rFonts w:ascii="Arial" w:hAnsi="Arial" w:cs="Arial"/>
              </w:rPr>
            </w:pPr>
            <w:r>
              <w:rPr>
                <w:rFonts w:cs="Arial" w:ascii="Arial" w:hAnsi="Arial"/>
              </w:rPr>
              <w:t>Relative upside ratio:</w:t>
            </w:r>
          </w:p>
          <w:p>
            <w:pPr>
              <w:pStyle w:val="Header"/>
              <w:widowControl/>
              <w:tabs>
                <w:tab w:val="clear" w:pos="4320"/>
                <w:tab w:val="clear" w:pos="8640"/>
              </w:tabs>
              <w:rPr>
                <w:rFonts w:ascii="Arial" w:hAnsi="Arial" w:cs="Arial"/>
              </w:rPr>
            </w:pPr>
            <w:r>
              <w:rPr>
                <w:rFonts w:cs="Arial" w:ascii="Arial" w:hAnsi="Arial"/>
              </w:rPr>
            </w:r>
          </w:p>
        </w:tc>
        <w:tc>
          <w:tcPr>
            <w:tcW w:w="990" w:type="dxa"/>
            <w:tcBorders/>
          </w:tcPr>
          <w:p>
            <w:pPr>
              <w:pStyle w:val="Header"/>
              <w:widowControl/>
              <w:tabs>
                <w:tab w:val="clear" w:pos="4320"/>
                <w:tab w:val="clear" w:pos="8640"/>
              </w:tabs>
              <w:snapToGrid w:val="false"/>
              <w:jc w:val="center"/>
              <w:rPr>
                <w:rFonts w:ascii="Arial" w:hAnsi="Arial" w:cs="Arial"/>
              </w:rPr>
            </w:pPr>
            <w:r>
              <w:rPr>
                <w:rFonts w:cs="Arial" w:ascii="Arial" w:hAnsi="Arial"/>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CASH FLOW SUMMARY: See attached schedule.</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TRANSACTION UPSIDES/OPTIONALITY </w:t>
      </w:r>
      <w:r>
        <w:rPr>
          <w:rFonts w:cs="Arial" w:ascii="Arial" w:hAnsi="Arial"/>
          <w:b w:val="false"/>
          <w:i w:val="false"/>
        </w:rPr>
        <w:t>(include chart to show impact if appropriate)</w:t>
      </w:r>
    </w:p>
    <w:p>
      <w:pPr>
        <w:pStyle w:val="Normal"/>
        <w:ind w:end="-36"/>
        <w:rPr>
          <w:rFonts w:ascii="Arial" w:hAnsi="Arial" w:cs="Arial"/>
          <w:b/>
          <w:i/>
          <w:i/>
          <w:sz w:val="20"/>
        </w:rPr>
      </w:pPr>
      <w:r>
        <w:rPr>
          <w:rFonts w:cs="Arial" w:ascii="Arial" w:hAnsi="Arial"/>
          <w:b/>
          <w:i/>
          <w:sz w:val="20"/>
        </w:rPr>
      </w:r>
    </w:p>
    <w:p>
      <w:pPr>
        <w:pStyle w:val="Normal"/>
        <w:ind w:end="-36"/>
        <w:rPr>
          <w:rFonts w:ascii="Arial" w:hAnsi="Arial" w:cs="Arial"/>
          <w:sz w:val="20"/>
        </w:rPr>
      </w:pPr>
      <w:r>
        <w:rPr>
          <w:rFonts w:cs="Arial" w:ascii="Arial" w:hAnsi="Arial"/>
          <w:sz w:val="20"/>
        </w:rPr>
        <w:t>EGM/Jedi II  will continue to have “clawback” rights if, within 18 months of the exercise of the call, Cline sells a 50% or more equity interest of Jupiter at an implied price which exceeds the $5 million call price in this transaction.</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The commitment by Cline to install railcar loadout capacity at the Shrewsbury dock provides EGM coal marketers the option of barge or rail loadout for coal or synfuel, which allows EGM to arbitrage these markets.</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 xml:space="preserve">This transaction as structured would reduce debt exposure to Cline companies by $30 million ($16 million at Jupiter and $14 million at Panther). </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(“Merchant” investments only)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Construction / Technology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Environmental / Permitting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Operating / Fuel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 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pPr>
      <w:r>
        <w:rPr/>
        <w:t>(EES only)</w:t>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eastAsia="Arial" w:cs="Arial" w:ascii="Arial" w:hAnsi="Arial"/>
                <w:b/>
                <w:sz w:val="20"/>
              </w:rPr>
              <w:t xml:space="preserve"> </w:t>
            </w:r>
            <w:r>
              <w:rPr>
                <w:rFonts w:cs="Arial" w:ascii="Arial" w:hAnsi="Arial"/>
                <w:b/>
                <w:sz w:val="20"/>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Sale of properties--assumption of contract by new property owners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Change of Control provisions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EAM execution risk:</w:t>
            </w:r>
          </w:p>
          <w:p>
            <w:pPr>
              <w:pStyle w:val="Normal"/>
              <w:rPr>
                <w:rFonts w:ascii="Arial" w:hAnsi="Arial" w:cs="Arial"/>
                <w:sz w:val="20"/>
              </w:rPr>
            </w:pPr>
            <w:r>
              <w:rPr>
                <w:rFonts w:cs="Arial" w:ascii="Arial" w:hAnsi="Arial"/>
                <w:sz w:val="20"/>
              </w:rPr>
              <w:t>* Identification of viable projects</w:t>
            </w:r>
          </w:p>
          <w:p>
            <w:pPr>
              <w:pStyle w:val="Normal"/>
              <w:rPr>
                <w:rFonts w:ascii="Arial" w:hAnsi="Arial" w:cs="Arial"/>
                <w:sz w:val="20"/>
              </w:rPr>
            </w:pPr>
            <w:r>
              <w:rPr>
                <w:rFonts w:cs="Arial" w:ascii="Arial" w:hAnsi="Arial"/>
                <w:sz w:val="20"/>
              </w:rPr>
              <w:t>* Approval of viable projects client</w:t>
            </w:r>
          </w:p>
          <w:p>
            <w:pPr>
              <w:pStyle w:val="Normal"/>
              <w:rPr>
                <w:rFonts w:ascii="Arial" w:hAnsi="Arial" w:cs="Arial"/>
                <w:sz w:val="20"/>
              </w:rPr>
            </w:pPr>
            <w:r>
              <w:rPr>
                <w:rFonts w:cs="Arial" w:ascii="Arial" w:hAnsi="Arial"/>
                <w:sz w:val="20"/>
              </w:rPr>
              <w:t>* Project timing</w:t>
            </w:r>
          </w:p>
          <w:p>
            <w:pPr>
              <w:pStyle w:val="Normal"/>
              <w:rPr>
                <w:rFonts w:ascii="Arial" w:hAnsi="Arial" w:cs="Arial"/>
                <w:sz w:val="20"/>
              </w:rPr>
            </w:pPr>
            <w:r>
              <w:rPr>
                <w:rFonts w:cs="Arial" w:ascii="Arial" w:hAnsi="Arial"/>
                <w:sz w:val="20"/>
              </w:rPr>
              <w:t>* Project cost estimation</w:t>
            </w:r>
          </w:p>
          <w:p>
            <w:pPr>
              <w:pStyle w:val="Normal"/>
              <w:rPr>
                <w:rFonts w:ascii="Arial" w:hAnsi="Arial" w:cs="Arial"/>
                <w:sz w:val="20"/>
              </w:rPr>
            </w:pPr>
            <w:r>
              <w:rPr>
                <w:rFonts w:cs="Arial" w:ascii="Arial" w:hAnsi="Arial"/>
                <w:sz w:val="20"/>
              </w:rPr>
              <w:t>* Actual savings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Baseline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Consumption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AOPS execution risk:</w:t>
            </w:r>
          </w:p>
          <w:p>
            <w:pPr>
              <w:pStyle w:val="Normal"/>
              <w:rPr>
                <w:rFonts w:ascii="Arial" w:hAnsi="Arial" w:cs="Arial"/>
                <w:sz w:val="20"/>
              </w:rPr>
            </w:pPr>
            <w:r>
              <w:rPr>
                <w:rFonts w:cs="Arial" w:ascii="Arial" w:hAnsi="Arial"/>
                <w:sz w:val="20"/>
              </w:rPr>
              <w:t>*Failure of EESO to meet agreed to operational service levels or such failure leads to a material adverse effect on a facility.</w:t>
            </w:r>
          </w:p>
          <w:p>
            <w:pPr>
              <w:pStyle w:val="Normal"/>
              <w:rPr>
                <w:rFonts w:ascii="Arial" w:hAnsi="Arial" w:cs="Arial"/>
                <w:sz w:val="20"/>
              </w:rPr>
            </w:pPr>
            <w:r>
              <w:rPr>
                <w:rFonts w:cs="Arial" w:ascii="Arial" w:hAnsi="Arial"/>
                <w:sz w:val="20"/>
              </w:rPr>
              <w:t>*Price increases in parts, labor and materials</w:t>
            </w:r>
          </w:p>
          <w:p>
            <w:pPr>
              <w:pStyle w:val="Normal"/>
              <w:rPr>
                <w:rFonts w:ascii="Arial" w:hAnsi="Arial" w:cs="Arial"/>
                <w:sz w:val="20"/>
              </w:rPr>
            </w:pPr>
            <w:r>
              <w:rPr>
                <w:rFonts w:cs="Arial" w:ascii="Arial" w:hAnsi="Arial"/>
                <w:sz w:val="20"/>
              </w:rPr>
              <w:t xml:space="preserve">*Change in Facility profile </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liability</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Any other deal specific risk (describe)</w:t>
            </w:r>
          </w:p>
          <w:p>
            <w:pPr>
              <w:pStyle w:val="Normal"/>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r>
    </w:tbl>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pPr>
      <w:r>
        <w:rPr/>
        <w:t>(EES only)</w:t>
      </w:r>
    </w:p>
    <w:tbl>
      <w:tblPr>
        <w:tblW w:w="9990" w:type="dxa"/>
        <w:jc w:val="start"/>
        <w:tblInd w:w="378" w:type="dxa"/>
        <w:tblLayout w:type="fixed"/>
        <w:tblCellMar>
          <w:top w:w="0" w:type="dxa"/>
          <w:start w:w="108" w:type="dxa"/>
          <w:bottom w:w="0" w:type="dxa"/>
          <w:end w:w="108" w:type="dxa"/>
        </w:tblCellMar>
      </w:tblPr>
      <w:tblGrid>
        <w:gridCol w:w="3960"/>
        <w:gridCol w:w="810"/>
        <w:gridCol w:w="2700"/>
        <w:gridCol w:w="25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5"/>
              <w:ind w:hanging="0" w:start="0"/>
              <w:rPr>
                <w:rFonts w:ascii="Arial" w:hAnsi="Arial" w:cs="Arial"/>
              </w:rPr>
            </w:pPr>
            <w:r>
              <w:rPr>
                <w:rFonts w:cs="Arial" w:ascii="Arial" w:hAnsi="Arial"/>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Transaction Hedge Liquidity</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Counterparty Risk</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Contract Terms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Upsell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EAM 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O&amp;M 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r>
        <w:br w:type="page"/>
      </w:r>
    </w:p>
    <w:p>
      <w:pPr>
        <w:pStyle w:val="Normal"/>
        <w:rPr>
          <w:rFonts w:ascii="Arial" w:hAnsi="Arial" w:cs="Arial"/>
          <w:sz w:val="20"/>
        </w:rPr>
      </w:pPr>
      <w:r>
        <w:rPr>
          <w:rFonts w:cs="Arial" w:ascii="Arial" w:hAnsi="Arial"/>
          <w:sz w:val="20"/>
        </w:rPr>
      </w:r>
    </w:p>
    <w:tbl>
      <w:tblPr>
        <w:tblW w:w="10548" w:type="dxa"/>
        <w:jc w:val="start"/>
        <w:tblInd w:w="0" w:type="dxa"/>
        <w:tblLayout w:type="fixed"/>
        <w:tblCellMar>
          <w:top w:w="0" w:type="dxa"/>
          <w:start w:w="108" w:type="dxa"/>
          <w:bottom w:w="0" w:type="dxa"/>
          <w:end w:w="108" w:type="dxa"/>
        </w:tblCellMar>
      </w:tblPr>
      <w:tblGrid>
        <w:gridCol w:w="2628"/>
        <w:gridCol w:w="360"/>
        <w:gridCol w:w="2932"/>
        <w:gridCol w:w="354"/>
        <w:gridCol w:w="2924"/>
        <w:gridCol w:w="293"/>
        <w:gridCol w:w="1057"/>
      </w:tblGrid>
      <w:tr>
        <w:trPr>
          <w:trHeight w:val="405" w:hRule="atLeast"/>
        </w:trPr>
        <w:tc>
          <w:tcPr>
            <w:tcW w:w="262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628" w:type="dxa"/>
            <w:tcBorders/>
          </w:tcPr>
          <w:p>
            <w:pPr>
              <w:pStyle w:val="Normal"/>
              <w:snapToGrid w:val="false"/>
              <w:spacing w:before="120" w:after="0"/>
              <w:rPr>
                <w:rFonts w:ascii="Arial" w:hAnsi="Arial" w:cs="Arial"/>
                <w:b/>
                <w:sz w:val="20"/>
              </w:rPr>
            </w:pPr>
            <w:r>
              <w:rPr>
                <w:rFonts w:cs="Arial" w:ascii="Arial" w:hAnsi="Arial"/>
                <w:b/>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napToGrid w:val="false"/>
              <w:spacing w:before="120" w:after="0"/>
              <w:rPr>
                <w:rFonts w:ascii="Arial" w:hAnsi="Arial" w:cs="Arial"/>
                <w:sz w:val="20"/>
              </w:rPr>
            </w:pPr>
            <w:r>
              <w:rPr>
                <w:rFonts w:cs="Arial" w:ascii="Arial" w:hAnsi="Arial"/>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Business Unit Originator</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Mike Beyer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ind w:end="-648"/>
              <w:rPr>
                <w:rFonts w:ascii="Arial" w:hAnsi="Arial" w:cs="Arial"/>
                <w:sz w:val="20"/>
              </w:rPr>
            </w:pPr>
            <w:r>
              <w:rPr>
                <w:rFonts w:cs="Arial" w:ascii="Arial" w:hAnsi="Arial"/>
                <w:sz w:val="20"/>
              </w:rPr>
              <w:t>Business Unit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George McClellan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EGM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ind w:end="-236"/>
              <w:rPr>
                <w:rFonts w:ascii="Arial" w:hAnsi="Arial" w:cs="Arial"/>
                <w:sz w:val="20"/>
              </w:rPr>
            </w:pPr>
            <w:r>
              <w:rPr>
                <w:rFonts w:cs="Arial" w:ascii="Arial" w:hAnsi="Arial"/>
                <w:sz w:val="20"/>
              </w:rPr>
              <w:t>Mike McConnell/Jeff Shankman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ENA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ECM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EWS OOC</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ENE OOC</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JEDI II</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Shirley Hudler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napToGrid w:val="false"/>
              <w:spacing w:before="120" w:after="0"/>
              <w:rPr>
                <w:rFonts w:ascii="Arial" w:hAnsi="Arial" w:cs="Arial"/>
                <w:sz w:val="20"/>
              </w:rPr>
            </w:pPr>
            <w:r>
              <w:rPr>
                <w:rFonts w:cs="Arial" w:ascii="Arial" w:hAnsi="Arial"/>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7"/>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sz w:val="20"/>
        </w:rPr>
        <w:t>Market</w:t>
      </w:r>
      <w:r>
        <w:rPr>
          <w:rFonts w:cs="Arial" w:ascii="Arial" w:hAnsi="Arial"/>
          <w:sz w:val="20"/>
        </w:rPr>
        <w:t>,</w:t>
      </w:r>
      <w:r>
        <w:rPr>
          <w:rFonts w:cs="Arial" w:ascii="Arial" w:hAnsi="Arial"/>
          <w:b/>
          <w:sz w:val="20"/>
        </w:rPr>
        <w:t xml:space="preserve"> Above Market </w:t>
      </w:r>
      <w:r>
        <w:rPr>
          <w:rFonts w:cs="Arial" w:ascii="Arial" w:hAnsi="Arial"/>
          <w:sz w:val="20"/>
        </w:rPr>
        <w:t>or</w:t>
      </w:r>
      <w:r>
        <w:rPr>
          <w:rFonts w:cs="Arial" w:ascii="Arial" w:hAnsi="Arial"/>
          <w:b/>
          <w:sz w:val="20"/>
        </w:rPr>
        <w:t xml:space="preserve"> Below Market</w:t>
      </w:r>
      <w:r>
        <w:rPr>
          <w:rFonts w:cs="Arial" w:ascii="Arial" w:hAnsi="Arial"/>
          <w:sz w:val="20"/>
        </w:rPr>
        <w:br/>
        <w:br/>
        <w:t>Describe (if necessary):</w:t>
        <w:br/>
        <w:br/>
        <w:br/>
      </w:r>
    </w:p>
    <w:p>
      <w:pPr>
        <w:pStyle w:val="Normal"/>
        <w:numPr>
          <w:ilvl w:val="0"/>
          <w:numId w:val="7"/>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sz w:val="20"/>
        </w:rPr>
        <w:t>Market</w:t>
      </w:r>
      <w:r>
        <w:rPr>
          <w:rFonts w:cs="Arial" w:ascii="Arial" w:hAnsi="Arial"/>
          <w:sz w:val="20"/>
        </w:rPr>
        <w:t>,</w:t>
      </w:r>
      <w:r>
        <w:rPr>
          <w:rFonts w:cs="Arial" w:ascii="Arial" w:hAnsi="Arial"/>
          <w:b/>
          <w:sz w:val="20"/>
        </w:rPr>
        <w:t xml:space="preserve"> Above Market </w:t>
      </w:r>
      <w:r>
        <w:rPr>
          <w:rFonts w:cs="Arial" w:ascii="Arial" w:hAnsi="Arial"/>
          <w:sz w:val="20"/>
        </w:rPr>
        <w:t>or</w:t>
      </w:r>
      <w:r>
        <w:rPr>
          <w:rFonts w:cs="Arial" w:ascii="Arial" w:hAnsi="Arial"/>
          <w:b/>
          <w:sz w:val="20"/>
        </w:rPr>
        <w:t xml:space="preserve"> Below Market</w:t>
      </w:r>
      <w:r>
        <w:rPr>
          <w:rFonts w:cs="Arial" w:ascii="Arial" w:hAnsi="Arial"/>
          <w:sz w:val="20"/>
        </w:rPr>
        <w:br/>
        <w:br/>
        <w:t>Describe (if necessary):</w:t>
        <w:br/>
        <w:br/>
        <w:br/>
      </w:r>
    </w:p>
    <w:p>
      <w:pPr>
        <w:pStyle w:val="Normal"/>
        <w:numPr>
          <w:ilvl w:val="0"/>
          <w:numId w:val="7"/>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sz w:val="20"/>
        </w:rPr>
        <w:t>Unrestricted</w:t>
      </w:r>
      <w:r>
        <w:rPr>
          <w:rFonts w:cs="Arial" w:ascii="Arial" w:hAnsi="Arial"/>
          <w:sz w:val="20"/>
        </w:rPr>
        <w:t>,</w:t>
      </w:r>
      <w:r>
        <w:rPr>
          <w:rFonts w:cs="Arial" w:ascii="Arial" w:hAnsi="Arial"/>
          <w:b/>
          <w:sz w:val="20"/>
        </w:rPr>
        <w:t xml:space="preserve"> Legally Restricted </w:t>
      </w:r>
      <w:r>
        <w:rPr>
          <w:rFonts w:cs="Arial" w:ascii="Arial" w:hAnsi="Arial"/>
          <w:sz w:val="20"/>
        </w:rPr>
        <w:t>or</w:t>
      </w:r>
      <w:r>
        <w:rPr>
          <w:rFonts w:cs="Arial" w:ascii="Arial" w:hAnsi="Arial"/>
          <w:b/>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7"/>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sz w:val="20"/>
        </w:rPr>
        <w:t xml:space="preserve">Recourse </w:t>
      </w:r>
      <w:r>
        <w:rPr>
          <w:rFonts w:cs="Arial" w:ascii="Arial" w:hAnsi="Arial"/>
          <w:sz w:val="20"/>
        </w:rPr>
        <w:t>or</w:t>
      </w:r>
      <w:r>
        <w:rPr>
          <w:rFonts w:cs="Arial" w:ascii="Arial" w:hAnsi="Arial"/>
          <w:b/>
          <w:sz w:val="20"/>
        </w:rPr>
        <w:t xml:space="preserve"> No Recourse</w:t>
      </w:r>
      <w:r>
        <w:rPr>
          <w:rFonts w:cs="Arial" w:ascii="Arial" w:hAnsi="Arial"/>
          <w:sz w:val="20"/>
        </w:rPr>
        <w:br/>
        <w:br/>
        <w:t>Describe (if any):</w:t>
        <w:br/>
        <w:br/>
        <w:br/>
      </w:r>
    </w:p>
    <w:p>
      <w:pPr>
        <w:pStyle w:val="Normal"/>
        <w:numPr>
          <w:ilvl w:val="0"/>
          <w:numId w:val="5"/>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sz w:val="20"/>
        </w:rPr>
        <w:t>None</w:t>
      </w:r>
      <w:r>
        <w:rPr>
          <w:rFonts w:cs="Arial" w:ascii="Arial" w:hAnsi="Arial"/>
          <w:sz w:val="20"/>
        </w:rPr>
        <w:t>,</w:t>
      </w:r>
      <w:r>
        <w:rPr>
          <w:rFonts w:cs="Arial" w:ascii="Arial" w:hAnsi="Arial"/>
          <w:b/>
          <w:sz w:val="20"/>
        </w:rPr>
        <w:t xml:space="preserve"> Partial </w:t>
      </w:r>
      <w:r>
        <w:rPr>
          <w:rFonts w:cs="Arial" w:ascii="Arial" w:hAnsi="Arial"/>
          <w:sz w:val="20"/>
        </w:rPr>
        <w:t>or</w:t>
      </w:r>
      <w:r>
        <w:rPr>
          <w:rFonts w:cs="Arial" w:ascii="Arial" w:hAnsi="Arial"/>
          <w:b/>
          <w:sz w:val="20"/>
        </w:rPr>
        <w:t xml:space="preserve"> All</w:t>
      </w:r>
      <w:r>
        <w:rPr>
          <w:rFonts w:cs="Arial" w:ascii="Arial" w:hAnsi="Arial"/>
          <w:sz w:val="20"/>
        </w:rPr>
        <w:br/>
        <w:br/>
        <w:t>Describe (if necessary):</w:t>
        <w:br/>
        <w:br/>
      </w:r>
    </w:p>
    <w:p>
      <w:pPr>
        <w:pStyle w:val="Normal"/>
        <w:rPr>
          <w:rFonts w:ascii="Arial" w:hAnsi="Arial" w:cs="Arial"/>
          <w:sz w:val="20"/>
        </w:rPr>
      </w:pPr>
      <w:r>
        <w:rPr>
          <w:rFonts w:cs="Arial" w:ascii="Arial" w:hAnsi="Arial"/>
          <w:sz w:val="20"/>
        </w:rPr>
      </w:r>
    </w:p>
    <w:p>
      <w:pPr>
        <w:pStyle w:val="Normal"/>
        <w:numPr>
          <w:ilvl w:val="0"/>
          <w:numId w:val="8"/>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3"/>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Margaux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6"/>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sz w:val="20"/>
        </w:rPr>
        <w:t xml:space="preserve">Yes </w:t>
      </w:r>
      <w:r>
        <w:rPr>
          <w:rFonts w:cs="Arial" w:ascii="Arial" w:hAnsi="Arial"/>
          <w:sz w:val="20"/>
        </w:rPr>
        <w:t>or</w:t>
      </w:r>
      <w:r>
        <w:rPr>
          <w:rFonts w:cs="Arial" w:ascii="Arial" w:hAnsi="Arial"/>
          <w:b/>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6"/>
      <w:numFmt w:val="decimal"/>
      <w:lvlText w:val="%1a."/>
      <w:lvlJc w:val="start"/>
      <w:pPr>
        <w:tabs>
          <w:tab w:val="num" w:pos="360"/>
        </w:tabs>
        <w:ind w:start="360" w:hanging="360"/>
      </w:pPr>
    </w:lvl>
  </w:abstractNum>
  <w:abstractNum w:abstractNumId="6">
    <w:lvl w:ilvl="0">
      <w:start w:val="6"/>
      <w:numFmt w:val="decimal"/>
      <w:lvlText w:val="%1d."/>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rPr>
      <w:rFonts w:ascii="Arial" w:hAnsi="Arial" w:cs="Arial"/>
      <w:b/>
      <w:bCs/>
      <w:i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2001-05-18T16:53:00Z</dcterms:created>
  <dc:creator>kjolly</dc:creator>
  <dc:description/>
  <dc:language>en-CA</dc:language>
  <cp:lastModifiedBy>Cheryl Erickson</cp:lastModifiedBy>
  <cp:lastPrinted>2001-05-18T10:01:00Z</cp:lastPrinted>
  <dcterms:modified xsi:type="dcterms:W3CDTF">2001-05-18T17:06:00Z</dcterms:modified>
  <cp:revision>3</cp:revision>
  <dc:subject/>
  <dc:title>ENRON RISK ASSESSMENT AND CONTROL</dc:title>
</cp:coreProperties>
</file>