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Huntco</w:t>
            </w:r>
          </w:p>
          <w:p>
            <w:pPr>
              <w:pStyle w:val="Normal"/>
              <w:ind w:end="792"/>
              <w:rPr/>
            </w:pPr>
            <w:r>
              <w:rPr/>
              <w:t>Counterparty:  Huntco Inc. (“HCO”)</w:t>
            </w:r>
          </w:p>
          <w:p>
            <w:pPr>
              <w:pStyle w:val="Normal"/>
              <w:rPr/>
            </w:pPr>
            <w:r>
              <w:rPr/>
              <w:t>Business Unit:  Enron Industrial Markets</w:t>
            </w:r>
          </w:p>
          <w:p>
            <w:pPr>
              <w:pStyle w:val="Normal"/>
              <w:rPr/>
            </w:pPr>
            <w:r>
              <w:rPr/>
              <w:t>Business Unit Originator:  Glenn Wright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April 3, 2001</w:t>
            </w:r>
          </w:p>
          <w:p>
            <w:pPr>
              <w:pStyle w:val="Normal"/>
              <w:ind w:firstLine="90" w:start="-198" w:end="-1095"/>
              <w:rPr/>
            </w:pPr>
            <w:r>
              <w:rPr/>
              <w:t>RAC Analyst/Underwriter: K. Brown/K. Barbour</w:t>
            </w:r>
          </w:p>
          <w:p>
            <w:pPr>
              <w:pStyle w:val="Normal"/>
              <w:ind w:firstLine="90" w:start="-198" w:end="-738"/>
              <w:rPr/>
            </w:pPr>
            <w:r>
              <w:rPr/>
              <w:t>Investment Type:  Inventory Management &amp; Loan</w:t>
            </w:r>
          </w:p>
          <w:p>
            <w:pPr>
              <w:pStyle w:val="Normal"/>
              <w:ind w:firstLine="90" w:start="-198" w:end="-738"/>
              <w:rPr/>
            </w:pPr>
            <w:r>
              <w:rPr/>
              <w:t>Capital Funding Source(s):  Enron Balance Sheet</w:t>
            </w:r>
          </w:p>
          <w:p>
            <w:pPr>
              <w:pStyle w:val="Normal"/>
              <w:ind w:firstLine="90" w:start="-198" w:end="-738"/>
              <w:rPr/>
            </w:pPr>
            <w:r>
              <w:rPr/>
              <w:t>Expected Closing Date:  April 5, 2001</w:t>
            </w:r>
          </w:p>
          <w:p>
            <w:pPr>
              <w:pStyle w:val="Normal"/>
              <w:ind w:firstLine="90" w:start="-198" w:end="-738"/>
              <w:rPr/>
            </w:pPr>
            <w:r>
              <w:rPr/>
              <w:t>Expected Funding Date:  TBD</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ind w:end="-900"/>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Normal"/>
        <w:ind w:end="-900"/>
        <w:rPr/>
      </w:pPr>
      <w:r>
        <w:rPr>
          <w:sz w:val="18"/>
        </w:rPr>
        <w:t>*Subject to satisfaction of conditions outlined in “</w:t>
      </w:r>
      <w:r>
        <w:rPr>
          <w:b/>
          <w:bCs/>
          <w:sz w:val="18"/>
        </w:rPr>
        <w:t>CONDITIONS PRECEDENT</w:t>
      </w:r>
      <w:r>
        <w:rPr>
          <w:sz w:val="18"/>
        </w:rPr>
        <w:t>” prior to closing.</w:t>
      </w:r>
    </w:p>
    <w:p>
      <w:pPr>
        <w:pStyle w:val="Heading4"/>
        <w:pBdr>
          <w:top w:val="single" w:sz="8" w:space="1" w:color="000000"/>
        </w:pBdr>
        <w:tabs>
          <w:tab w:val="clear" w:pos="9990"/>
          <w:tab w:val="left" w:pos="10260" w:leader="none"/>
        </w:tabs>
        <w:rPr/>
      </w:pPr>
      <w:r>
        <w:rPr/>
        <w:t xml:space="preserve">APPROVAL REQUESTED </w:t>
      </w:r>
      <w:r>
        <w:rPr>
          <w:vertAlign w:val="superscript"/>
        </w:rPr>
        <w:t>*1</w:t>
      </w:r>
    </w:p>
    <w:p>
      <w:pPr>
        <w:pStyle w:val="List"/>
        <w:numPr>
          <w:ilvl w:val="0"/>
          <w:numId w:val="20"/>
        </w:numPr>
        <w:ind w:hanging="360" w:start="360" w:end="-900"/>
        <w:rPr/>
      </w:pPr>
      <w:r>
        <w:rPr/>
        <w:t>To enter into a 15-year inventory management agreement with HCO for the supply of its hot-band master coil requirements.</w:t>
      </w:r>
    </w:p>
    <w:p>
      <w:pPr>
        <w:pStyle w:val="List"/>
        <w:numPr>
          <w:ilvl w:val="0"/>
          <w:numId w:val="20"/>
        </w:numPr>
        <w:rPr/>
      </w:pPr>
      <w:r>
        <w:rPr/>
        <w:t>To provide a 5-yr senior subordinated loan (the “Subordinated Loan”) of $10 million at LIBOR + 3.00% p.a.</w:t>
      </w:r>
    </w:p>
    <w:p>
      <w:pPr>
        <w:pStyle w:val="Normal"/>
        <w:ind w:end="-36"/>
        <w:rPr/>
      </w:pPr>
      <w:r>
        <w:rPr/>
      </w:r>
    </w:p>
    <w:tbl>
      <w:tblPr>
        <w:tblW w:w="4680" w:type="dxa"/>
        <w:jc w:val="start"/>
        <w:tblInd w:w="468" w:type="dxa"/>
        <w:tblLayout w:type="fixed"/>
        <w:tblCellMar>
          <w:top w:w="0" w:type="dxa"/>
          <w:start w:w="108" w:type="dxa"/>
          <w:bottom w:w="0" w:type="dxa"/>
          <w:end w:w="108" w:type="dxa"/>
        </w:tblCellMar>
      </w:tblPr>
      <w:tblGrid>
        <w:gridCol w:w="3240"/>
        <w:gridCol w:w="1440"/>
      </w:tblGrid>
      <w:tr>
        <w:trPr/>
        <w:tc>
          <w:tcPr>
            <w:tcW w:w="3240" w:type="dxa"/>
            <w:tcBorders/>
          </w:tcPr>
          <w:p>
            <w:pPr>
              <w:pStyle w:val="Normal"/>
              <w:ind w:end="-36"/>
              <w:rPr/>
            </w:pPr>
            <w:r>
              <w:rPr/>
              <w:t>Subordinated Loan</w:t>
            </w:r>
          </w:p>
        </w:tc>
        <w:tc>
          <w:tcPr>
            <w:tcW w:w="1440" w:type="dxa"/>
            <w:tcBorders/>
          </w:tcPr>
          <w:p>
            <w:pPr>
              <w:pStyle w:val="Normal"/>
              <w:ind w:end="-36"/>
              <w:jc w:val="end"/>
              <w:rPr/>
            </w:pPr>
            <w:r>
              <w:rPr/>
              <w:t>10.0 million</w:t>
            </w:r>
          </w:p>
        </w:tc>
      </w:tr>
      <w:tr>
        <w:trPr/>
        <w:tc>
          <w:tcPr>
            <w:tcW w:w="3240" w:type="dxa"/>
            <w:tcBorders/>
          </w:tcPr>
          <w:p>
            <w:pPr>
              <w:pStyle w:val="Normal"/>
              <w:ind w:end="-36"/>
              <w:rPr/>
            </w:pPr>
            <w:r>
              <w:rPr/>
              <w:t>Credit Reserve</w:t>
            </w:r>
          </w:p>
        </w:tc>
        <w:tc>
          <w:tcPr>
            <w:tcW w:w="1440" w:type="dxa"/>
            <w:tcBorders/>
          </w:tcPr>
          <w:p>
            <w:pPr>
              <w:pStyle w:val="Normal"/>
              <w:ind w:end="-36"/>
              <w:jc w:val="end"/>
              <w:rPr/>
            </w:pPr>
            <w:r>
              <w:rPr/>
              <w:t>11.2 million</w:t>
            </w:r>
          </w:p>
        </w:tc>
      </w:tr>
      <w:tr>
        <w:trPr/>
        <w:tc>
          <w:tcPr>
            <w:tcW w:w="3240" w:type="dxa"/>
            <w:tcBorders/>
          </w:tcPr>
          <w:p>
            <w:pPr>
              <w:pStyle w:val="Normal"/>
              <w:ind w:end="-36"/>
              <w:rPr/>
            </w:pPr>
            <w:r>
              <w:rPr/>
              <w:t>Commodity VaR</w:t>
            </w:r>
          </w:p>
        </w:tc>
        <w:tc>
          <w:tcPr>
            <w:tcW w:w="1440" w:type="dxa"/>
            <w:tcBorders/>
          </w:tcPr>
          <w:p>
            <w:pPr>
              <w:pStyle w:val="Normal"/>
              <w:ind w:end="-36"/>
              <w:jc w:val="end"/>
              <w:rPr/>
            </w:pPr>
            <w:r>
              <w:rPr>
                <w:u w:val="single"/>
              </w:rPr>
              <w:t>1.7</w:t>
            </w:r>
            <w:r>
              <w:rPr/>
              <w:t xml:space="preserve"> million</w:t>
            </w:r>
          </w:p>
        </w:tc>
      </w:tr>
      <w:tr>
        <w:trPr/>
        <w:tc>
          <w:tcPr>
            <w:tcW w:w="3240" w:type="dxa"/>
            <w:tcBorders/>
          </w:tcPr>
          <w:p>
            <w:pPr>
              <w:pStyle w:val="Normal"/>
              <w:ind w:end="-36"/>
              <w:rPr/>
            </w:pPr>
            <w:r>
              <w:rPr/>
              <w:t>Total Risk Adjusted Capital</w:t>
            </w:r>
            <w:r>
              <w:rPr>
                <w:b/>
                <w:vertAlign w:val="superscript"/>
              </w:rPr>
              <w:t>*1</w:t>
            </w:r>
          </w:p>
        </w:tc>
        <w:tc>
          <w:tcPr>
            <w:tcW w:w="1440" w:type="dxa"/>
            <w:tcBorders/>
          </w:tcPr>
          <w:p>
            <w:pPr>
              <w:pStyle w:val="Normal"/>
              <w:ind w:end="-36"/>
              <w:jc w:val="end"/>
              <w:rPr/>
            </w:pPr>
            <w:r>
              <w:rPr/>
              <w:t>$</w:t>
            </w:r>
            <w:r>
              <w:rPr>
                <w:u w:val="double"/>
              </w:rPr>
              <w:t>22.9</w:t>
            </w:r>
            <w:r>
              <w:rPr/>
              <w:t xml:space="preserve"> million</w:t>
            </w:r>
          </w:p>
        </w:tc>
      </w:tr>
    </w:tbl>
    <w:p>
      <w:pPr>
        <w:pStyle w:val="Normal"/>
        <w:ind w:end="-36"/>
        <w:rPr/>
      </w:pPr>
      <w:r>
        <w:rPr/>
        <w:tab/>
        <w:tab/>
        <w:tab/>
      </w:r>
    </w:p>
    <w:p>
      <w:pPr>
        <w:pStyle w:val="Normal"/>
        <w:rPr/>
      </w:pPr>
      <w:r>
        <w:rPr>
          <w:b/>
          <w:sz w:val="18"/>
          <w:vertAlign w:val="superscript"/>
        </w:rPr>
        <w:t>*1</w:t>
      </w:r>
      <w:r>
        <w:rPr>
          <w:sz w:val="18"/>
        </w:rPr>
        <w:t xml:space="preserve">  The capital expenditure necessary to acquire the physical steel position  for this transaction, estimated to be  approximately $40 million on average, is considered to have been approved in conjunction with the December 2000 board approval of the steel trading VaR limit of  $5.0 million.</w:t>
      </w:r>
    </w:p>
    <w:p>
      <w:pPr>
        <w:pStyle w:val="Heading1"/>
        <w:pBdr>
          <w:top w:val="single" w:sz="8" w:space="1" w:color="000000"/>
        </w:pBdr>
        <w:ind w:hanging="0" w:start="0" w:end="-36"/>
        <w:rPr/>
      </w:pPr>
      <w:r>
        <w:rPr/>
        <w:t>EXPOSURE SUMMARY</w:t>
      </w:r>
    </w:p>
    <w:p>
      <w:pPr>
        <w:pStyle w:val="Normal"/>
        <w:ind w:start="360" w:end="0"/>
        <w:rPr/>
      </w:pPr>
      <w:r>
        <w:rPr/>
        <w:t>This transaction:</w:t>
        <w:tab/>
        <w:tab/>
        <w:t>$22.9 million</w:t>
      </w:r>
    </w:p>
    <w:p>
      <w:pPr>
        <w:pStyle w:val="Normal"/>
        <w:ind w:start="360" w:end="0"/>
        <w:rPr/>
      </w:pPr>
      <w:r>
        <w:rPr/>
        <w:t>Total</w:t>
        <w:tab/>
        <w:tab/>
        <w:tab/>
        <w:t>$22.9 million</w:t>
      </w:r>
    </w:p>
    <w:p>
      <w:pPr>
        <w:pStyle w:val="Heading2"/>
        <w:widowControl/>
        <w:pBdr>
          <w:top w:val="single" w:sz="8" w:space="1" w:color="000000"/>
        </w:pBdr>
        <w:ind w:hanging="0" w:start="0" w:end="-36"/>
        <w:rPr>
          <w:i w:val="false"/>
          <w:i w:val="false"/>
        </w:rPr>
      </w:pPr>
      <w:r>
        <w:rPr>
          <w:i w:val="false"/>
        </w:rPr>
        <w:t>DEAL DESCRIPTION</w:t>
      </w:r>
    </w:p>
    <w:p>
      <w:pPr>
        <w:pStyle w:val="List"/>
        <w:numPr>
          <w:ilvl w:val="0"/>
          <w:numId w:val="5"/>
        </w:numPr>
        <w:ind w:hanging="360" w:start="360" w:end="-90"/>
        <w:rPr/>
      </w:pPr>
      <w:r>
        <w:rPr/>
        <w:t>HCO is a steel processor operating primarily in the mid-western and southern United States.  The company’s primary products are cut-to-length and slit hot rolled steel, as well as cold rolled, pickled, oiled and tempered products.  The company processes over 1 million tons of steel per year, with approximately 1,500 customers. HCO’s performance has weakened in the last few years as evidenced by the degradation of its operating margin from 5.1% in 1997 and 0.4% in 1998 to (0.4)% and (2.0)% in 1999 and 2000, respectively, which combined with its high leverage (debt to market capitalization of 91%) causes its credit to be rated an E-11, equivalent to S&amp;P CCC+.</w:t>
      </w:r>
    </w:p>
    <w:p>
      <w:pPr>
        <w:pStyle w:val="List"/>
        <w:numPr>
          <w:ilvl w:val="0"/>
          <w:numId w:val="5"/>
        </w:numPr>
        <w:rPr/>
      </w:pPr>
      <w:r>
        <w:rPr/>
        <w:t xml:space="preserve">This transaction provides strategic benefits to both HCO and EIM.  Under the purchase provisions of the structure embedded in the inventory management agreement, HCO will effectively receive greater cash flows than the advance rates on its inventory financing facility.   EIM will gain knowledge of the industry operations and direct access to the producers in order to implement its steel trading strategy. </w:t>
      </w:r>
    </w:p>
    <w:p>
      <w:pPr>
        <w:pStyle w:val="List"/>
        <w:numPr>
          <w:ilvl w:val="0"/>
          <w:numId w:val="5"/>
        </w:numPr>
        <w:rPr/>
      </w:pPr>
      <w:r>
        <w:rPr/>
        <w:t>In addition to the cost of capital charge on the managed inventory, EIM will receive a $ 2 million annual fee, paid monthly, plus 1% of the price index for volumes sold in excess of 1 million tons per year.</w:t>
      </w:r>
    </w:p>
    <w:p>
      <w:pPr>
        <w:pStyle w:val="List"/>
        <w:numPr>
          <w:ilvl w:val="0"/>
          <w:numId w:val="5"/>
        </w:numPr>
        <w:rPr/>
      </w:pPr>
      <w:r>
        <w:rPr/>
        <w:t xml:space="preserve">The 60-month term loan is priced at LIBOR plus 3.00%, with modest principal amortization from years 2 through 4 and a balloon payment of $7 million at maturity.  The loan is subordinated to a senior facility due in 2002.  HCO is currently in discussions with the senior lender regarding the senior facility extension/renewal.  EIM has not yet had any direct discussions with the senior lender to ensure that the inter-creditor agreement with HCO’s senior lender will permit EIM’s loan to have standard market terms and conditions.  </w:t>
      </w:r>
    </w:p>
    <w:p>
      <w:pPr>
        <w:pStyle w:val="List"/>
        <w:numPr>
          <w:ilvl w:val="0"/>
          <w:numId w:val="5"/>
        </w:numPr>
        <w:rPr/>
      </w:pPr>
      <w:r>
        <w:rPr/>
        <w:t>This DASH approval is predicated on certain conditions to closing, including the sale of the cold mill that had contributed to HCO consolidated losses in recent years, and terms on the Subordinated Loan that RAC concurs are customary for transactions of this type.  See “</w:t>
      </w:r>
      <w:r>
        <w:rPr>
          <w:b/>
          <w:bCs/>
        </w:rPr>
        <w:t>CONDITIONS PRECEDENT</w:t>
      </w:r>
      <w:r>
        <w:rPr/>
        <w:t>”.</w:t>
      </w:r>
    </w:p>
    <w:p>
      <w:pPr>
        <w:pStyle w:val="List"/>
        <w:numPr>
          <w:ilvl w:val="0"/>
          <w:numId w:val="5"/>
        </w:numPr>
        <w:rPr/>
      </w:pPr>
      <w:r>
        <w:rPr/>
        <w:t xml:space="preserve">EIM will bear the market price risk from the date the product is ordered until resale and HCO’s credit risks relating to the liquidated damages and claims resulting from all the agreements in an event of HCO default.  See </w:t>
      </w:r>
      <w:r>
        <w:rPr>
          <w:b/>
        </w:rPr>
        <w:t xml:space="preserve">“RISK MATRIX – Counterparty Credit Risks” </w:t>
      </w:r>
      <w:r>
        <w:rPr/>
        <w:t>for further discussion</w:t>
      </w:r>
      <w:r>
        <w:rPr>
          <w:b/>
        </w:rPr>
        <w:t>.</w:t>
      </w:r>
    </w:p>
    <w:p>
      <w:pPr>
        <w:pStyle w:val="Heading2"/>
        <w:widowControl/>
        <w:pBdr>
          <w:top w:val="single" w:sz="8" w:space="1" w:color="000000"/>
        </w:pBdr>
        <w:ind w:hanging="0" w:start="0" w:end="-36"/>
        <w:rPr/>
      </w:pPr>
      <w:r>
        <w:rPr/>
        <w:t>TRANSACTION SOURCES AND USES OF FUNDS – in millions</w:t>
      </w:r>
    </w:p>
    <w:tbl>
      <w:tblPr>
        <w:tblW w:w="9018" w:type="dxa"/>
        <w:jc w:val="start"/>
        <w:tblInd w:w="648" w:type="dxa"/>
        <w:tblLayout w:type="fixed"/>
        <w:tblCellMar>
          <w:top w:w="0" w:type="dxa"/>
          <w:start w:w="108" w:type="dxa"/>
          <w:bottom w:w="0" w:type="dxa"/>
          <w:end w:w="108" w:type="dxa"/>
        </w:tblCellMar>
      </w:tblPr>
      <w:tblGrid>
        <w:gridCol w:w="2430"/>
        <w:gridCol w:w="2070"/>
        <w:gridCol w:w="651"/>
        <w:gridCol w:w="1933"/>
        <w:gridCol w:w="1934"/>
      </w:tblGrid>
      <w:tr>
        <w:trPr/>
        <w:tc>
          <w:tcPr>
            <w:tcW w:w="2430" w:type="dxa"/>
            <w:tcBorders/>
          </w:tcPr>
          <w:p>
            <w:pPr>
              <w:pStyle w:val="Normal"/>
              <w:snapToGrid w:val="false"/>
              <w:rPr/>
            </w:pPr>
            <w:r>
              <w:rPr/>
            </w:r>
          </w:p>
        </w:tc>
        <w:tc>
          <w:tcPr>
            <w:tcW w:w="2070" w:type="dxa"/>
            <w:tcBorders/>
          </w:tcPr>
          <w:p>
            <w:pPr>
              <w:pStyle w:val="Normal"/>
              <w:jc w:val="end"/>
              <w:rPr>
                <w:u w:val="single"/>
              </w:rPr>
            </w:pPr>
            <w:r>
              <w:rPr>
                <w:u w:val="single"/>
              </w:rPr>
              <w:t>Sources</w:t>
            </w:r>
          </w:p>
        </w:tc>
        <w:tc>
          <w:tcPr>
            <w:tcW w:w="651" w:type="dxa"/>
            <w:tcBorders/>
          </w:tcPr>
          <w:p>
            <w:pPr>
              <w:pStyle w:val="Normal"/>
              <w:snapToGrid w:val="false"/>
              <w:rPr>
                <w:u w:val="single"/>
              </w:rPr>
            </w:pPr>
            <w:r>
              <w:rPr>
                <w:u w:val="single"/>
              </w:rPr>
            </w:r>
          </w:p>
        </w:tc>
        <w:tc>
          <w:tcPr>
            <w:tcW w:w="1933" w:type="dxa"/>
            <w:tcBorders/>
          </w:tcPr>
          <w:p>
            <w:pPr>
              <w:pStyle w:val="Normal"/>
              <w:snapToGrid w:val="false"/>
              <w:rPr/>
            </w:pPr>
            <w:r>
              <w:rPr/>
            </w:r>
          </w:p>
        </w:tc>
        <w:tc>
          <w:tcPr>
            <w:tcW w:w="1934" w:type="dxa"/>
            <w:tcBorders/>
          </w:tcPr>
          <w:p>
            <w:pPr>
              <w:pStyle w:val="Normal"/>
              <w:jc w:val="end"/>
              <w:rPr>
                <w:u w:val="single"/>
              </w:rPr>
            </w:pPr>
            <w:r>
              <w:rPr>
                <w:u w:val="single"/>
              </w:rPr>
              <w:t>Uses</w:t>
            </w:r>
          </w:p>
        </w:tc>
      </w:tr>
      <w:tr>
        <w:trPr/>
        <w:tc>
          <w:tcPr>
            <w:tcW w:w="2430" w:type="dxa"/>
            <w:tcBorders/>
          </w:tcPr>
          <w:p>
            <w:pPr>
              <w:pStyle w:val="Normal"/>
              <w:rPr/>
            </w:pPr>
            <w:r>
              <w:rPr/>
              <w:t>Enron Balance Sheet</w:t>
            </w:r>
          </w:p>
        </w:tc>
        <w:tc>
          <w:tcPr>
            <w:tcW w:w="2070" w:type="dxa"/>
            <w:tcBorders/>
          </w:tcPr>
          <w:p>
            <w:pPr>
              <w:pStyle w:val="Normal"/>
              <w:jc w:val="end"/>
              <w:rPr/>
            </w:pPr>
            <w:r>
              <w:rPr/>
              <w:t>$10.0</w:t>
            </w:r>
          </w:p>
        </w:tc>
        <w:tc>
          <w:tcPr>
            <w:tcW w:w="651" w:type="dxa"/>
            <w:tcBorders/>
          </w:tcPr>
          <w:p>
            <w:pPr>
              <w:pStyle w:val="Normal"/>
              <w:snapToGrid w:val="false"/>
              <w:rPr/>
            </w:pPr>
            <w:r>
              <w:rPr/>
            </w:r>
          </w:p>
        </w:tc>
        <w:tc>
          <w:tcPr>
            <w:tcW w:w="1933" w:type="dxa"/>
            <w:tcBorders/>
          </w:tcPr>
          <w:p>
            <w:pPr>
              <w:pStyle w:val="Normal"/>
              <w:rPr/>
            </w:pPr>
            <w:r>
              <w:rPr/>
              <w:t>Loan</w:t>
            </w:r>
          </w:p>
        </w:tc>
        <w:tc>
          <w:tcPr>
            <w:tcW w:w="1934" w:type="dxa"/>
            <w:tcBorders/>
          </w:tcPr>
          <w:p>
            <w:pPr>
              <w:pStyle w:val="Normal"/>
              <w:jc w:val="end"/>
              <w:rPr/>
            </w:pPr>
            <w:r>
              <w:rPr/>
              <w:t>$10.0</w:t>
            </w:r>
          </w:p>
        </w:tc>
      </w:tr>
    </w:tbl>
    <w:p>
      <w:pPr>
        <w:pStyle w:val="Heading2"/>
        <w:widowControl/>
        <w:pBdr>
          <w:top w:val="single" w:sz="4" w:space="1" w:color="000000"/>
        </w:pBdr>
        <w:ind w:hanging="0" w:start="0" w:end="-36"/>
        <w:rPr/>
      </w:pPr>
      <w:r>
        <w:rPr>
          <w:i w:val="false"/>
        </w:rPr>
        <w:t>RETURN SUMMARY</w:t>
      </w:r>
      <w:r>
        <w:rPr>
          <w:bCs/>
          <w:i w:val="false"/>
          <w:iCs/>
          <w:vertAlign w:val="superscript"/>
        </w:rPr>
        <w:t>*2</w:t>
      </w:r>
      <w:r>
        <w:rPr/>
        <w:t xml:space="preserve"> </w:t>
      </w:r>
    </w:p>
    <w:tbl>
      <w:tblPr>
        <w:tblW w:w="7830" w:type="dxa"/>
        <w:jc w:val="start"/>
        <w:tblInd w:w="648" w:type="dxa"/>
        <w:tblLayout w:type="fixed"/>
        <w:tblCellMar>
          <w:top w:w="0" w:type="dxa"/>
          <w:start w:w="108" w:type="dxa"/>
          <w:bottom w:w="0" w:type="dxa"/>
          <w:end w:w="108" w:type="dxa"/>
        </w:tblCellMar>
      </w:tblPr>
      <w:tblGrid>
        <w:gridCol w:w="2880"/>
        <w:gridCol w:w="1710"/>
        <w:gridCol w:w="1890"/>
        <w:gridCol w:w="1350"/>
      </w:tblGrid>
      <w:tr>
        <w:trPr/>
        <w:tc>
          <w:tcPr>
            <w:tcW w:w="2880" w:type="dxa"/>
            <w:tcBorders/>
          </w:tcPr>
          <w:p>
            <w:pPr>
              <w:pStyle w:val="Header"/>
              <w:widowControl/>
              <w:tabs>
                <w:tab w:val="clear" w:pos="4320"/>
                <w:tab w:val="clear" w:pos="8640"/>
              </w:tabs>
              <w:snapToGrid w:val="false"/>
              <w:rPr/>
            </w:pPr>
            <w:r>
              <w:rPr/>
            </w:r>
          </w:p>
        </w:tc>
        <w:tc>
          <w:tcPr>
            <w:tcW w:w="1710" w:type="dxa"/>
            <w:tcBorders/>
          </w:tcPr>
          <w:p>
            <w:pPr>
              <w:pStyle w:val="Header"/>
              <w:widowControl/>
              <w:tabs>
                <w:tab w:val="clear" w:pos="4320"/>
                <w:tab w:val="clear" w:pos="8640"/>
              </w:tabs>
              <w:jc w:val="end"/>
              <w:rPr>
                <w:b/>
                <w:u w:val="single"/>
              </w:rPr>
            </w:pPr>
            <w:r>
              <w:rPr>
                <w:b/>
                <w:u w:val="single"/>
              </w:rPr>
              <w:t>MTM @ LIBOR</w:t>
            </w:r>
          </w:p>
        </w:tc>
        <w:tc>
          <w:tcPr>
            <w:tcW w:w="1890" w:type="dxa"/>
            <w:tcBorders/>
          </w:tcPr>
          <w:p>
            <w:pPr>
              <w:pStyle w:val="Header"/>
              <w:widowControl/>
              <w:tabs>
                <w:tab w:val="clear" w:pos="4320"/>
                <w:tab w:val="clear" w:pos="8640"/>
              </w:tabs>
              <w:jc w:val="end"/>
              <w:rPr>
                <w:b/>
                <w:u w:val="single"/>
              </w:rPr>
            </w:pPr>
            <w:r>
              <w:rPr>
                <w:b/>
                <w:u w:val="single"/>
              </w:rPr>
              <w:t>Credit Reserve</w:t>
            </w:r>
            <w:r>
              <w:rPr>
                <w:b/>
                <w:u w:val="single"/>
                <w:vertAlign w:val="superscript"/>
              </w:rPr>
              <w:t>*3</w:t>
            </w:r>
          </w:p>
        </w:tc>
        <w:tc>
          <w:tcPr>
            <w:tcW w:w="1350" w:type="dxa"/>
            <w:tcBorders/>
          </w:tcPr>
          <w:p>
            <w:pPr>
              <w:pStyle w:val="Header"/>
              <w:widowControl/>
              <w:tabs>
                <w:tab w:val="clear" w:pos="4320"/>
                <w:tab w:val="clear" w:pos="8640"/>
              </w:tabs>
              <w:jc w:val="end"/>
              <w:rPr>
                <w:b/>
                <w:u w:val="single"/>
              </w:rPr>
            </w:pPr>
            <w:r>
              <w:rPr>
                <w:b/>
                <w:u w:val="single"/>
              </w:rPr>
              <w:t>NPV</w:t>
            </w:r>
          </w:p>
        </w:tc>
      </w:tr>
      <w:tr>
        <w:trPr/>
        <w:tc>
          <w:tcPr>
            <w:tcW w:w="2880" w:type="dxa"/>
            <w:tcBorders/>
          </w:tcPr>
          <w:p>
            <w:pPr>
              <w:pStyle w:val="Header"/>
              <w:widowControl/>
              <w:tabs>
                <w:tab w:val="clear" w:pos="4320"/>
                <w:tab w:val="clear" w:pos="8640"/>
              </w:tabs>
              <w:jc w:val="end"/>
              <w:rPr/>
            </w:pPr>
            <w:r>
              <w:rPr/>
              <w:t>Fees &amp; financing charges</w:t>
            </w:r>
          </w:p>
        </w:tc>
        <w:tc>
          <w:tcPr>
            <w:tcW w:w="1710" w:type="dxa"/>
            <w:tcBorders/>
          </w:tcPr>
          <w:p>
            <w:pPr>
              <w:pStyle w:val="Header"/>
              <w:widowControl/>
              <w:tabs>
                <w:tab w:val="clear" w:pos="4320"/>
                <w:tab w:val="clear" w:pos="8640"/>
              </w:tabs>
              <w:jc w:val="end"/>
              <w:rPr/>
            </w:pPr>
            <w:r>
              <w:rPr/>
              <w:t>$22.5</w:t>
            </w:r>
          </w:p>
        </w:tc>
        <w:tc>
          <w:tcPr>
            <w:tcW w:w="1890" w:type="dxa"/>
            <w:tcBorders/>
          </w:tcPr>
          <w:p>
            <w:pPr>
              <w:pStyle w:val="Header"/>
              <w:widowControl/>
              <w:tabs>
                <w:tab w:val="clear" w:pos="4320"/>
                <w:tab w:val="clear" w:pos="8640"/>
              </w:tabs>
              <w:jc w:val="end"/>
              <w:rPr/>
            </w:pPr>
            <w:r>
              <w:rPr/>
              <w:t>$11.2</w:t>
            </w:r>
          </w:p>
        </w:tc>
        <w:tc>
          <w:tcPr>
            <w:tcW w:w="1350" w:type="dxa"/>
            <w:tcBorders/>
          </w:tcPr>
          <w:p>
            <w:pPr>
              <w:pStyle w:val="Header"/>
              <w:widowControl/>
              <w:tabs>
                <w:tab w:val="clear" w:pos="4320"/>
                <w:tab w:val="clear" w:pos="8640"/>
              </w:tabs>
              <w:jc w:val="end"/>
              <w:rPr/>
            </w:pPr>
            <w:r>
              <w:rPr/>
              <w:t>$11.3</w:t>
            </w:r>
          </w:p>
        </w:tc>
      </w:tr>
      <w:tr>
        <w:trPr/>
        <w:tc>
          <w:tcPr>
            <w:tcW w:w="2880" w:type="dxa"/>
            <w:tcBorders/>
          </w:tcPr>
          <w:p>
            <w:pPr>
              <w:pStyle w:val="Header"/>
              <w:widowControl/>
              <w:tabs>
                <w:tab w:val="clear" w:pos="4320"/>
                <w:tab w:val="clear" w:pos="8640"/>
              </w:tabs>
              <w:jc w:val="end"/>
              <w:rPr/>
            </w:pPr>
            <w:r>
              <w:rPr/>
              <w:t>Loan @ Capital Price of 25%</w:t>
            </w:r>
          </w:p>
        </w:tc>
        <w:tc>
          <w:tcPr>
            <w:tcW w:w="1710" w:type="dxa"/>
            <w:tcBorders/>
          </w:tcPr>
          <w:p>
            <w:pPr>
              <w:pStyle w:val="Header"/>
              <w:widowControl/>
              <w:tabs>
                <w:tab w:val="clear" w:pos="4320"/>
                <w:tab w:val="clear" w:pos="8640"/>
              </w:tabs>
              <w:snapToGrid w:val="false"/>
              <w:jc w:val="end"/>
              <w:rPr/>
            </w:pPr>
            <w:r>
              <w:rPr/>
            </w:r>
          </w:p>
        </w:tc>
        <w:tc>
          <w:tcPr>
            <w:tcW w:w="1890" w:type="dxa"/>
            <w:tcBorders/>
          </w:tcPr>
          <w:p>
            <w:pPr>
              <w:pStyle w:val="Header"/>
              <w:widowControl/>
              <w:tabs>
                <w:tab w:val="clear" w:pos="4320"/>
                <w:tab w:val="clear" w:pos="8640"/>
              </w:tabs>
              <w:snapToGrid w:val="false"/>
              <w:jc w:val="end"/>
              <w:rPr/>
            </w:pPr>
            <w:r>
              <w:rPr/>
            </w:r>
          </w:p>
        </w:tc>
        <w:tc>
          <w:tcPr>
            <w:tcW w:w="1350" w:type="dxa"/>
            <w:tcBorders/>
          </w:tcPr>
          <w:p>
            <w:pPr>
              <w:pStyle w:val="Header"/>
              <w:widowControl/>
              <w:tabs>
                <w:tab w:val="clear" w:pos="4320"/>
                <w:tab w:val="clear" w:pos="8640"/>
              </w:tabs>
              <w:jc w:val="end"/>
              <w:rPr/>
            </w:pPr>
            <w:r>
              <w:rPr/>
              <w:t>(3.7)</w:t>
            </w:r>
          </w:p>
        </w:tc>
      </w:tr>
      <w:tr>
        <w:trPr/>
        <w:tc>
          <w:tcPr>
            <w:tcW w:w="2880" w:type="dxa"/>
            <w:tcBorders/>
          </w:tcPr>
          <w:p>
            <w:pPr>
              <w:pStyle w:val="Header"/>
              <w:widowControl/>
              <w:tabs>
                <w:tab w:val="clear" w:pos="4320"/>
                <w:tab w:val="clear" w:pos="8640"/>
              </w:tabs>
              <w:jc w:val="end"/>
              <w:rPr/>
            </w:pPr>
            <w:r>
              <w:rPr/>
              <w:t>Detachable Warrants</w:t>
            </w:r>
          </w:p>
        </w:tc>
        <w:tc>
          <w:tcPr>
            <w:tcW w:w="1710" w:type="dxa"/>
            <w:tcBorders/>
          </w:tcPr>
          <w:p>
            <w:pPr>
              <w:pStyle w:val="Header"/>
              <w:widowControl/>
              <w:tabs>
                <w:tab w:val="clear" w:pos="4320"/>
                <w:tab w:val="clear" w:pos="8640"/>
              </w:tabs>
              <w:snapToGrid w:val="false"/>
              <w:jc w:val="end"/>
              <w:rPr/>
            </w:pPr>
            <w:r>
              <w:rPr/>
            </w:r>
          </w:p>
        </w:tc>
        <w:tc>
          <w:tcPr>
            <w:tcW w:w="1890" w:type="dxa"/>
            <w:tcBorders/>
          </w:tcPr>
          <w:p>
            <w:pPr>
              <w:pStyle w:val="Header"/>
              <w:widowControl/>
              <w:tabs>
                <w:tab w:val="clear" w:pos="4320"/>
                <w:tab w:val="clear" w:pos="8640"/>
              </w:tabs>
              <w:snapToGrid w:val="false"/>
              <w:jc w:val="end"/>
              <w:rPr/>
            </w:pPr>
            <w:r>
              <w:rPr/>
            </w:r>
          </w:p>
        </w:tc>
        <w:tc>
          <w:tcPr>
            <w:tcW w:w="1350" w:type="dxa"/>
            <w:tcBorders/>
          </w:tcPr>
          <w:p>
            <w:pPr>
              <w:pStyle w:val="Header"/>
              <w:widowControl/>
              <w:tabs>
                <w:tab w:val="clear" w:pos="4320"/>
                <w:tab w:val="clear" w:pos="8640"/>
              </w:tabs>
              <w:jc w:val="end"/>
              <w:rPr>
                <w:u w:val="single"/>
              </w:rPr>
            </w:pPr>
            <w:r>
              <w:rPr>
                <w:u w:val="single"/>
              </w:rPr>
              <w:t>.1</w:t>
            </w:r>
          </w:p>
        </w:tc>
      </w:tr>
      <w:tr>
        <w:trPr/>
        <w:tc>
          <w:tcPr>
            <w:tcW w:w="2880" w:type="dxa"/>
            <w:tcBorders/>
          </w:tcPr>
          <w:p>
            <w:pPr>
              <w:pStyle w:val="Header"/>
              <w:widowControl/>
              <w:tabs>
                <w:tab w:val="clear" w:pos="4320"/>
                <w:tab w:val="clear" w:pos="8640"/>
              </w:tabs>
              <w:jc w:val="end"/>
              <w:rPr/>
            </w:pPr>
            <w:r>
              <w:rPr/>
              <w:t>Total Transaction</w:t>
            </w:r>
          </w:p>
        </w:tc>
        <w:tc>
          <w:tcPr>
            <w:tcW w:w="1710" w:type="dxa"/>
            <w:tcBorders/>
          </w:tcPr>
          <w:p>
            <w:pPr>
              <w:pStyle w:val="Header"/>
              <w:widowControl/>
              <w:tabs>
                <w:tab w:val="clear" w:pos="4320"/>
                <w:tab w:val="clear" w:pos="8640"/>
              </w:tabs>
              <w:snapToGrid w:val="false"/>
              <w:jc w:val="end"/>
              <w:rPr/>
            </w:pPr>
            <w:r>
              <w:rPr/>
            </w:r>
          </w:p>
        </w:tc>
        <w:tc>
          <w:tcPr>
            <w:tcW w:w="1890" w:type="dxa"/>
            <w:tcBorders/>
          </w:tcPr>
          <w:p>
            <w:pPr>
              <w:pStyle w:val="Header"/>
              <w:widowControl/>
              <w:tabs>
                <w:tab w:val="clear" w:pos="4320"/>
                <w:tab w:val="clear" w:pos="8640"/>
              </w:tabs>
              <w:snapToGrid w:val="false"/>
              <w:jc w:val="end"/>
              <w:rPr/>
            </w:pPr>
            <w:r>
              <w:rPr/>
            </w:r>
          </w:p>
        </w:tc>
        <w:tc>
          <w:tcPr>
            <w:tcW w:w="1350" w:type="dxa"/>
            <w:tcBorders/>
          </w:tcPr>
          <w:p>
            <w:pPr>
              <w:pStyle w:val="Header"/>
              <w:widowControl/>
              <w:tabs>
                <w:tab w:val="clear" w:pos="4320"/>
                <w:tab w:val="clear" w:pos="8640"/>
              </w:tabs>
              <w:jc w:val="end"/>
              <w:rPr>
                <w:u w:val="double"/>
              </w:rPr>
            </w:pPr>
            <w:r>
              <w:rPr>
                <w:u w:val="double"/>
              </w:rPr>
              <w:t>$7.7</w:t>
            </w:r>
          </w:p>
        </w:tc>
      </w:tr>
    </w:tbl>
    <w:p>
      <w:pPr>
        <w:pStyle w:val="Header"/>
        <w:widowControl/>
        <w:tabs>
          <w:tab w:val="clear" w:pos="4320"/>
          <w:tab w:val="clear" w:pos="8640"/>
        </w:tabs>
        <w:rPr>
          <w:b/>
          <w:vertAlign w:val="superscript"/>
        </w:rPr>
      </w:pPr>
      <w:r>
        <w:rPr>
          <w:b/>
          <w:vertAlign w:val="superscript"/>
        </w:rPr>
      </w:r>
    </w:p>
    <w:p>
      <w:pPr>
        <w:pStyle w:val="Header"/>
        <w:widowControl/>
        <w:tabs>
          <w:tab w:val="clear" w:pos="4320"/>
          <w:tab w:val="clear" w:pos="8640"/>
        </w:tabs>
        <w:rPr/>
      </w:pPr>
      <w:r>
        <w:rPr>
          <w:b/>
          <w:vertAlign w:val="superscript"/>
        </w:rPr>
        <w:t xml:space="preserve">*2: </w:t>
      </w:r>
      <w:r>
        <w:rPr>
          <w:b/>
        </w:rPr>
        <w:t xml:space="preserve"> </w:t>
      </w:r>
      <w:r>
        <w:rPr>
          <w:bCs/>
        </w:rPr>
        <w:t>Does not include any price risks associated with the physical short position which will be managed by EIM trading desk.</w:t>
      </w:r>
    </w:p>
    <w:p>
      <w:pPr>
        <w:pStyle w:val="Header"/>
        <w:widowControl/>
        <w:tabs>
          <w:tab w:val="clear" w:pos="4320"/>
          <w:tab w:val="clear" w:pos="8640"/>
        </w:tabs>
        <w:rPr>
          <w:b/>
          <w:vertAlign w:val="superscript"/>
        </w:rPr>
      </w:pPr>
      <w:r>
        <w:rPr>
          <w:b/>
          <w:vertAlign w:val="superscript"/>
        </w:rPr>
        <w:t xml:space="preserve">*3:  </w:t>
      </w:r>
      <w:r>
        <w:rPr/>
        <w:t>Represents expected losses equivalent to a counterparty credit of CCC+ with an implied discount rate of 25% p.a.</w:t>
      </w:r>
      <w:r>
        <w:br w:type="page"/>
      </w:r>
    </w:p>
    <w:p>
      <w:pPr>
        <w:pStyle w:val="Normal"/>
        <w:pBdr>
          <w:top w:val="single" w:sz="8" w:space="0" w:color="000000"/>
        </w:pBdr>
        <w:ind w:end="-36"/>
        <w:rPr>
          <w:b/>
        </w:rPr>
      </w:pPr>
      <w:r>
        <w:rPr>
          <w:b/>
        </w:rPr>
        <w:t>TRANSACTION UPSIDES/OPTIONALITY</w:t>
      </w:r>
    </w:p>
    <w:p>
      <w:pPr>
        <w:pStyle w:val="Normal"/>
        <w:numPr>
          <w:ilvl w:val="0"/>
          <w:numId w:val="11"/>
        </w:numPr>
        <w:ind w:hanging="360" w:start="360" w:end="-36"/>
        <w:rPr/>
      </w:pPr>
      <w:r>
        <w:rPr/>
        <w:t>The physical inventory purchased will provide EIM the platform needed to start its trading activities and the valuable access to market information and direct contact with the steel producers.</w:t>
      </w:r>
    </w:p>
    <w:p>
      <w:pPr>
        <w:pStyle w:val="Normal"/>
        <w:pBdr>
          <w:top w:val="single" w:sz="8" w:space="0" w:color="000000"/>
        </w:pBdr>
        <w:ind w:end="-36"/>
        <w:rPr>
          <w:b/>
        </w:rPr>
      </w:pPr>
      <w:r>
        <w:rPr>
          <w:b/>
        </w:rPr>
        <w:t>EXIT/FUNDING STRATEGY</w:t>
      </w:r>
    </w:p>
    <w:p>
      <w:pPr>
        <w:pStyle w:val="List"/>
        <w:numPr>
          <w:ilvl w:val="0"/>
          <w:numId w:val="2"/>
        </w:numPr>
        <w:rPr/>
      </w:pPr>
      <w:r>
        <w:rPr/>
        <w:t>The inventory purchase will initially be funded on Enron’s balance sheet, pending the establishment of a funding vehicle for EIM assets.</w:t>
      </w:r>
    </w:p>
    <w:p>
      <w:pPr>
        <w:pStyle w:val="Heading2"/>
        <w:widowControl/>
        <w:pBdr>
          <w:top w:val="single" w:sz="8" w:space="1" w:color="000000"/>
        </w:pBdr>
        <w:ind w:hanging="0" w:start="0" w:end="-36"/>
        <w:rPr>
          <w:b w:val="false"/>
          <w:i w:val="false"/>
          <w:i w:val="false"/>
        </w:rPr>
      </w:pPr>
      <w:r>
        <w:rPr>
          <w:b w:val="false"/>
          <w:i w:val="false"/>
        </w:rPr>
        <w:t xml:space="preserve">RISK MATRIX </w:t>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Counterparty Credit Risks</w:t>
            </w:r>
          </w:p>
          <w:p>
            <w:pPr>
              <w:pStyle w:val="List"/>
              <w:numPr>
                <w:ilvl w:val="0"/>
                <w:numId w:val="6"/>
              </w:numPr>
              <w:rPr/>
            </w:pPr>
            <w:r>
              <w:rPr/>
              <w:t xml:space="preserve">HCO had experienced net losses in the last four consecutive years, stemming mainly from low and declining operating margins as a result of its exposure to the commodity prices of both the raw material and the finished goods in a cyclical and competitive market.  </w:t>
            </w:r>
          </w:p>
          <w:p>
            <w:pPr>
              <w:pStyle w:val="List"/>
              <w:numPr>
                <w:ilvl w:val="0"/>
                <w:numId w:val="6"/>
              </w:numPr>
              <w:rPr/>
            </w:pPr>
            <w:r>
              <w:rPr/>
              <w:t>HCO’s market capitalization is currently about $8.9 million, or 9% of its book equity.  It’s market capitalization has been below NYSE’s trading threshold since October 2000 and may be de-listed unless a grace period is granted for HCO.</w:t>
            </w:r>
          </w:p>
          <w:p>
            <w:pPr>
              <w:pStyle w:val="List"/>
              <w:numPr>
                <w:ilvl w:val="0"/>
                <w:numId w:val="6"/>
              </w:numPr>
              <w:rPr/>
            </w:pPr>
            <w:r>
              <w:rPr/>
              <w:t xml:space="preserve">The company’s current debt to its total market capitalization ratio is 91% and it has borrowed against the full capacity of its borrowing base.  All of HCO’s existing indebtedness is senior secured debt with priority over EIM’s claims to HCO.  HCO’s weak competitive position compared to other steel processors, as seen in </w:t>
            </w:r>
            <w:r>
              <w:rPr>
                <w:b/>
              </w:rPr>
              <w:t>Exhibit A</w:t>
            </w:r>
            <w:r>
              <w:rPr/>
              <w:t>, increases its probability of a default in the near future, and incurs an estimated default probability exceeding 90% by year 7 of the transaction.</w:t>
            </w:r>
          </w:p>
          <w:p>
            <w:pPr>
              <w:pStyle w:val="Normal"/>
              <w:numPr>
                <w:ilvl w:val="0"/>
                <w:numId w:val="6"/>
              </w:numPr>
              <w:rPr/>
            </w:pPr>
            <w:r>
              <w:rPr/>
              <w:t>Viewing the inventory management agreement and the Subordinated Loan collectively, EIM’s cash loss and MTM exposure to HCO’s default in months 12 would be $2.5 million and $18.1 million, respectively.  The cash loss and MTM exposure to HCO’s default in months 24 would be $3.4 million and $15.7 million, respectively, upon default and including the reserve discount in Phase I.  The losses could potentially be higher than expected if the transaction is re-characterized as an executory contract and rejected in a bankruptcy proceeding without any recovery of the claims.  The principal advance of the $10.0 million loan will not be fully recovered until the 36</w:t>
            </w:r>
            <w:r>
              <w:rPr>
                <w:vertAlign w:val="superscript"/>
              </w:rPr>
              <w:t>th</w:t>
            </w:r>
            <w:r>
              <w:rPr/>
              <w:t xml:space="preserve"> month. </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9"/>
              </w:numPr>
              <w:rPr/>
            </w:pPr>
            <w:r>
              <w:rPr/>
              <w:t>For the inventory management agreement, the credit risk associated with the product sale to HCO is substantially mitigated by requiring cash payments from HCO upon product deliveries, and by withholding a reserve discount from the purchase price paid to HCO during Phase I.</w:t>
            </w:r>
          </w:p>
          <w:p>
            <w:pPr>
              <w:pStyle w:val="List"/>
              <w:numPr>
                <w:ilvl w:val="0"/>
                <w:numId w:val="17"/>
              </w:numPr>
              <w:ind w:hanging="360" w:start="342" w:end="0"/>
              <w:rPr/>
            </w:pPr>
            <w:r>
              <w:rPr/>
              <w:t>EIM will have legal title to the product purchased from HCO in Phase I.  Additionally, EIM will file to secure a first lien position on the same products to safeguard against a potential re-characterization of the inventory management agreement as a financing arrangement.</w:t>
            </w:r>
          </w:p>
          <w:p>
            <w:pPr>
              <w:pStyle w:val="Normal"/>
              <w:numPr>
                <w:ilvl w:val="0"/>
                <w:numId w:val="9"/>
              </w:numPr>
              <w:rPr/>
            </w:pPr>
            <w:r>
              <w:rPr/>
              <w:t>EIM’s Subordinated Loan will be secured by a second lien on the same assets pledged to the senior facility.  However, the recovery value of such second lien position is uncertain, subject to HCO’s liquidation value upon default and the prevailing balance outstanding under the senior facility.</w:t>
            </w:r>
          </w:p>
          <w:p>
            <w:pPr>
              <w:pStyle w:val="Normal"/>
              <w:numPr>
                <w:ilvl w:val="0"/>
                <w:numId w:val="9"/>
              </w:numPr>
              <w:rPr/>
            </w:pPr>
            <w:r>
              <w:rPr/>
              <w:t>HCO is in the process of selling its cold mill that currently incurs about $1 million net loss per month and has a total debt and lease balance of approximately $23 million.  The funding of any amount associated with this transaction will be subject to HCO’s ability to achieve a sale of the cold mill for proceeds of at least $17 million plus other terms satisfactory to EIM and RAC.  See “</w:t>
            </w:r>
            <w:r>
              <w:rPr>
                <w:b/>
                <w:bCs/>
              </w:rPr>
              <w:t>CONDITIONS PRECEDENT</w:t>
            </w:r>
            <w:r>
              <w:rPr/>
              <w: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Inventory Monitoring</w:t>
            </w:r>
          </w:p>
          <w:p>
            <w:pPr>
              <w:pStyle w:val="List"/>
              <w:numPr>
                <w:ilvl w:val="0"/>
                <w:numId w:val="10"/>
              </w:numPr>
              <w:rPr>
                <w:i/>
                <w:i/>
              </w:rPr>
            </w:pPr>
            <w:r>
              <w:rPr/>
              <w:t xml:space="preserve">Given that the inventories will be stored at HCO’s existing warehouses, there exists a possibility that certain inventory may be removed by HCO without EIM authorization. </w:t>
            </w:r>
          </w:p>
          <w:p>
            <w:pPr>
              <w:pStyle w:val="List"/>
              <w:numPr>
                <w:ilvl w:val="0"/>
                <w:numId w:val="10"/>
              </w:numPr>
              <w:rPr>
                <w:i/>
                <w:i/>
              </w:rPr>
            </w:pPr>
            <w:r>
              <w:rPr/>
              <w:t xml:space="preserve">The warehouse agreement provides storage space to EIM without charges.  In a bankruptcy event, EIM may have to incur additional costs to locate an alternative storage facility for the inventory if the warehouse agreement is rejected.  </w:t>
            </w:r>
          </w:p>
          <w:p>
            <w:pPr>
              <w:pStyle w:val="List"/>
              <w:numPr>
                <w:ilvl w:val="0"/>
                <w:numId w:val="10"/>
              </w:numPr>
              <w:rPr>
                <w:i/>
                <w:i/>
              </w:rPr>
            </w:pPr>
            <w:r>
              <w:rPr>
                <w:iCs/>
              </w:rPr>
              <w:t>Usage of the storage space under a warehouse agreement versus a lease, which conveys certain property interests to the lessee, may cause more restrictive access to the facility for purpose of removing EIM owned inventory in a bankruptcy.</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i/>
                <w:i/>
              </w:rPr>
            </w:pPr>
            <w:r>
              <w:rPr>
                <w:i/>
              </w:rPr>
            </w:r>
          </w:p>
          <w:p>
            <w:pPr>
              <w:pStyle w:val="List"/>
              <w:numPr>
                <w:ilvl w:val="0"/>
                <w:numId w:val="17"/>
              </w:numPr>
              <w:ind w:hanging="360" w:start="342" w:end="0"/>
              <w:rPr/>
            </w:pPr>
            <w:r>
              <w:rPr/>
              <w:t xml:space="preserve">The contracts allow for audits at Enron’s discretion. Enron intends to conduct periodic audits to ensure integrity of the inventory management process.  </w:t>
            </w:r>
          </w:p>
          <w:p>
            <w:pPr>
              <w:pStyle w:val="List"/>
              <w:numPr>
                <w:ilvl w:val="0"/>
                <w:numId w:val="17"/>
              </w:numPr>
              <w:ind w:hanging="360" w:start="342" w:end="0"/>
              <w:rPr/>
            </w:pPr>
            <w:r>
              <w:rPr/>
              <w:t>EIM will be an additional insured party of HCO’s insurance policy and a loss payee, capped at $55 million.  Enron Insurance had reviewed HCO’s insurance policy and was satisfied with the terms and coverage.</w:t>
            </w:r>
          </w:p>
          <w:p>
            <w:pPr>
              <w:pStyle w:val="List"/>
              <w:numPr>
                <w:ilvl w:val="0"/>
                <w:numId w:val="17"/>
              </w:numPr>
              <w:ind w:hanging="360" w:start="342" w:end="0"/>
              <w:rPr/>
            </w:pPr>
            <w:r>
              <w:rPr/>
              <w:t>EIM intends to negotiate into the inter-creditor agreement that, if Huntco sells EIM’s inventory without proper authorization, Congress must disgorge the proceeds upon the sale of this inventory to EIM.  It is uncertain if EIM will succeed in obtaining such provision.</w:t>
            </w:r>
          </w:p>
          <w:p>
            <w:pPr>
              <w:pStyle w:val="List"/>
              <w:numPr>
                <w:ilvl w:val="0"/>
                <w:numId w:val="17"/>
              </w:numPr>
              <w:ind w:hanging="360" w:start="342" w:end="0"/>
              <w:rPr/>
            </w:pPr>
            <w:r>
              <w:rPr/>
              <w:t>Enron Legal is in the opinion that EIM’s access to its owned inventory, in a HCO default where the transaction is viewed as an executory contract and rejected by the bankruptcy judge, will primarily rest on EIM’s proof of its ownership of the inventory, not the arrangement under which the storage space is obtained.  The benefit of accessing the storage facility under a lease agreement as opposed to the proposed warehouse agreement is deemed to be marginal and does not outweigh the burden of potential environmental liabilities associated with a lease.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Trading Operations</w:t>
            </w:r>
          </w:p>
          <w:p>
            <w:pPr>
              <w:pStyle w:val="Normal"/>
              <w:numPr>
                <w:ilvl w:val="0"/>
                <w:numId w:val="17"/>
              </w:numPr>
              <w:tabs>
                <w:tab w:val="clear" w:pos="720"/>
                <w:tab w:val="left" w:pos="342" w:leader="none"/>
              </w:tabs>
              <w:ind w:hanging="342" w:start="342" w:end="0"/>
              <w:rPr/>
            </w:pPr>
            <w:r>
              <w:rPr/>
              <w:t>System and process development is underway to support Huntco with regard to orders and billing.</w:t>
            </w:r>
          </w:p>
          <w:p>
            <w:pPr>
              <w:pStyle w:val="Normal"/>
              <w:numPr>
                <w:ilvl w:val="0"/>
                <w:numId w:val="17"/>
              </w:numPr>
              <w:tabs>
                <w:tab w:val="clear" w:pos="720"/>
                <w:tab w:val="left" w:pos="342" w:leader="none"/>
              </w:tabs>
              <w:ind w:hanging="342" w:start="342" w:end="0"/>
              <w:rPr/>
            </w:pPr>
            <w:r>
              <w:rPr/>
              <w:t>The mid-and back office infrastructure of people, processes and systems is being developed to support this new business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17"/>
              </w:numPr>
              <w:tabs>
                <w:tab w:val="clear" w:pos="720"/>
                <w:tab w:val="left" w:pos="342" w:leader="none"/>
              </w:tabs>
              <w:ind w:hanging="342" w:start="342" w:end="0"/>
              <w:rPr/>
            </w:pPr>
            <w:r>
              <w:rPr/>
              <w:t>There is a 30-day period between signing and when HCO and EIM begin executing transactions together.  EIM believes that this period is sufficient to have the infrastructure in place to efficiently support the daily transaction requirements.  It is expected that some inventory tracking and billing functions may be manual and labor intensive for the first few months of the operation.</w:t>
            </w:r>
          </w:p>
          <w:p>
            <w:pPr>
              <w:pStyle w:val="Normal"/>
              <w:numPr>
                <w:ilvl w:val="0"/>
                <w:numId w:val="17"/>
              </w:numPr>
              <w:tabs>
                <w:tab w:val="clear" w:pos="720"/>
                <w:tab w:val="left" w:pos="342" w:leader="none"/>
              </w:tabs>
              <w:ind w:hanging="342" w:start="342" w:end="0"/>
              <w:rPr/>
            </w:pPr>
            <w:r>
              <w:rPr/>
              <w:t>Meetings are underway with HCO to insure that the transition is as seamless as possible.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Logistics</w:t>
            </w:r>
          </w:p>
          <w:p>
            <w:pPr>
              <w:pStyle w:val="List"/>
              <w:numPr>
                <w:ilvl w:val="0"/>
                <w:numId w:val="19"/>
              </w:numPr>
              <w:rPr/>
            </w:pPr>
            <w:r>
              <w:rPr/>
              <w:t>Locational basis estimates are being calculated using historical data from the last 24-30 months.  Going forward, EIM will need to have a strong understanding of the transportation costs associated with supporting HCO at all sites.  Transportation will be important in calculating the locational basis differences and updating the values.</w:t>
            </w:r>
          </w:p>
          <w:p>
            <w:pPr>
              <w:pStyle w:val="List"/>
              <w:numPr>
                <w:ilvl w:val="0"/>
                <w:numId w:val="19"/>
              </w:numPr>
              <w:rPr/>
            </w:pPr>
            <w:r>
              <w:rPr/>
              <w:t>A Warehouse Agreement is being put in place, which should clearly set expectations for both HCO and EIM with regard to storage and purchase of inventory.</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List"/>
              <w:numPr>
                <w:ilvl w:val="0"/>
                <w:numId w:val="3"/>
              </w:numPr>
              <w:rPr/>
            </w:pPr>
            <w:r>
              <w:rPr/>
              <w:t>The logistics group is studying the transportation costs associated with supporting the HCO transaction and will be prepared to implement the inventory management process within the 30-day period following signing as agreed in the contracts.</w:t>
            </w:r>
          </w:p>
        </w:tc>
      </w:tr>
    </w:tbl>
    <w:p>
      <w:pPr>
        <w:pStyle w:val="Normal"/>
        <w:pBdr>
          <w:top w:val="single" w:sz="4" w:space="1" w:color="000000"/>
        </w:pBdr>
        <w:rPr/>
      </w:pPr>
      <w:r>
        <w:rPr/>
        <w:t>KEY SUCCESS FACTORS</w:t>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jc w:val="center"/>
              <w:rPr>
                <w:b/>
              </w:rPr>
            </w:pPr>
            <w:r>
              <w:rPr>
                <w:b/>
              </w:rPr>
              <w:t>NA</w:t>
            </w:r>
          </w:p>
        </w:tc>
        <w:tc>
          <w:tcPr>
            <w:tcW w:w="1170" w:type="dxa"/>
            <w:tcBorders>
              <w:top w:val="single" w:sz="4" w:space="0" w:color="000000"/>
              <w:start w:val="single" w:sz="4" w:space="0" w:color="000000"/>
            </w:tcBorders>
          </w:tcPr>
          <w:p>
            <w:pPr>
              <w:pStyle w:val="Heading1"/>
              <w:ind w:hanging="0" w:start="0"/>
              <w:rPr/>
            </w:pPr>
            <w:r>
              <w:rPr/>
              <w:t>Poor</w:t>
            </w:r>
          </w:p>
        </w:tc>
        <w:tc>
          <w:tcPr>
            <w:tcW w:w="1170" w:type="dxa"/>
            <w:tcBorders>
              <w:top w:val="single" w:sz="4" w:space="0" w:color="000000"/>
            </w:tcBorders>
          </w:tcPr>
          <w:p>
            <w:pPr>
              <w:pStyle w:val="Heading1"/>
              <w:snapToGrid w:val="false"/>
              <w:ind w:hanging="0" w:start="0"/>
              <w:rPr/>
            </w:pPr>
            <w:r>
              <w:rPr/>
            </w:r>
          </w:p>
        </w:tc>
        <w:tc>
          <w:tcPr>
            <w:tcW w:w="1170" w:type="dxa"/>
            <w:tcBorders>
              <w:top w:val="single" w:sz="4" w:space="0" w:color="000000"/>
            </w:tcBorders>
          </w:tcPr>
          <w:p>
            <w:pPr>
              <w:pStyle w:val="Heading1"/>
              <w:snapToGrid w:val="false"/>
              <w:ind w:hanging="0" w:start="0"/>
              <w:rPr/>
            </w:pPr>
            <w:r>
              <w:rPr/>
            </w:r>
          </w:p>
        </w:tc>
        <w:tc>
          <w:tcPr>
            <w:tcW w:w="1170" w:type="dxa"/>
            <w:tcBorders>
              <w:top w:val="single" w:sz="4" w:space="0" w:color="000000"/>
            </w:tcBorders>
          </w:tcPr>
          <w:p>
            <w:pPr>
              <w:pStyle w:val="Heading1"/>
              <w:snapToGrid w:val="false"/>
              <w:ind w:hanging="0" w:start="0"/>
              <w:rPr/>
            </w:pPr>
            <w:r>
              <w:rPr/>
            </w:r>
          </w:p>
        </w:tc>
        <w:tc>
          <w:tcPr>
            <w:tcW w:w="1170" w:type="dxa"/>
            <w:tcBorders>
              <w:top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tcBorders>
          </w:tcPr>
          <w:p>
            <w:pPr>
              <w:pStyle w:val="Normal"/>
              <w:snapToGrid w:val="false"/>
              <w:rPr/>
            </w:pPr>
            <w:r>
              <w:rPr/>
            </w:r>
          </w:p>
        </w:tc>
        <w:tc>
          <w:tcPr>
            <w:tcW w:w="1170" w:type="dxa"/>
            <w:tcBorders>
              <w:top w:val="single" w:sz="4" w:space="0" w:color="000000"/>
            </w:tcBorders>
          </w:tcPr>
          <w:p>
            <w:pPr>
              <w:pStyle w:val="Normal"/>
              <w:snapToGrid w:val="false"/>
              <w:rPr/>
            </w:pPr>
            <w:r>
              <w:rPr/>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tcBorders>
          </w:tcPr>
          <w:p>
            <w:pPr>
              <w:pStyle w:val="Normal"/>
              <w:jc w:val="center"/>
              <w:rPr/>
            </w:pPr>
            <w:r>
              <w:rPr/>
              <w:t>X</w:t>
            </w:r>
          </w:p>
        </w:tc>
        <w:tc>
          <w:tcPr>
            <w:tcW w:w="1170" w:type="dxa"/>
            <w:tcBorders>
              <w:top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tcBorders>
          </w:tcPr>
          <w:p>
            <w:pPr>
              <w:pStyle w:val="Normal"/>
              <w:snapToGrid w:val="false"/>
              <w:rPr/>
            </w:pPr>
            <w:r>
              <w:rPr/>
            </w:r>
          </w:p>
        </w:tc>
        <w:tc>
          <w:tcPr>
            <w:tcW w:w="1170" w:type="dxa"/>
            <w:tcBorders>
              <w:top w:val="single" w:sz="4" w:space="0" w:color="000000"/>
            </w:tcBorders>
          </w:tcPr>
          <w:p>
            <w:pPr>
              <w:pStyle w:val="Normal"/>
              <w:snapToGrid w:val="false"/>
              <w:rPr/>
            </w:pPr>
            <w:r>
              <w:rPr/>
            </w:r>
          </w:p>
        </w:tc>
        <w:tc>
          <w:tcPr>
            <w:tcW w:w="1170" w:type="dxa"/>
            <w:tcBorders>
              <w:top w:val="single" w:sz="4" w:space="0" w:color="000000"/>
            </w:tcBorders>
          </w:tcPr>
          <w:p>
            <w:pPr>
              <w:pStyle w:val="Normal"/>
              <w:snapToGrid w:val="false"/>
              <w:rPr/>
            </w:pPr>
            <w:r>
              <w:rPr/>
            </w:r>
          </w:p>
        </w:tc>
        <w:tc>
          <w:tcPr>
            <w:tcW w:w="1170" w:type="dxa"/>
            <w:tcBorders>
              <w:top w:val="single" w:sz="4" w:space="0" w:color="000000"/>
            </w:tcBorders>
          </w:tcPr>
          <w:p>
            <w:pPr>
              <w:pStyle w:val="Normal"/>
              <w:jc w:val="end"/>
              <w:rPr/>
            </w:pPr>
            <w:r>
              <w:rPr/>
              <w:t>X</w:t>
            </w:r>
          </w:p>
        </w:tc>
        <w:tc>
          <w:tcPr>
            <w:tcW w:w="1170" w:type="dxa"/>
            <w:tcBorders>
              <w:top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Execution Risk</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tcBorders>
          </w:tcPr>
          <w:p>
            <w:pPr>
              <w:pStyle w:val="Normal"/>
              <w:snapToGrid w:val="false"/>
              <w:rPr/>
            </w:pPr>
            <w:r>
              <w:rPr/>
            </w:r>
          </w:p>
        </w:tc>
        <w:tc>
          <w:tcPr>
            <w:tcW w:w="1170" w:type="dxa"/>
            <w:tcBorders>
              <w:top w:val="single" w:sz="4" w:space="0" w:color="000000"/>
            </w:tcBorders>
          </w:tcPr>
          <w:p>
            <w:pPr>
              <w:pStyle w:val="Normal"/>
              <w:jc w:val="end"/>
              <w:rPr/>
            </w:pPr>
            <w:r>
              <w:rPr/>
              <w:t>X</w:t>
            </w:r>
          </w:p>
        </w:tc>
        <w:tc>
          <w:tcPr>
            <w:tcW w:w="1170" w:type="dxa"/>
            <w:tcBorders>
              <w:top w:val="single" w:sz="4" w:space="0" w:color="000000"/>
            </w:tcBorders>
          </w:tcPr>
          <w:p>
            <w:pPr>
              <w:pStyle w:val="Normal"/>
              <w:snapToGrid w:val="false"/>
              <w:jc w:val="center"/>
              <w:rPr/>
            </w:pPr>
            <w:r>
              <w:rPr/>
            </w:r>
          </w:p>
        </w:tc>
        <w:tc>
          <w:tcPr>
            <w:tcW w:w="1170" w:type="dxa"/>
            <w:tcBorders>
              <w:top w:val="single" w:sz="4" w:space="0" w:color="000000"/>
            </w:tcBorders>
          </w:tcPr>
          <w:p>
            <w:pPr>
              <w:pStyle w:val="Normal"/>
              <w:snapToGrid w:val="false"/>
              <w:rPr/>
            </w:pPr>
            <w:r>
              <w:rPr/>
            </w:r>
          </w:p>
        </w:tc>
        <w:tc>
          <w:tcPr>
            <w:tcW w:w="1170" w:type="dxa"/>
            <w:tcBorders>
              <w:top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tcBorders>
          </w:tcPr>
          <w:p>
            <w:pPr>
              <w:pStyle w:val="Normal"/>
              <w:snapToGrid w:val="false"/>
              <w:rPr/>
            </w:pPr>
            <w:r>
              <w:rPr/>
            </w:r>
          </w:p>
        </w:tc>
        <w:tc>
          <w:tcPr>
            <w:tcW w:w="1170" w:type="dxa"/>
            <w:tcBorders>
              <w:top w:val="single" w:sz="4" w:space="0" w:color="000000"/>
            </w:tcBorders>
          </w:tcPr>
          <w:p>
            <w:pPr>
              <w:pStyle w:val="Normal"/>
              <w:snapToGrid w:val="false"/>
              <w:jc w:val="end"/>
              <w:rPr/>
            </w:pPr>
            <w:r>
              <w:rPr/>
            </w:r>
          </w:p>
        </w:tc>
        <w:tc>
          <w:tcPr>
            <w:tcW w:w="1170" w:type="dxa"/>
            <w:tcBorders>
              <w:top w:val="single" w:sz="4" w:space="0" w:color="000000"/>
            </w:tcBorders>
          </w:tcPr>
          <w:p>
            <w:pPr>
              <w:pStyle w:val="Normal"/>
              <w:jc w:val="center"/>
              <w:rPr/>
            </w:pPr>
            <w:r>
              <w:rPr/>
              <w:t>X</w:t>
            </w:r>
          </w:p>
        </w:tc>
        <w:tc>
          <w:tcPr>
            <w:tcW w:w="1170" w:type="dxa"/>
            <w:tcBorders>
              <w:top w:val="single" w:sz="4" w:space="0" w:color="000000"/>
            </w:tcBorders>
          </w:tcPr>
          <w:p>
            <w:pPr>
              <w:pStyle w:val="Normal"/>
              <w:snapToGrid w:val="false"/>
              <w:rPr/>
            </w:pPr>
            <w:r>
              <w:rPr/>
            </w:r>
          </w:p>
        </w:tc>
        <w:tc>
          <w:tcPr>
            <w:tcW w:w="1170" w:type="dxa"/>
            <w:tcBorders>
              <w:top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rPr/>
            </w:pPr>
            <w:r>
              <w:rPr/>
              <w:t>X</w:t>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start w:val="single" w:sz="4" w:space="0" w:color="000000"/>
              <w:bottom w:val="single" w:sz="4" w:space="0" w:color="000000"/>
            </w:tcBorders>
          </w:tcPr>
          <w:p>
            <w:pPr>
              <w:pStyle w:val="Normal"/>
              <w:snapToGrid w:val="false"/>
              <w:rPr/>
            </w:pPr>
            <w:r>
              <w:rPr/>
            </w:r>
          </w:p>
        </w:tc>
        <w:tc>
          <w:tcPr>
            <w:tcW w:w="1170" w:type="dxa"/>
            <w:tcBorders>
              <w:bottom w:val="single" w:sz="4" w:space="0" w:color="000000"/>
            </w:tcBorders>
          </w:tcPr>
          <w:p>
            <w:pPr>
              <w:pStyle w:val="Normal"/>
              <w:jc w:val="center"/>
              <w:rPr/>
            </w:pPr>
            <w:r>
              <w:rPr/>
              <w:t>X</w:t>
            </w:r>
          </w:p>
        </w:tc>
        <w:tc>
          <w:tcPr>
            <w:tcW w:w="1170" w:type="dxa"/>
            <w:tcBorders>
              <w:bottom w:val="single" w:sz="4" w:space="0" w:color="000000"/>
            </w:tcBorders>
          </w:tcPr>
          <w:p>
            <w:pPr>
              <w:pStyle w:val="Normal"/>
              <w:snapToGrid w:val="false"/>
              <w:rPr/>
            </w:pPr>
            <w:r>
              <w:rPr/>
            </w:r>
          </w:p>
        </w:tc>
        <w:tc>
          <w:tcPr>
            <w:tcW w:w="1170" w:type="dxa"/>
            <w:tcBorders>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bl>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12700</wp:posOffset>
                </wp:positionV>
                <wp:extent cx="6492240" cy="0"/>
                <wp:effectExtent l="0" t="5080" r="0" b="5080"/>
                <wp:wrapNone/>
                <wp:docPr id="1"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 xml:space="preserve">MILESTONES </w:t>
      </w:r>
    </w:p>
    <w:tbl>
      <w:tblPr>
        <w:tblW w:w="9990" w:type="dxa"/>
        <w:jc w:val="start"/>
        <w:tblInd w:w="378" w:type="dxa"/>
        <w:tblLayout w:type="fixed"/>
        <w:tblCellMar>
          <w:top w:w="0" w:type="dxa"/>
          <w:start w:w="108" w:type="dxa"/>
          <w:bottom w:w="0" w:type="dxa"/>
          <w:end w:w="108" w:type="dxa"/>
        </w:tblCellMar>
      </w:tblPr>
      <w:tblGrid>
        <w:gridCol w:w="7290"/>
        <w:gridCol w:w="2700"/>
      </w:tblGrid>
      <w:tr>
        <w:trPr/>
        <w:tc>
          <w:tcPr>
            <w:tcW w:w="72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Evidence of compliance with all conditions precedent to closing</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729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Monthly meeting with EIM mid and back office operations to ensure proper support and monitoring of the operation.</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Heading1"/>
        <w:ind w:hanging="0" w:start="0"/>
        <w:rPr/>
      </w:pPr>
      <w:r>
        <w:br w:type="page"/>
      </w:r>
      <w: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PROPOSED CONDITIONS PRECEDENT TO CLOSING:</w:t>
      </w:r>
    </w:p>
    <w:p>
      <w:pPr>
        <w:pStyle w:val="Normal"/>
        <w:rPr/>
      </w:pPr>
      <w:r>
        <w:rPr/>
        <w:t>EIM intends to execute the transaction agreements, which will not become effective until the following conditions are met within a timeframe to be agreed upon prior to closing:  (Capitalized terms are defined in the transaction agreements)</w:t>
      </w:r>
    </w:p>
    <w:p>
      <w:pPr>
        <w:pStyle w:val="Normal"/>
        <w:numPr>
          <w:ilvl w:val="0"/>
          <w:numId w:val="4"/>
        </w:numPr>
        <w:rPr/>
      </w:pPr>
      <w:r>
        <w:rPr/>
        <w:t>Evidence of a binding sale of the cold mill for proceeds of at least $17 million to a third-party, plus other terms and conditions to EIM and RAC’s satisfaction;</w:t>
      </w:r>
    </w:p>
    <w:p>
      <w:pPr>
        <w:pStyle w:val="Normal"/>
        <w:numPr>
          <w:ilvl w:val="0"/>
          <w:numId w:val="4"/>
        </w:numPr>
        <w:rPr/>
      </w:pPr>
      <w:r>
        <w:rPr/>
        <w:t>Execution of an Intercreditor Agreement between [Congress Financial Corporation / Senior Lenders] and Enron in form and substance satisfactory to Enron;</w:t>
      </w:r>
    </w:p>
    <w:p>
      <w:pPr>
        <w:pStyle w:val="Normal"/>
        <w:numPr>
          <w:ilvl w:val="0"/>
          <w:numId w:val="4"/>
        </w:numPr>
        <w:rPr/>
      </w:pPr>
      <w:r>
        <w:rPr/>
        <w:t>Consummation of the transaction provided for in the Letter of Interest between the Enron and HCO;</w:t>
      </w:r>
    </w:p>
    <w:p>
      <w:pPr>
        <w:pStyle w:val="Normal"/>
        <w:numPr>
          <w:ilvl w:val="0"/>
          <w:numId w:val="4"/>
        </w:numPr>
        <w:rPr/>
      </w:pPr>
      <w:r>
        <w:rPr/>
        <w:t>Execution of an amendment to the Loan and Security Agreement by and among Congress Financial Corporation and the Huntco Entities (the “Senior Loan Agreement”) and related security and financing documents between [Congress Financial Corporation / Senior Lenders] and the Huntco Entities that releases liens against all Enron Inventory Collateral, waives any past defaults, appropriately modifies financial covenants, and is in form and substance satisfactory to Enron;</w:t>
      </w:r>
    </w:p>
    <w:p>
      <w:pPr>
        <w:pStyle w:val="Normal"/>
        <w:numPr>
          <w:ilvl w:val="0"/>
          <w:numId w:val="4"/>
        </w:numPr>
        <w:rPr/>
      </w:pPr>
      <w:r>
        <w:rPr/>
        <w:t>Execution and filing of financing statements and other documentation perfecting Enron’s security interests in the Huntco Entities’ collateral in form and substance satisfactory to Enron;</w:t>
      </w:r>
    </w:p>
    <w:p>
      <w:pPr>
        <w:pStyle w:val="Normal"/>
        <w:numPr>
          <w:ilvl w:val="0"/>
          <w:numId w:val="4"/>
        </w:numPr>
        <w:rPr/>
      </w:pPr>
      <w:r>
        <w:rPr/>
        <w:t>Satisfactory completion of all necessary lien searches showing no unacceptable liens on the Huntco Entities’ collateral;</w:t>
      </w:r>
    </w:p>
    <w:p>
      <w:pPr>
        <w:pStyle w:val="Normal"/>
        <w:numPr>
          <w:ilvl w:val="0"/>
          <w:numId w:val="4"/>
        </w:numPr>
        <w:rPr/>
      </w:pPr>
      <w:r>
        <w:rPr/>
        <w:t>Enron’s receipt of a certificate from Huntco Entities’ auditors indicating there are no events of default under the Senior Loan Agreement;</w:t>
      </w:r>
    </w:p>
    <w:p>
      <w:pPr>
        <w:pStyle w:val="Normal"/>
        <w:numPr>
          <w:ilvl w:val="0"/>
          <w:numId w:val="4"/>
        </w:numPr>
        <w:rPr/>
      </w:pPr>
      <w:r>
        <w:rPr/>
        <w:t xml:space="preserve">Enron’s receipt of a reseller’s tax certificate in each state in which a HSI facility is located; </w:t>
      </w:r>
    </w:p>
    <w:p>
      <w:pPr>
        <w:pStyle w:val="Normal"/>
        <w:numPr>
          <w:ilvl w:val="0"/>
          <w:numId w:val="4"/>
        </w:numPr>
        <w:rPr/>
      </w:pPr>
      <w:r>
        <w:rPr/>
        <w:t xml:space="preserve">The Parties have executed an acknowledgement that all of the requirements set forth in this Schedule have been satisfied; </w:t>
      </w:r>
    </w:p>
    <w:p>
      <w:pPr>
        <w:pStyle w:val="Normal"/>
        <w:numPr>
          <w:ilvl w:val="0"/>
          <w:numId w:val="4"/>
        </w:numPr>
        <w:rPr/>
      </w:pPr>
      <w:r>
        <w:rPr/>
        <w:t>HSI and Enron have entered into a mutually acceptable warehouse agreement with respect to Commodity purchased by Enron for resale to third parties that will allow storage of such Commodity at the HSI Facilities at market rates;</w:t>
      </w:r>
    </w:p>
    <w:p>
      <w:pPr>
        <w:pStyle w:val="Normal"/>
        <w:numPr>
          <w:ilvl w:val="0"/>
          <w:numId w:val="4"/>
        </w:numPr>
        <w:rPr/>
      </w:pPr>
      <w:r>
        <w:rPr/>
        <w:t>Enron has received copies of policies showing that HSI has complied with the insurance requirements set forth in the Warehouse Agreement.</w:t>
      </w:r>
    </w:p>
    <w:p>
      <w:pPr>
        <w:pStyle w:val="Normal"/>
        <w:pBdr>
          <w:top w:val="single" w:sz="8" w:space="1" w:color="000000"/>
        </w:pBdr>
        <w:rPr>
          <w:b/>
        </w:rPr>
      </w:pPr>
      <w:r>
        <w:rPr>
          <w:b/>
        </w:rPr>
        <w:t xml:space="preserve">OTHER RAC COMMENTS: </w:t>
      </w:r>
    </w:p>
    <w:p>
      <w:pPr>
        <w:pStyle w:val="List"/>
        <w:numPr>
          <w:ilvl w:val="0"/>
          <w:numId w:val="13"/>
        </w:numPr>
        <w:rPr/>
      </w:pPr>
      <w:r>
        <w:rPr/>
        <w:t>EIM will bear two major risks in this transaction:  HCO’s credit risk, which affects both the Subordinated Loan and the inventory management agreement, and, for the inventory management agreement principally, the resulting market valuation of the inventory held by EIM.  The return analysis for this transaction assumes that no loss is incurred on inventory held by EIM in the event of a HCO default.</w:t>
      </w:r>
    </w:p>
    <w:p>
      <w:pPr>
        <w:pStyle w:val="List"/>
        <w:numPr>
          <w:ilvl w:val="0"/>
          <w:numId w:val="6"/>
        </w:numPr>
        <w:rPr/>
      </w:pPr>
      <w:r>
        <w:rPr/>
        <w:t>HCO’s current credit standing is weak, as reflected in its low and declining annual operating margins and a highly leveraged balance sheet.  HCO’s competitive position, compared to its peer steel processor group, is poor.  Since Huntco’s financial performance and position appears weaker than the average steel producer or processor, the probability of a default, and the resulting liquidation or sale of the company, in the next two to three years is unusually high.   The company’s default probability is estimated to exceed 50% by year 2, and to exceed 90% by year 7 of the transaction.  This company’s E-rating and the resulting implied default probability are based on the assumption that HCO will be able to sell its loss generating cold mill at a minimum price of $17 million, plus liquidation of the cold mill inventory and collection of the receivables for at least 40% of the book value.</w:t>
      </w:r>
    </w:p>
    <w:p>
      <w:pPr>
        <w:pStyle w:val="List"/>
        <w:numPr>
          <w:ilvl w:val="0"/>
          <w:numId w:val="13"/>
        </w:numPr>
        <w:rPr/>
      </w:pPr>
      <w:r>
        <w:rPr/>
        <w:t>The potential credit loss under the inventory management agreement in an event of default is partially mitigated by requiring HCO to pay cash upon product deliveries and, for the first eighteen months, EIM’s contractual right to withhold a 10% reserve discount on the product purchase prices paid to HCO.  EIM bears a risk of a cash loss on the subordinated loan and, while unmodeled, on the inventory hold, and the risk of a mark-to-market loss on the future fees and financing charges upon a HCO default.</w:t>
      </w:r>
    </w:p>
    <w:p>
      <w:pPr>
        <w:pStyle w:val="List"/>
        <w:numPr>
          <w:ilvl w:val="0"/>
          <w:numId w:val="13"/>
        </w:numPr>
        <w:rPr/>
      </w:pPr>
      <w:r>
        <w:rPr/>
        <w:t>RAC’s recommendation to proceed with the transaction is primarily based on the recognition that this transaction will provide EIM with the crucial access to the industry knowledge and producer relationship needed for EIM to implement its steel trading strategy, albeit with the risk of a measured cash loss if HCO defaults in the first three years of the transaction assuming no loss on the inventory position.</w:t>
      </w:r>
    </w:p>
    <w:p>
      <w:pPr>
        <w:pStyle w:val="Normal"/>
        <w:numPr>
          <w:ilvl w:val="0"/>
          <w:numId w:val="13"/>
        </w:numPr>
        <w:rPr/>
      </w:pPr>
      <w:r>
        <w:rPr/>
        <w:t>Maintaining tight controls over the inventory management and the daily transaction operations is critical for the success of this transaction.</w:t>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Jeff McMahon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Haedicke/Julia Murray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8"/>
              </w:numPr>
              <w:tabs>
                <w:tab w:val="clear" w:pos="72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16"/>
        </w:numPr>
        <w:rPr/>
      </w:pPr>
      <w:r>
        <w:rPr/>
        <w:t>Investment terms and pricing:</w:t>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r>
    </w:p>
    <w:p>
      <w:pPr>
        <w:pStyle w:val="List"/>
        <w:numPr>
          <w:ilvl w:val="0"/>
          <w:numId w:val="16"/>
        </w:numPr>
        <w:rPr/>
      </w:pPr>
      <w:r>
        <w:rPr/>
        <w:t>Financing terms and pricing:</w:t>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r>
    </w:p>
    <w:p>
      <w:pPr>
        <w:pStyle w:val="List"/>
        <w:numPr>
          <w:ilvl w:val="0"/>
          <w:numId w:val="16"/>
        </w:numPr>
        <w:rPr/>
      </w:pPr>
      <w:r>
        <w:rPr/>
        <w:t>Legal or practical liquidity restrictions:</w:t>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r>
    </w:p>
    <w:p>
      <w:pPr>
        <w:pStyle w:val="List"/>
        <w:numPr>
          <w:ilvl w:val="0"/>
          <w:numId w:val="16"/>
        </w:numPr>
        <w:rPr/>
      </w:pPr>
      <w:r>
        <w:rPr/>
        <w:t>Any recourse to Enron (other than investment):</w:t>
        <w:tab/>
        <w:tab/>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r>
    </w:p>
    <w:p>
      <w:pPr>
        <w:pStyle w:val="List"/>
        <w:numPr>
          <w:ilvl w:val="0"/>
          <w:numId w:val="12"/>
        </w:numPr>
        <w:tabs>
          <w:tab w:val="clear" w:pos="720"/>
        </w:tabs>
        <w:rPr/>
      </w:pPr>
      <w:r>
        <w:rPr/>
        <w:t>Business unit intent to syndicate:</w:t>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r>
    </w:p>
    <w:p>
      <w:pPr>
        <w:pStyle w:val="Normal"/>
        <w:numPr>
          <w:ilvl w:val="0"/>
          <w:numId w:val="18"/>
        </w:numPr>
        <w:tabs>
          <w:tab w:val="clear" w:pos="720"/>
        </w:tabs>
        <w:rPr/>
      </w:pPr>
      <w:r>
        <w:rPr/>
        <w:t>Intended Enron hold period:</w:t>
        <w:br/>
        <w:br/>
      </w:r>
    </w:p>
    <w:p>
      <w:pPr>
        <w:pStyle w:val="Normal"/>
        <w:numPr>
          <w:ilvl w:val="0"/>
          <w:numId w:val="7"/>
        </w:numPr>
        <w:tabs>
          <w:tab w:val="clear" w:pos="720"/>
        </w:tabs>
        <w:rPr/>
      </w:pPr>
      <w:r>
        <w:rPr/>
        <w:t>Likely Syndication Market:</w:t>
        <w:tab/>
        <w:tab/>
        <w:tab/>
      </w:r>
      <w:r>
        <w:rPr>
          <w:rFonts w:eastAsia="Monotype Sorts;Symbol" w:cs="Monotype Sorts;Symbol" w:ascii="Monotype Sorts;Symbol" w:hAnsi="Monotype Sorts;Symbol"/>
        </w:rPr>
        <w:sym w:font="Monotype Sorts;Symbol" w:char="f06f"/>
      </w:r>
      <w:r>
        <w:rPr/>
        <w:t xml:space="preserve"> Industry/Strategic Partner</w:t>
        <w:tab/>
      </w:r>
      <w:r>
        <w:rPr>
          <w:rFonts w:eastAsia="Monotype Sorts;Symbol" w:cs="Monotype Sorts;Symbol" w:ascii="Monotype Sorts;Symbol" w:hAnsi="Monotype Sorts;Symbol"/>
        </w:rPr>
        <w:sym w:font="Monotype Sorts;Symbol" w:char="f06f"/>
      </w:r>
      <w:r>
        <w:rPr/>
        <w:t xml:space="preserve"> Direct Private Equity</w:t>
      </w:r>
    </w:p>
    <w:p>
      <w:pPr>
        <w:pStyle w:val="Normal"/>
        <w:ind w:start="2700" w:end="0"/>
        <w:rPr/>
      </w:pPr>
      <w:r>
        <w:rPr/>
      </w:r>
    </w:p>
    <w:p>
      <w:pPr>
        <w:pStyle w:val="Normal"/>
        <w:ind w:start="2700" w:end="0"/>
        <w:rPr/>
      </w:pPr>
      <w:r>
        <w:rPr/>
        <w:tab/>
        <w:tab/>
        <w:tab/>
      </w:r>
      <w:r>
        <w:rPr>
          <w:rFonts w:eastAsia="Monotype Sorts;Symbol" w:cs="Monotype Sorts;Symbol" w:ascii="Monotype Sorts;Symbol" w:hAnsi="Monotype Sorts;Symbol"/>
        </w:rPr>
        <w:sym w:font="Monotype Sorts;Symbol" w:char="f06f"/>
      </w:r>
      <w:r>
        <w:rPr/>
        <w:t xml:space="preserve"> Capital Markets</w:t>
        <w:tab/>
        <w:tab/>
      </w:r>
      <w:r>
        <w:rPr>
          <w:rFonts w:eastAsia="Monotype Sorts;Symbol" w:cs="Monotype Sorts;Symbol" w:ascii="Monotype Sorts;Symbol" w:hAnsi="Monotype Sorts;Symbol"/>
        </w:rPr>
        <w:sym w:font="Monotype Sorts;Symbol" w:char="f06f"/>
      </w:r>
      <w:r>
        <w:rPr/>
        <w:t xml:space="preserve"> JEDI</w:t>
        <w:tab/>
        <w:tab/>
        <w:t xml:space="preserve"> </w:t>
      </w:r>
      <w:r>
        <w:rPr>
          <w:rFonts w:eastAsia="Monotype Sorts;Symbol" w:cs="Monotype Sorts;Symbol" w:ascii="Monotype Sorts;Symbol" w:hAnsi="Monotype Sorts;Symbol"/>
        </w:rPr>
        <w:sym w:font="Monotype Sorts;Symbol" w:char="f06f"/>
      </w:r>
      <w:r>
        <w:rPr/>
        <w:t xml:space="preserve"> JEDI 2</w:t>
        <w:tab/>
      </w:r>
      <w:r>
        <w:rPr>
          <w:rFonts w:eastAsia="Monotype Sorts;Symbol" w:cs="Monotype Sorts;Symbol" w:ascii="Monotype Sorts;Symbol" w:hAnsi="Monotype Sorts;Symbol"/>
        </w:rPr>
        <w:sym w:font="Monotype Sorts;Symbol" w:char="f06f"/>
      </w:r>
      <w:r>
        <w:rPr/>
        <w:t xml:space="preserve"> Enserco</w:t>
      </w:r>
    </w:p>
    <w:p>
      <w:pPr>
        <w:pStyle w:val="Normal"/>
        <w:ind w:start="2700" w:end="0"/>
        <w:rPr/>
      </w:pPr>
      <w:r>
        <w:rPr/>
      </w:r>
    </w:p>
    <w:p>
      <w:pPr>
        <w:pStyle w:val="Normal"/>
        <w:ind w:start="2700" w:end="0"/>
        <w:rPr/>
      </w:pPr>
      <w:r>
        <w:rPr/>
        <w:tab/>
        <w:tab/>
        <w:tab/>
      </w:r>
      <w:r>
        <w:rPr>
          <w:rFonts w:eastAsia="Monotype Sorts;Symbol" w:cs="Monotype Sorts;Symbol" w:ascii="Monotype Sorts;Symbol" w:hAnsi="Monotype Sorts;Symbol"/>
        </w:rPr>
        <w:sym w:font="Monotype Sorts;Symbol" w:char="f06f"/>
      </w:r>
      <w:r>
        <w:rPr/>
        <w:t xml:space="preserve"> LJM 1 or 2</w:t>
        <w:tab/>
        <w:tab/>
      </w:r>
      <w:r>
        <w:rPr>
          <w:rFonts w:eastAsia="Monotype Sorts;Symbol" w:cs="Monotype Sorts;Symbol" w:ascii="Monotype Sorts;Symbol" w:hAnsi="Monotype Sorts;Symbol"/>
        </w:rPr>
        <w:sym w:font="Monotype Sorts;Symbol" w:char="f06f"/>
      </w:r>
      <w:r>
        <w:rPr/>
        <w:t xml:space="preserve"> Condor</w:t>
        <w:tab/>
      </w:r>
      <w:r>
        <w:rPr>
          <w:rFonts w:eastAsia="Monotype Sorts;Symbol" w:cs="Monotype Sorts;Symbol" w:ascii="Monotype Sorts;Symbol" w:hAnsi="Monotype Sorts;Symbol"/>
        </w:rPr>
        <w:sym w:font="Monotype Sorts;Symbol" w:char="f06f"/>
      </w:r>
      <w:r>
        <w:rPr/>
        <w:t xml:space="preserve"> Margaux</w:t>
        <w:tab/>
        <w:tab/>
      </w:r>
      <w:r>
        <w:rPr>
          <w:rFonts w:eastAsia="Monotype Sorts;Symbol" w:cs="Monotype Sorts;Symbol" w:ascii="Monotype Sorts;Symbol" w:hAnsi="Monotype Sorts;Symbol"/>
        </w:rPr>
        <w:sym w:font="Monotype Sorts;Symbol" w:char="f06f"/>
      </w:r>
      <w:r>
        <w:rPr/>
        <w:t xml:space="preserve"> Other: </w:t>
      </w:r>
    </w:p>
    <w:p>
      <w:pPr>
        <w:pStyle w:val="Normal"/>
        <w:ind w:start="5040" w:end="0"/>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5577840</wp:posOffset>
                </wp:positionH>
                <wp:positionV relativeFrom="paragraph">
                  <wp:posOffset>25400</wp:posOffset>
                </wp:positionV>
                <wp:extent cx="1005840" cy="0"/>
                <wp:effectExtent l="0" t="5080" r="0" b="5080"/>
                <wp:wrapNone/>
                <wp:docPr id="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14"/>
        </w:numPr>
        <w:tabs>
          <w:tab w:val="clear" w:pos="720"/>
        </w:tabs>
        <w:rPr/>
      </w:pPr>
      <w:r>
        <w:rPr/>
        <w:t>Is this a JEDI 2 “Qualified Investment”?</w:t>
        <w:tab/>
        <w:tab/>
      </w:r>
      <w:r>
        <w:rPr>
          <w:rFonts w:eastAsia="Monotype Sorts;Symbol" w:cs="Monotype Sorts;Symbol" w:ascii="Monotype Sorts;Symbol" w:hAnsi="Monotype Sorts;Symbol"/>
        </w:rPr>
        <w:sym w:font="Monotype Sorts;Symbol" w:char="f06f"/>
      </w:r>
      <w:r>
        <w:rPr/>
        <w:t xml:space="preserve"> Yes</w:t>
        <w:tab/>
        <w:tab/>
        <w:tab/>
      </w:r>
      <w:r>
        <w:rPr>
          <w:rFonts w:eastAsia="Monotype Sorts;Symbol" w:cs="Monotype Sorts;Symbol" w:ascii="Monotype Sorts;Symbol" w:hAnsi="Monotype Sorts;Symbol"/>
        </w:rPr>
        <w:sym w:font="Monotype Sorts;Symbol"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15"/>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tab/>
        <w:t>Describe (if  necessary):</w:t>
      </w:r>
    </w:p>
    <w:p>
      <w:pPr>
        <w:pStyle w:val="Normal"/>
        <w:ind w:start="360" w:end="0"/>
        <w:rPr/>
      </w:pPr>
      <w:r>
        <w:rPr/>
      </w:r>
    </w:p>
    <w:tbl>
      <w:tblPr>
        <w:tblW w:w="10098" w:type="dxa"/>
        <w:jc w:val="start"/>
        <w:tblInd w:w="0" w:type="dxa"/>
        <w:tblLayout w:type="fixed"/>
        <w:tblCellMar>
          <w:top w:w="0" w:type="dxa"/>
          <w:start w:w="108" w:type="dxa"/>
          <w:bottom w:w="0" w:type="dxa"/>
          <w:end w:w="108" w:type="dxa"/>
        </w:tblCellMar>
      </w:tblPr>
      <w:tblGrid>
        <w:gridCol w:w="2808"/>
        <w:gridCol w:w="270"/>
        <w:gridCol w:w="1800"/>
        <w:gridCol w:w="270"/>
        <w:gridCol w:w="2430"/>
        <w:gridCol w:w="270"/>
        <w:gridCol w:w="2250"/>
      </w:tblGrid>
      <w:tr>
        <w:trPr/>
        <w:tc>
          <w:tcPr>
            <w:tcW w:w="2808" w:type="dxa"/>
            <w:tcBorders/>
          </w:tcPr>
          <w:p>
            <w:pPr>
              <w:pStyle w:val="Normal"/>
              <w:rPr/>
            </w:pPr>
            <w:r>
              <w:rPr/>
              <w:t>Global Finance Representative</w:t>
            </w:r>
          </w:p>
        </w:tc>
        <w:tc>
          <w:tcPr>
            <w:tcW w:w="270" w:type="dxa"/>
            <w:tcBorders/>
          </w:tcPr>
          <w:p>
            <w:pPr>
              <w:pStyle w:val="Normal"/>
              <w:snapToGrid w:val="false"/>
              <w:rPr/>
            </w:pPr>
            <w:r>
              <w:rPr/>
            </w:r>
          </w:p>
        </w:tc>
        <w:tc>
          <w:tcPr>
            <w:tcW w:w="1800" w:type="dxa"/>
            <w:tcBorders>
              <w:bottom w:val="single" w:sz="4" w:space="0" w:color="000000"/>
            </w:tcBorders>
          </w:tcPr>
          <w:p>
            <w:pPr>
              <w:pStyle w:val="Normal"/>
              <w:snapToGrid w:val="false"/>
              <w:rPr/>
            </w:pPr>
            <w:r>
              <w:rPr/>
            </w:r>
          </w:p>
        </w:tc>
        <w:tc>
          <w:tcPr>
            <w:tcW w:w="270" w:type="dxa"/>
            <w:tcBorders/>
          </w:tcPr>
          <w:p>
            <w:pPr>
              <w:pStyle w:val="Normal"/>
              <w:snapToGrid w:val="false"/>
              <w:rPr/>
            </w:pPr>
            <w:r>
              <w:rPr/>
            </w:r>
          </w:p>
        </w:tc>
        <w:tc>
          <w:tcPr>
            <w:tcW w:w="2430" w:type="dxa"/>
            <w:tcBorders>
              <w:bottom w:val="single" w:sz="4" w:space="0" w:color="000000"/>
            </w:tcBorders>
          </w:tcPr>
          <w:p>
            <w:pPr>
              <w:pStyle w:val="Normal"/>
              <w:snapToGrid w:val="false"/>
              <w:rPr/>
            </w:pPr>
            <w:r>
              <w:rPr/>
            </w:r>
          </w:p>
        </w:tc>
        <w:tc>
          <w:tcPr>
            <w:tcW w:w="270" w:type="dxa"/>
            <w:tcBorders/>
          </w:tcPr>
          <w:p>
            <w:pPr>
              <w:pStyle w:val="Normal"/>
              <w:snapToGrid w:val="false"/>
              <w:rPr/>
            </w:pPr>
            <w:r>
              <w:rPr/>
            </w:r>
          </w:p>
        </w:tc>
        <w:tc>
          <w:tcPr>
            <w:tcW w:w="2250" w:type="dxa"/>
            <w:tcBorders>
              <w:bottom w:val="single" w:sz="4" w:space="0" w:color="000000"/>
            </w:tcBorders>
          </w:tcPr>
          <w:p>
            <w:pPr>
              <w:pStyle w:val="Normal"/>
              <w:snapToGrid w:val="false"/>
              <w:rPr/>
            </w:pPr>
            <w:r>
              <w:rPr/>
            </w:r>
          </w:p>
        </w:tc>
      </w:tr>
      <w:tr>
        <w:trPr/>
        <w:tc>
          <w:tcPr>
            <w:tcW w:w="2808" w:type="dxa"/>
            <w:tcBorders/>
          </w:tcPr>
          <w:p>
            <w:pPr>
              <w:pStyle w:val="Normal"/>
              <w:snapToGrid w:val="false"/>
              <w:jc w:val="center"/>
              <w:rPr/>
            </w:pPr>
            <w:r>
              <w:rPr/>
            </w:r>
          </w:p>
        </w:tc>
        <w:tc>
          <w:tcPr>
            <w:tcW w:w="270" w:type="dxa"/>
            <w:tcBorders/>
          </w:tcPr>
          <w:p>
            <w:pPr>
              <w:pStyle w:val="Normal"/>
              <w:snapToGrid w:val="false"/>
              <w:jc w:val="center"/>
              <w:rPr/>
            </w:pPr>
            <w:r>
              <w:rPr/>
            </w:r>
          </w:p>
        </w:tc>
        <w:tc>
          <w:tcPr>
            <w:tcW w:w="1800" w:type="dxa"/>
            <w:tcBorders/>
          </w:tcPr>
          <w:p>
            <w:pPr>
              <w:pStyle w:val="Normal"/>
              <w:jc w:val="center"/>
              <w:rPr/>
            </w:pPr>
            <w:r>
              <w:rPr/>
              <w:t>Date</w:t>
            </w:r>
          </w:p>
        </w:tc>
        <w:tc>
          <w:tcPr>
            <w:tcW w:w="270" w:type="dxa"/>
            <w:tcBorders/>
          </w:tcPr>
          <w:p>
            <w:pPr>
              <w:pStyle w:val="Normal"/>
              <w:snapToGrid w:val="false"/>
              <w:jc w:val="center"/>
              <w:rPr/>
            </w:pPr>
            <w:r>
              <w:rPr/>
            </w:r>
          </w:p>
        </w:tc>
        <w:tc>
          <w:tcPr>
            <w:tcW w:w="2430" w:type="dxa"/>
            <w:tcBorders/>
          </w:tcPr>
          <w:p>
            <w:pPr>
              <w:pStyle w:val="Normal"/>
              <w:jc w:val="center"/>
              <w:rPr/>
            </w:pPr>
            <w:r>
              <w:rPr/>
              <w:t>Name (printed)</w:t>
            </w:r>
          </w:p>
        </w:tc>
        <w:tc>
          <w:tcPr>
            <w:tcW w:w="270" w:type="dxa"/>
            <w:tcBorders/>
          </w:tcPr>
          <w:p>
            <w:pPr>
              <w:pStyle w:val="Normal"/>
              <w:snapToGrid w:val="false"/>
              <w:jc w:val="center"/>
              <w:rPr/>
            </w:pPr>
            <w:r>
              <w:rPr/>
            </w:r>
          </w:p>
        </w:tc>
        <w:tc>
          <w:tcPr>
            <w:tcW w:w="2250" w:type="dxa"/>
            <w:tcBorders/>
          </w:tcPr>
          <w:p>
            <w:pPr>
              <w:pStyle w:val="Normal"/>
              <w:jc w:val="center"/>
              <w:rPr/>
            </w:pPr>
            <w:r>
              <w:rPr/>
              <w:t>Signature</w:t>
            </w:r>
          </w:p>
        </w:tc>
      </w:tr>
      <w:tr>
        <w:trPr/>
        <w:tc>
          <w:tcPr>
            <w:tcW w:w="2808" w:type="dxa"/>
            <w:tcBorders/>
          </w:tcPr>
          <w:p>
            <w:pPr>
              <w:pStyle w:val="Header"/>
              <w:widowControl/>
              <w:tabs>
                <w:tab w:val="clear" w:pos="4320"/>
                <w:tab w:val="clear" w:pos="8640"/>
              </w:tabs>
              <w:rPr/>
            </w:pPr>
            <w:r>
              <w:rPr/>
              <w:t>Global Finance Legal</w:t>
            </w:r>
          </w:p>
        </w:tc>
        <w:tc>
          <w:tcPr>
            <w:tcW w:w="270" w:type="dxa"/>
            <w:tcBorders/>
          </w:tcPr>
          <w:p>
            <w:pPr>
              <w:pStyle w:val="Normal"/>
              <w:snapToGrid w:val="false"/>
              <w:jc w:val="center"/>
              <w:rPr/>
            </w:pPr>
            <w:r>
              <w:rPr/>
            </w:r>
          </w:p>
        </w:tc>
        <w:tc>
          <w:tcPr>
            <w:tcW w:w="1800" w:type="dxa"/>
            <w:tcBorders>
              <w:bottom w:val="single" w:sz="4"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2430" w:type="dxa"/>
            <w:tcBorders>
              <w:bottom w:val="single" w:sz="4" w:space="0" w:color="000000"/>
            </w:tcBorders>
          </w:tcPr>
          <w:p>
            <w:pPr>
              <w:pStyle w:val="Normal"/>
              <w:jc w:val="center"/>
              <w:rPr/>
            </w:pPr>
            <w:r>
              <w:rPr/>
              <w:t>Jordan Mintz</w:t>
            </w:r>
          </w:p>
        </w:tc>
        <w:tc>
          <w:tcPr>
            <w:tcW w:w="270" w:type="dxa"/>
            <w:tcBorders/>
          </w:tcPr>
          <w:p>
            <w:pPr>
              <w:pStyle w:val="Normal"/>
              <w:snapToGrid w:val="false"/>
              <w:jc w:val="center"/>
              <w:rPr/>
            </w:pPr>
            <w:r>
              <w:rPr/>
            </w:r>
          </w:p>
        </w:tc>
        <w:tc>
          <w:tcPr>
            <w:tcW w:w="2250" w:type="dxa"/>
            <w:tcBorders>
              <w:bottom w:val="single" w:sz="4" w:space="0" w:color="000000"/>
            </w:tcBorders>
          </w:tcPr>
          <w:p>
            <w:pPr>
              <w:pStyle w:val="Normal"/>
              <w:snapToGrid w:val="false"/>
              <w:jc w:val="center"/>
              <w:rPr/>
            </w:pPr>
            <w:r>
              <w:rPr/>
            </w:r>
          </w:p>
        </w:tc>
      </w:tr>
      <w:tr>
        <w:trPr/>
        <w:tc>
          <w:tcPr>
            <w:tcW w:w="2808" w:type="dxa"/>
            <w:tcBorders/>
          </w:tcPr>
          <w:p>
            <w:pPr>
              <w:pStyle w:val="Header"/>
              <w:widowControl/>
              <w:tabs>
                <w:tab w:val="clear" w:pos="4320"/>
                <w:tab w:val="clear" w:pos="8640"/>
              </w:tabs>
              <w:snapToGrid w:val="false"/>
              <w:rPr/>
            </w:pPr>
            <w:r>
              <w:rPr/>
            </w:r>
          </w:p>
        </w:tc>
        <w:tc>
          <w:tcPr>
            <w:tcW w:w="270" w:type="dxa"/>
            <w:tcBorders/>
          </w:tcPr>
          <w:p>
            <w:pPr>
              <w:pStyle w:val="Normal"/>
              <w:snapToGrid w:val="false"/>
              <w:jc w:val="center"/>
              <w:rPr/>
            </w:pPr>
            <w:r>
              <w:rPr/>
            </w:r>
          </w:p>
        </w:tc>
        <w:tc>
          <w:tcPr>
            <w:tcW w:w="1800" w:type="dxa"/>
            <w:tcBorders/>
          </w:tcPr>
          <w:p>
            <w:pPr>
              <w:pStyle w:val="Normal"/>
              <w:jc w:val="center"/>
              <w:rPr/>
            </w:pPr>
            <w:r>
              <w:rPr/>
              <w:t>Date</w:t>
            </w:r>
          </w:p>
        </w:tc>
        <w:tc>
          <w:tcPr>
            <w:tcW w:w="270" w:type="dxa"/>
            <w:tcBorders/>
          </w:tcPr>
          <w:p>
            <w:pPr>
              <w:pStyle w:val="Normal"/>
              <w:snapToGrid w:val="false"/>
              <w:jc w:val="center"/>
              <w:rPr/>
            </w:pPr>
            <w:r>
              <w:rPr/>
            </w:r>
          </w:p>
        </w:tc>
        <w:tc>
          <w:tcPr>
            <w:tcW w:w="2430" w:type="dxa"/>
            <w:tcBorders/>
          </w:tcPr>
          <w:p>
            <w:pPr>
              <w:pStyle w:val="Normal"/>
              <w:jc w:val="center"/>
              <w:rPr/>
            </w:pPr>
            <w:r>
              <w:rPr/>
              <w:t>Name (printed)</w:t>
            </w:r>
          </w:p>
        </w:tc>
        <w:tc>
          <w:tcPr>
            <w:tcW w:w="270" w:type="dxa"/>
            <w:tcBorders/>
          </w:tcPr>
          <w:p>
            <w:pPr>
              <w:pStyle w:val="Normal"/>
              <w:snapToGrid w:val="false"/>
              <w:jc w:val="center"/>
              <w:rPr/>
            </w:pPr>
            <w:r>
              <w:rPr/>
            </w:r>
          </w:p>
        </w:tc>
        <w:tc>
          <w:tcPr>
            <w:tcW w:w="2250" w:type="dxa"/>
            <w:tcBorders/>
          </w:tcPr>
          <w:p>
            <w:pPr>
              <w:pStyle w:val="Normal"/>
              <w:jc w:val="center"/>
              <w:rPr/>
            </w:pPr>
            <w:r>
              <w:rPr/>
              <w:t>Signature</w:t>
            </w:r>
          </w:p>
        </w:tc>
      </w:tr>
      <w:tr>
        <w:trPr/>
        <w:tc>
          <w:tcPr>
            <w:tcW w:w="2808" w:type="dxa"/>
            <w:tcBorders/>
          </w:tcPr>
          <w:p>
            <w:pPr>
              <w:pStyle w:val="Header"/>
              <w:widowControl/>
              <w:tabs>
                <w:tab w:val="clear" w:pos="4320"/>
                <w:tab w:val="clear" w:pos="8640"/>
              </w:tabs>
              <w:snapToGrid w:val="false"/>
              <w:rPr/>
            </w:pPr>
            <w:r>
              <w:rPr/>
            </w:r>
          </w:p>
        </w:tc>
        <w:tc>
          <w:tcPr>
            <w:tcW w:w="270" w:type="dxa"/>
            <w:tcBorders/>
          </w:tcPr>
          <w:p>
            <w:pPr>
              <w:pStyle w:val="Normal"/>
              <w:snapToGrid w:val="false"/>
              <w:jc w:val="center"/>
              <w:rPr/>
            </w:pPr>
            <w:r>
              <w:rPr/>
            </w:r>
          </w:p>
        </w:tc>
        <w:tc>
          <w:tcPr>
            <w:tcW w:w="1800" w:type="dxa"/>
            <w:tcBorders/>
          </w:tcPr>
          <w:p>
            <w:pPr>
              <w:pStyle w:val="Normal"/>
              <w:snapToGrid w:val="false"/>
              <w:rPr/>
            </w:pPr>
            <w:r>
              <w:rPr/>
            </w:r>
          </w:p>
        </w:tc>
        <w:tc>
          <w:tcPr>
            <w:tcW w:w="270" w:type="dxa"/>
            <w:tcBorders/>
          </w:tcPr>
          <w:p>
            <w:pPr>
              <w:pStyle w:val="Normal"/>
              <w:snapToGrid w:val="false"/>
              <w:jc w:val="center"/>
              <w:rPr/>
            </w:pPr>
            <w:r>
              <w:rPr/>
            </w:r>
          </w:p>
        </w:tc>
        <w:tc>
          <w:tcPr>
            <w:tcW w:w="2430" w:type="dxa"/>
            <w:tcBorders/>
          </w:tcPr>
          <w:p>
            <w:pPr>
              <w:pStyle w:val="Normal"/>
              <w:snapToGrid w:val="false"/>
              <w:jc w:val="center"/>
              <w:rPr/>
            </w:pPr>
            <w:r>
              <w:rPr/>
            </w:r>
          </w:p>
        </w:tc>
        <w:tc>
          <w:tcPr>
            <w:tcW w:w="270" w:type="dxa"/>
            <w:tcBorders/>
          </w:tcPr>
          <w:p>
            <w:pPr>
              <w:pStyle w:val="Normal"/>
              <w:snapToGrid w:val="false"/>
              <w:jc w:val="center"/>
              <w:rPr/>
            </w:pPr>
            <w:r>
              <w:rPr/>
            </w:r>
          </w:p>
        </w:tc>
        <w:tc>
          <w:tcPr>
            <w:tcW w:w="2250" w:type="dxa"/>
            <w:tcBorders/>
          </w:tcPr>
          <w:p>
            <w:pPr>
              <w:pStyle w:val="Normal"/>
              <w:snapToGrid w:val="false"/>
              <w:jc w:val="center"/>
              <w:rPr/>
            </w:pPr>
            <w:r>
              <w:rPr/>
            </w:r>
          </w:p>
        </w:tc>
      </w:tr>
    </w:tbl>
    <w:p>
      <w:pPr>
        <w:pStyle w:val="Caption"/>
        <w:jc w:val="center"/>
        <w:rPr>
          <w:sz w:val="44"/>
        </w:rPr>
      </w:pPr>
      <w:r>
        <w:rPr>
          <w:sz w:val="44"/>
        </w:rPr>
        <w:t>EXHIBIT A</w:t>
      </w:r>
    </w:p>
    <w:p>
      <w:pPr>
        <w:pStyle w:val="Caption"/>
        <w:jc w:val="center"/>
        <w:rPr>
          <w:sz w:val="28"/>
        </w:rPr>
      </w:pPr>
      <w:r>
        <w:rPr>
          <w:sz w:val="28"/>
        </w:rPr>
        <w:t xml:space="preserve">HuntCo Profile </w:t>
      </w:r>
    </w:p>
    <w:p>
      <w:pPr>
        <w:pStyle w:val="Normal"/>
        <w:rPr>
          <w:sz w:val="28"/>
        </w:rPr>
      </w:pPr>
      <w:r>
        <w:rPr>
          <w:sz w:val="28"/>
        </w:rPr>
      </w:r>
    </w:p>
    <w:p>
      <w:pPr>
        <w:pStyle w:val="Normal"/>
        <w:rPr>
          <w:lang w:val="en-CA" w:eastAsia="en-CA"/>
        </w:rPr>
      </w:pPr>
      <w:r>
        <w:rPr>
          <w:lang w:val="en-CA" w:eastAsia="en-CA"/>
        </w:rPr>
        <w:object w:dxaOrig="8597" w:dyaOrig="1319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4.2pt;margin-top:-5.4pt;width:429.85pt;height:659.5pt;mso-wrap-distance-left:9.05pt;mso-wrap-distance-right:9.05pt;mso-position-horizontal-relative:text;mso-position-vertical-relative:text" filled="f" o:ole="">
            <v:imagedata r:id="rId3" o:title=""/>
          </v:shape>
          <o:OLEObject Type="Embed" ProgID="" ShapeID="ole_rId2" DrawAspect="Content" ObjectID="_2072801060" r:id="rId2"/>
        </w:object>
      </w:r>
    </w:p>
    <w:p>
      <w:pPr>
        <w:pStyle w:val="Normal"/>
        <w:rPr>
          <w:sz w:val="28"/>
        </w:rPr>
      </w:pPr>
      <w:r>
        <w:rPr>
          <w:sz w:val="28"/>
        </w:rPr>
      </w:r>
    </w:p>
    <w:sectPr>
      <w:headerReference w:type="default" r:id="rId4"/>
      <w:headerReference w:type="first" r:id="rId5"/>
      <w:footerReference w:type="default" r:id="rId6"/>
      <w:footerReference w:type="first" r:id="rId7"/>
      <w:type w:val="nextPage"/>
      <w:pgSz w:w="12240" w:h="15840"/>
      <w:pgMar w:left="1080" w:right="90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DASH_Huntco__040501.doc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HuntCo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432"/>
        </w:tabs>
        <w:ind w:start="432" w:hanging="432"/>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6"/>
      <w:numFmt w:val="decimal"/>
      <w:lvlText w:val="%1c."/>
      <w:lvlJc w:val="start"/>
      <w:pPr>
        <w:tabs>
          <w:tab w:val="num" w:pos="360"/>
        </w:tabs>
        <w:ind w:start="360" w:hanging="360"/>
      </w:pPr>
      <w:rPr>
        <w:i w:val="false"/>
        <w:b w:val="false"/>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6"/>
      <w:numFmt w:val="decimal"/>
      <w:lvlText w:val="%1a."/>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6"/>
      <w:numFmt w:val="decimal"/>
      <w:lvlText w:val="%1d."/>
      <w:lvlJc w:val="start"/>
      <w:pPr>
        <w:tabs>
          <w:tab w:val="num" w:pos="360"/>
        </w:tabs>
        <w:ind w:start="360" w:hanging="360"/>
      </w:pPr>
    </w:lvl>
  </w:abstractNum>
  <w:abstractNum w:abstractNumId="15">
    <w:lvl w:ilvl="0">
      <w:start w:val="7"/>
      <w:numFmt w:val="decimal"/>
      <w:lvlText w:val="%1."/>
      <w:lvlJc w:val="start"/>
      <w:pPr>
        <w:tabs>
          <w:tab w:val="num" w:pos="360"/>
        </w:tabs>
        <w:ind w:start="360" w:hanging="360"/>
      </w:pPr>
    </w:lvl>
  </w:abstractNum>
  <w:abstractNum w:abstractNumId="16">
    <w:lvl w:ilvl="0">
      <w:start w:val="2"/>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6"/>
      <w:numFmt w:val="decimal"/>
      <w:lvlText w:val="%1b."/>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widowControl w:val="fals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caps/>
    </w:rPr>
  </w:style>
  <w:style w:type="paragraph" w:styleId="Heading7">
    <w:name w:val="heading 7"/>
    <w:basedOn w:val="Normal"/>
    <w:next w:val="Normal"/>
    <w:qFormat/>
    <w:pPr>
      <w:keepNext w:val="true"/>
      <w:numPr>
        <w:ilvl w:val="6"/>
        <w:numId w:val="1"/>
      </w:numPr>
      <w:jc w:val="center"/>
      <w:outlineLvl w:val="6"/>
    </w:pPr>
    <w:rPr>
      <w:b/>
      <w:sz w:val="40"/>
    </w:rPr>
  </w:style>
  <w:style w:type="paragraph" w:styleId="Heading8">
    <w:name w:val="heading 8"/>
    <w:basedOn w:val="Normal"/>
    <w:next w:val="Normal"/>
    <w:qFormat/>
    <w:pPr>
      <w:keepNext w:val="true"/>
      <w:numPr>
        <w:ilvl w:val="7"/>
        <w:numId w:val="1"/>
      </w:numPr>
      <w:jc w:val="center"/>
      <w:outlineLvl w:val="7"/>
    </w:pPr>
    <w:rPr>
      <w:b/>
      <w:color w:val="FF0000"/>
      <w:sz w:val="24"/>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val="false"/>
      <w:i w:val="false"/>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b/>
      <w:sz w:val="28"/>
    </w:rPr>
  </w:style>
  <w:style w:type="paragraph" w:styleId="List">
    <w:name w:val="List"/>
    <w:basedOn w:val="Normal"/>
    <w:pPr>
      <w:ind w:hanging="360" w:start="360" w:end="0"/>
    </w:pPr>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2001-04-05T11:04:00Z</dcterms:created>
  <dc:creator>kbarbou</dc:creator>
  <dc:description/>
  <dc:language>en-CA</dc:language>
  <cp:lastModifiedBy>kbarbou</cp:lastModifiedBy>
  <cp:lastPrinted>2001-04-05T09:04:00Z</cp:lastPrinted>
  <dcterms:modified xsi:type="dcterms:W3CDTF">2001-04-05T12:46:00Z</dcterms:modified>
  <cp:revision>12</cp:revision>
  <dc:subject/>
  <dc:title>ENRON RISK ASSESSMENT AND CONTROL</dc:title>
</cp:coreProperties>
</file>