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 RISK ASSESSMENT AND CONTROL</w:t>
      </w:r>
    </w:p>
    <w:p>
      <w:pPr>
        <w:pStyle w:val="Heading8"/>
        <w:ind w:hanging="0" w:start="0"/>
        <w:rPr>
          <w:rFonts w:ascii="Arial" w:hAnsi="Arial" w:cs="Arial"/>
        </w:rPr>
      </w:pPr>
      <w:r>
        <w:rPr>
          <w:rFonts w:eastAsia="Arial" w:cs="Arial" w:ascii="Arial" w:hAnsi="Arial"/>
        </w:rPr>
        <w:t xml:space="preserve"> </w:t>
      </w:r>
      <w:r>
        <w:rPr>
          <w:rFonts w:cs="Arial" w:ascii="Arial" w:hAnsi="Arial"/>
        </w:rPr>
        <w:t>DEAL APPROVAL SHEET</w:t>
      </w:r>
    </w:p>
    <w:p>
      <w:pPr>
        <w:pStyle w:val="Normal"/>
        <w:ind w:firstLine="720" w:start="720" w:end="0"/>
        <w:jc w:val="end"/>
        <w:rPr>
          <w:rFonts w:ascii="Arial" w:hAnsi="Arial" w:cs="Arial"/>
          <w:b/>
          <w:bCs/>
        </w:rPr>
      </w:pPr>
      <w:r>
        <w:fldChar w:fldCharType="begin">
          <w:ffData>
            <w:name w:val="Dropdown9"/>
            <w:enabled/>
            <w:ddList>
              <w:result w:val="1"/>
              <w:listEntry w:val="SELECT DEAL TYPE"/>
              <w:listEntry w:val="NEW DEAL"/>
              <w:listEntry w:val="SUBSEQUENT INVESTMENT"/>
              <w:listEntry w:val="AMENDMENT"/>
              <w:listEntry w:val="DIVESTITURE"/>
            </w:ddList>
          </w:ffData>
        </w:fldChar>
      </w:r>
      <w:r>
        <w:rPr>
          <w:b/>
          <w:bCs/>
          <w:rFonts w:cs="Arial" w:ascii="Arial" w:hAnsi="Arial"/>
        </w:rPr>
        <w:instrText xml:space="preserve"> FORMDROPDOWN </w:instrText>
      </w:r>
      <w:r>
        <w:rPr>
          <w:b/>
          <w:bCs/>
          <w:rFonts w:cs="Arial" w:ascii="Arial" w:hAnsi="Arial"/>
        </w:rPr>
        <w:fldChar w:fldCharType="separate"/>
      </w:r>
      <w:bookmarkStart w:id="0" w:name="Dropdown9"/>
      <w:bookmarkStart w:id="1" w:name="Dropdown9"/>
      <w:bookmarkEnd w:id="1"/>
      <w:r/>
      <w:r>
        <w:rPr>
          <w:b/>
          <w:bCs/>
          <w:rFonts w:cs="Arial" w:ascii="Arial" w:hAnsi="Arial"/>
        </w:rPr>
        <w:fldChar w:fldCharType="end"/>
      </w:r>
      <w:r>
        <w:rPr>
          <w:rFonts w:cs="Arial" w:ascii="Arial" w:hAnsi="Arial"/>
          <w:b/>
          <w:bCs/>
        </w:rPr>
      </w:r>
    </w:p>
    <w:tbl>
      <w:tblPr>
        <w:tblW w:w="10440" w:type="dxa"/>
        <w:jc w:val="start"/>
        <w:tblInd w:w="18" w:type="dxa"/>
        <w:tblLayout w:type="fixed"/>
        <w:tblCellMar>
          <w:top w:w="0" w:type="dxa"/>
          <w:start w:w="108" w:type="dxa"/>
          <w:bottom w:w="0" w:type="dxa"/>
          <w:end w:w="108" w:type="dxa"/>
        </w:tblCellMar>
      </w:tblPr>
      <w:tblGrid>
        <w:gridCol w:w="2250"/>
        <w:gridCol w:w="3060"/>
        <w:gridCol w:w="90"/>
        <w:gridCol w:w="5022"/>
        <w:gridCol w:w="18"/>
      </w:tblGrid>
      <w:tr>
        <w:trPr/>
        <w:tc>
          <w:tcPr>
            <w:tcW w:w="5400" w:type="dxa"/>
            <w:gridSpan w:val="3"/>
            <w:tcBorders>
              <w:top w:val="single" w:sz="8" w:space="0" w:color="000000"/>
            </w:tcBorders>
          </w:tcPr>
          <w:p>
            <w:pPr>
              <w:pStyle w:val="Normal"/>
              <w:rPr/>
            </w:pPr>
            <w:r>
              <w:rPr/>
              <w:t>DEAL NAME:</w:t>
            </w:r>
          </w:p>
          <w:tbl>
            <w:tblPr>
              <w:tblW w:w="5287" w:type="dxa"/>
              <w:jc w:val="start"/>
              <w:tblInd w:w="0" w:type="dxa"/>
              <w:tblLayout w:type="fixed"/>
              <w:tblCellMar>
                <w:top w:w="0" w:type="dxa"/>
                <w:start w:w="14" w:type="dxa"/>
                <w:bottom w:w="0" w:type="dxa"/>
                <w:end w:w="14" w:type="dxa"/>
              </w:tblCellMar>
            </w:tblPr>
            <w:tblGrid>
              <w:gridCol w:w="882"/>
              <w:gridCol w:w="540"/>
              <w:gridCol w:w="180"/>
              <w:gridCol w:w="720"/>
              <w:gridCol w:w="2965"/>
            </w:tblGrid>
            <w:tr>
              <w:trPr>
                <w:trHeight w:val="144" w:hRule="atLeast"/>
              </w:trPr>
              <w:tc>
                <w:tcPr>
                  <w:tcW w:w="1422" w:type="dxa"/>
                  <w:gridSpan w:val="2"/>
                  <w:tcBorders/>
                </w:tcPr>
                <w:p>
                  <w:pPr>
                    <w:pStyle w:val="Normal"/>
                    <w:ind w:end="792"/>
                    <w:rPr>
                      <w:rFonts w:ascii="Arial" w:hAnsi="Arial" w:cs="Arial"/>
                      <w:b/>
                      <w:sz w:val="20"/>
                    </w:rPr>
                  </w:pPr>
                  <w:r>
                    <w:fldChar w:fldCharType="begin">
                      <w:ffData>
                        <w:name w:val="Text1"/>
                        <w:enabled/>
                        <w:calcOnExit w:val="0"/>
                        <w:textInput/>
                      </w:ffData>
                    </w:fldChar>
                  </w:r>
                  <w:r>
                    <w:rPr>
                      <w:sz w:val="20"/>
                      <w:b/>
                      <w:rFonts w:cs="Arial" w:ascii="Arial" w:hAnsi="Arial"/>
                      <w:lang w:val="en-CA" w:eastAsia="en-CA"/>
                    </w:rPr>
                    <w:instrText xml:space="preserve"> FORMTEXT </w:instrText>
                  </w:r>
                  <w:r>
                    <w:rPr>
                      <w:rFonts w:cs="Arial" w:ascii="Arial" w:hAnsi="Arial"/>
                      <w:b/>
                      <w:sz w:val="20"/>
                      <w:lang w:val="en-CA" w:eastAsia="en-CA"/>
                    </w:rPr>
                  </w:r>
                  <w:r>
                    <w:rPr>
                      <w:sz w:val="20"/>
                      <w:b/>
                      <w:rFonts w:cs="Arial" w:ascii="Arial" w:hAnsi="Arial"/>
                      <w:lang w:val="en-CA" w:eastAsia="en-CA"/>
                    </w:rPr>
                    <w:fldChar w:fldCharType="separate"/>
                  </w:r>
                  <w:r>
                    <w:rPr>
                      <w:rFonts w:cs="Arial" w:ascii="Arial" w:hAnsi="Arial"/>
                      <w:b/>
                      <w:sz w:val="20"/>
                      <w:lang w:val="en-CA" w:eastAsia="en-CA"/>
                    </w:rPr>
                    <w:t>Project OZ</w:t>
                  </w:r>
                  <w:r/>
                  <w:r>
                    <w:rPr>
                      <w:sz w:val="20"/>
                      <w:b/>
                      <w:rFonts w:cs="Arial" w:ascii="Arial" w:hAnsi="Arial"/>
                      <w:lang w:val="en-CA" w:eastAsia="en-CA"/>
                    </w:rPr>
                    <w:fldChar w:fldCharType="end"/>
                  </w:r>
                  <w:r>
                    <w:rPr>
                      <w:rFonts w:cs="Arial" w:ascii="Arial" w:hAnsi="Arial"/>
                      <w:b/>
                      <w:sz w:val="20"/>
                      <w:lang w:val="en-CA" w:eastAsia="en-CA"/>
                    </w:rPr>
                  </w:r>
                </w:p>
              </w:tc>
              <w:tc>
                <w:tcPr>
                  <w:tcW w:w="3865" w:type="dxa"/>
                  <w:gridSpan w:val="3"/>
                  <w:tcBorders/>
                </w:tcPr>
                <w:p>
                  <w:pPr>
                    <w:pStyle w:val="Normal"/>
                    <w:snapToGrid w:val="false"/>
                    <w:rPr>
                      <w:rFonts w:ascii="Arial" w:hAnsi="Arial" w:cs="Arial"/>
                      <w:b/>
                      <w:sz w:val="20"/>
                    </w:rPr>
                  </w:pPr>
                  <w:r>
                    <w:rPr>
                      <w:rFonts w:cs="Arial" w:ascii="Arial" w:hAnsi="Arial"/>
                      <w:b/>
                      <w:sz w:val="20"/>
                    </w:rPr>
                  </w:r>
                </w:p>
              </w:tc>
            </w:tr>
            <w:tr>
              <w:trPr>
                <w:trHeight w:val="144" w:hRule="atLeast"/>
              </w:trPr>
              <w:tc>
                <w:tcPr>
                  <w:tcW w:w="1422" w:type="dxa"/>
                  <w:gridSpan w:val="2"/>
                  <w:tcBorders/>
                </w:tcPr>
                <w:p>
                  <w:pPr>
                    <w:pStyle w:val="Header"/>
                    <w:widowControl/>
                    <w:tabs>
                      <w:tab w:val="clear" w:pos="4320"/>
                      <w:tab w:val="clear" w:pos="8640"/>
                    </w:tabs>
                    <w:rPr>
                      <w:rFonts w:ascii="Arial" w:hAnsi="Arial" w:cs="Arial"/>
                      <w:b/>
                    </w:rPr>
                  </w:pPr>
                  <w:r>
                    <w:rPr>
                      <w:rFonts w:cs="Arial" w:ascii="Arial" w:hAnsi="Arial"/>
                    </w:rPr>
                    <w:t>Counterparty:</w:t>
                  </w:r>
                </w:p>
              </w:tc>
              <w:tc>
                <w:tcPr>
                  <w:tcW w:w="3865" w:type="dxa"/>
                  <w:gridSpan w:val="3"/>
                  <w:tcBorders/>
                </w:tcPr>
                <w:p>
                  <w:pPr>
                    <w:pStyle w:val="Normal"/>
                    <w:ind w:end="792"/>
                    <w:rPr>
                      <w:rFonts w:ascii="Arial" w:hAnsi="Arial" w:cs="Arial"/>
                      <w:b/>
                      <w:sz w:val="20"/>
                    </w:rPr>
                  </w:pPr>
                  <w:r>
                    <w:fldChar w:fldCharType="begin">
                      <w:ffData>
                        <w:name w:val="Text2"/>
                        <w:enabled/>
                        <w:calcOnExit w:val="0"/>
                        <w:textInput/>
                      </w:ffData>
                    </w:fldChar>
                  </w:r>
                  <w:r>
                    <w:rPr>
                      <w:sz w:val="20"/>
                      <w:b/>
                      <w:rFonts w:cs="Arial" w:ascii="Arial" w:hAnsi="Arial"/>
                      <w:lang w:val="en-CA" w:eastAsia="en-CA"/>
                    </w:rPr>
                    <w:instrText xml:space="preserve"> FORMTEXT </w:instrText>
                  </w:r>
                  <w:r>
                    <w:rPr>
                      <w:rFonts w:cs="Arial" w:ascii="Arial" w:hAnsi="Arial"/>
                      <w:b/>
                      <w:sz w:val="20"/>
                      <w:lang w:val="en-CA" w:eastAsia="en-CA"/>
                    </w:rPr>
                  </w:r>
                  <w:r>
                    <w:rPr>
                      <w:sz w:val="20"/>
                      <w:b/>
                      <w:rFonts w:cs="Arial" w:ascii="Arial" w:hAnsi="Arial"/>
                      <w:lang w:val="en-CA" w:eastAsia="en-CA"/>
                    </w:rPr>
                    <w:fldChar w:fldCharType="separate"/>
                  </w:r>
                  <w:r>
                    <w:rPr>
                      <w:rFonts w:cs="Arial" w:ascii="Arial" w:hAnsi="Arial"/>
                      <w:b/>
                      <w:sz w:val="20"/>
                      <w:lang w:val="en-CA" w:eastAsia="en-CA"/>
                    </w:rPr>
                    <w:t>GAF Refining</w:t>
                  </w:r>
                  <w:r/>
                  <w:r>
                    <w:rPr>
                      <w:sz w:val="20"/>
                      <w:b/>
                      <w:rFonts w:cs="Arial" w:ascii="Arial" w:hAnsi="Arial"/>
                      <w:lang w:val="en-CA" w:eastAsia="en-CA"/>
                    </w:rPr>
                    <w:fldChar w:fldCharType="end"/>
                  </w:r>
                  <w:r>
                    <w:rPr>
                      <w:rFonts w:cs="Arial" w:ascii="Arial" w:hAnsi="Arial"/>
                      <w:b/>
                      <w:sz w:val="20"/>
                      <w:lang w:val="en-CA" w:eastAsia="en-CA"/>
                    </w:rPr>
                  </w:r>
                </w:p>
              </w:tc>
            </w:tr>
            <w:tr>
              <w:trPr>
                <w:trHeight w:val="144" w:hRule="atLeast"/>
              </w:trPr>
              <w:tc>
                <w:tcPr>
                  <w:tcW w:w="1422" w:type="dxa"/>
                  <w:gridSpan w:val="2"/>
                  <w:tcBorders/>
                </w:tcPr>
                <w:p>
                  <w:pPr>
                    <w:pStyle w:val="Normal"/>
                    <w:ind w:end="-738"/>
                    <w:rPr>
                      <w:rFonts w:ascii="Arial" w:hAnsi="Arial" w:cs="Arial"/>
                      <w:color w:val="0000FF"/>
                      <w:sz w:val="20"/>
                    </w:rPr>
                  </w:pPr>
                  <w:r>
                    <w:rPr>
                      <w:rFonts w:cs="Arial" w:ascii="Arial" w:hAnsi="Arial"/>
                      <w:color w:val="0000FF"/>
                      <w:sz w:val="20"/>
                    </w:rPr>
                    <w:t>Business Unit:</w:t>
                  </w:r>
                </w:p>
              </w:tc>
              <w:tc>
                <w:tcPr>
                  <w:tcW w:w="3865" w:type="dxa"/>
                  <w:gridSpan w:val="3"/>
                  <w:tcBorders/>
                </w:tcPr>
                <w:p>
                  <w:pPr>
                    <w:pStyle w:val="Normal"/>
                    <w:ind w:end="-738"/>
                    <w:rPr>
                      <w:rFonts w:ascii="Arial" w:hAnsi="Arial" w:cs="Arial"/>
                      <w:sz w:val="20"/>
                    </w:rPr>
                  </w:pPr>
                  <w:r>
                    <w:fldChar w:fldCharType="begin">
                      <w:ffData>
                        <w:name w:val="Dropdown6"/>
                        <w:enabled/>
                        <w:ddList>
                          <w:result w:val="9"/>
                          <w:listEntry w:val="SELECT BUSINESS UNIT"/>
                          <w:listEntry w:val="Enron Americas"/>
                          <w:listEntry w:val="Enron Broadband Services"/>
                          <w:listEntry w:val="Enron Corp."/>
                          <w:listEntry w:val="Enron Energy Services"/>
                          <w:listEntry w:val="Enron Energy and Operational Services"/>
                          <w:listEntry w:val="Enron Europe"/>
                          <w:listEntry w:val="Enron Global Assets"/>
                          <w:listEntry w:val="Enron Global Finance"/>
                          <w:listEntry w:val="Enron Global Markets"/>
                          <w:listEntry w:val="Enron Industrial Markets"/>
                          <w:listEntry w:val="Enron Net Works"/>
                          <w:listEntry w:val="Enron Transportation Services"/>
                          <w:listEntry w:val="Enron Wind"/>
                          <w:listEntry w:val="NEPCO"/>
                          <w:listEntry w:val="Northern Border"/>
                          <w:listEntry w:val="Wholesale Services"/>
                        </w:ddList>
                      </w:ffData>
                    </w:fldChar>
                  </w:r>
                  <w:r>
                    <w:rPr>
                      <w:sz w:val="20"/>
                      <w:rFonts w:cs="Arial" w:ascii="Arial" w:hAnsi="Arial"/>
                    </w:rPr>
                    <w:instrText xml:space="preserve"> FORMDROPDOWN </w:instrText>
                  </w:r>
                  <w:r>
                    <w:rPr>
                      <w:sz w:val="20"/>
                      <w:rFonts w:cs="Arial" w:ascii="Arial" w:hAnsi="Arial"/>
                    </w:rPr>
                    <w:fldChar w:fldCharType="separate"/>
                  </w:r>
                  <w:bookmarkStart w:id="2" w:name="Dropdown6"/>
                  <w:bookmarkStart w:id="3" w:name="Dropdown6"/>
                  <w:bookmarkEnd w:id="3"/>
                  <w:r/>
                  <w:r>
                    <w:rPr>
                      <w:sz w:val="20"/>
                      <w:rFonts w:cs="Arial" w:ascii="Arial" w:hAnsi="Arial"/>
                    </w:rPr>
                    <w:fldChar w:fldCharType="end"/>
                  </w:r>
                  <w:r>
                    <w:rPr>
                      <w:rFonts w:cs="Arial" w:ascii="Arial" w:hAnsi="Arial"/>
                      <w:sz w:val="20"/>
                    </w:rPr>
                  </w:r>
                </w:p>
              </w:tc>
            </w:tr>
            <w:tr>
              <w:trPr>
                <w:trHeight w:val="144" w:hRule="atLeast"/>
              </w:trPr>
              <w:tc>
                <w:tcPr>
                  <w:tcW w:w="2322" w:type="dxa"/>
                  <w:gridSpan w:val="4"/>
                  <w:tcBorders/>
                </w:tcPr>
                <w:p>
                  <w:pPr>
                    <w:pStyle w:val="Normal"/>
                    <w:ind w:end="-738"/>
                    <w:rPr>
                      <w:rFonts w:ascii="Arial" w:hAnsi="Arial" w:cs="Arial"/>
                      <w:sz w:val="20"/>
                    </w:rPr>
                  </w:pPr>
                  <w:r>
                    <w:rPr>
                      <w:rFonts w:cs="Arial" w:ascii="Arial" w:hAnsi="Arial"/>
                      <w:sz w:val="20"/>
                    </w:rPr>
                    <w:t xml:space="preserve">Business Unit Originator: </w:t>
                  </w:r>
                </w:p>
              </w:tc>
              <w:tc>
                <w:tcPr>
                  <w:tcW w:w="2965" w:type="dxa"/>
                  <w:tcBorders/>
                </w:tcPr>
                <w:p>
                  <w:pPr>
                    <w:pStyle w:val="Normal"/>
                    <w:ind w:end="-738"/>
                    <w:rPr>
                      <w:rFonts w:ascii="Arial" w:hAnsi="Arial" w:cs="Arial"/>
                      <w:sz w:val="20"/>
                    </w:rPr>
                  </w:pPr>
                  <w:r>
                    <w:fldChar w:fldCharType="begin">
                      <w:ffData>
                        <w:name w:val="Text5"/>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Randy O'Connor</w:t>
                  </w:r>
                  <w:r/>
                  <w:r>
                    <w:rPr>
                      <w:sz w:val="20"/>
                      <w:rFonts w:cs="Arial" w:ascii="Arial" w:hAnsi="Arial"/>
                      <w:lang w:val="en-CA" w:eastAsia="en-CA"/>
                    </w:rPr>
                    <w:fldChar w:fldCharType="end"/>
                  </w:r>
                  <w:r>
                    <w:rPr>
                      <w:rFonts w:cs="Arial" w:ascii="Arial" w:hAnsi="Arial"/>
                      <w:sz w:val="20"/>
                      <w:lang w:val="en-CA" w:eastAsia="en-CA"/>
                    </w:rPr>
                  </w:r>
                </w:p>
              </w:tc>
            </w:tr>
            <w:tr>
              <w:trPr>
                <w:trHeight w:val="288" w:hRule="exact"/>
              </w:trPr>
              <w:tc>
                <w:tcPr>
                  <w:tcW w:w="882" w:type="dxa"/>
                  <w:tcBorders/>
                </w:tcPr>
                <w:p>
                  <w:pPr>
                    <w:pStyle w:val="Normal"/>
                    <w:ind w:end="-14"/>
                    <w:rPr>
                      <w:rFonts w:ascii="Arial" w:hAnsi="Arial" w:cs="Arial"/>
                      <w:b/>
                      <w:color w:val="0000FF"/>
                      <w:sz w:val="20"/>
                    </w:rPr>
                  </w:pPr>
                  <w:r>
                    <w:rPr>
                      <w:rFonts w:cs="Arial" w:ascii="Arial" w:hAnsi="Arial"/>
                      <w:color w:val="0000FF"/>
                      <w:sz w:val="20"/>
                    </w:rPr>
                    <w:t>Industry:</w:t>
                  </w:r>
                </w:p>
              </w:tc>
              <w:tc>
                <w:tcPr>
                  <w:tcW w:w="4405" w:type="dxa"/>
                  <w:gridSpan w:val="4"/>
                  <w:tcBorders/>
                  <w:vAlign w:val="center"/>
                </w:tcPr>
                <w:p>
                  <w:pPr>
                    <w:pStyle w:val="Normal"/>
                    <w:ind w:end="-738"/>
                    <w:rPr>
                      <w:rFonts w:ascii="Arial" w:hAnsi="Arial" w:cs="Arial"/>
                      <w:sz w:val="18"/>
                    </w:rPr>
                  </w:pPr>
                  <w:r>
                    <w:fldChar w:fldCharType="begin">
                      <w:ffData>
                        <w:name w:val="UserForm1"/>
                        <w:enabled/>
                        <w:calcOnExit w:val="0"/>
                        <w:textInput/>
                      </w:ffData>
                    </w:fldChar>
                  </w:r>
                  <w:r>
                    <w:rPr>
                      <w:sz w:val="18"/>
                      <w:rFonts w:cs="Arial" w:ascii="Arial" w:hAnsi="Arial"/>
                      <w:lang w:val="en-CA" w:eastAsia="en-CA"/>
                    </w:rPr>
                    <w:instrText xml:space="preserve"> FORMTEXT </w:instrText>
                  </w:r>
                  <w:r>
                    <w:rPr>
                      <w:rFonts w:cs="Arial" w:ascii="Arial" w:hAnsi="Arial"/>
                      <w:sz w:val="18"/>
                      <w:lang w:val="en-CA" w:eastAsia="en-CA"/>
                    </w:rPr>
                  </w:r>
                  <w:r>
                    <w:rPr>
                      <w:sz w:val="18"/>
                      <w:rFonts w:cs="Arial" w:ascii="Arial" w:hAnsi="Arial"/>
                      <w:lang w:val="en-CA" w:eastAsia="en-CA"/>
                    </w:rPr>
                    <w:fldChar w:fldCharType="separate"/>
                  </w:r>
                  <w:r>
                    <w:rPr>
                      <w:rFonts w:cs="Arial" w:ascii="Arial" w:hAnsi="Arial"/>
                      <w:sz w:val="18"/>
                      <w:lang w:val="en-CA" w:eastAsia="en-CA"/>
                    </w:rPr>
                    <w:t>Wholesale Energy-Downstream Oil &amp; Gas</w:t>
                  </w:r>
                  <w:r/>
                  <w:r>
                    <w:rPr>
                      <w:sz w:val="18"/>
                      <w:rFonts w:cs="Arial" w:ascii="Arial" w:hAnsi="Arial"/>
                      <w:lang w:val="en-CA" w:eastAsia="en-CA"/>
                    </w:rPr>
                    <w:fldChar w:fldCharType="end"/>
                  </w:r>
                  <w:r>
                    <w:rPr>
                      <w:rFonts w:cs="Arial" w:ascii="Arial" w:hAnsi="Arial"/>
                      <w:sz w:val="18"/>
                      <w:lang w:val="en-CA" w:eastAsia="en-CA"/>
                    </w:rPr>
                  </w:r>
                </w:p>
              </w:tc>
            </w:tr>
            <w:tr>
              <w:trPr>
                <w:trHeight w:val="144" w:hRule="atLeast"/>
              </w:trPr>
              <w:tc>
                <w:tcPr>
                  <w:tcW w:w="1602" w:type="dxa"/>
                  <w:gridSpan w:val="3"/>
                  <w:tcBorders/>
                </w:tcPr>
                <w:p>
                  <w:pPr>
                    <w:pStyle w:val="Normal"/>
                    <w:ind w:end="-738"/>
                    <w:rPr>
                      <w:rFonts w:ascii="Arial" w:hAnsi="Arial" w:cs="Arial"/>
                      <w:sz w:val="20"/>
                    </w:rPr>
                  </w:pPr>
                  <w:r>
                    <w:rPr>
                      <w:rFonts w:cs="Arial" w:ascii="Arial" w:hAnsi="Arial"/>
                      <w:sz w:val="20"/>
                    </w:rPr>
                    <w:t>This Transaction:</w:t>
                  </w:r>
                </w:p>
              </w:tc>
              <w:tc>
                <w:tcPr>
                  <w:tcW w:w="3685" w:type="dxa"/>
                  <w:gridSpan w:val="2"/>
                  <w:tcBorders/>
                </w:tcPr>
                <w:p>
                  <w:pPr>
                    <w:pStyle w:val="Normal"/>
                    <w:ind w:end="-738"/>
                    <w:rPr>
                      <w:rFonts w:ascii="Arial" w:hAnsi="Arial" w:cs="Arial"/>
                      <w:sz w:val="20"/>
                    </w:rPr>
                  </w:pPr>
                  <w:r>
                    <w:fldChar w:fldCharType="begin">
                      <w:ffData>
                        <w:name w:val="Unnamed"/>
                        <w:enabled/>
                        <w:ddList>
                          <w:result w:val="2"/>
                          <w:listEntry w:val="SELECT PUBLIC OR PRIVATE"/>
                          <w:listEntry w:val="Public"/>
                          <w:listEntry w:val="Private"/>
                        </w:ddList>
                      </w:ffData>
                    </w:fldChar>
                  </w:r>
                  <w:r>
                    <w:rPr>
                      <w:sz w:val="20"/>
                      <w:rFonts w:cs="Arial" w:ascii="Arial" w:hAnsi="Arial"/>
                    </w:rPr>
                    <w:instrText xml:space="preserve"> FORMDROPDOWN </w:instrText>
                  </w:r>
                  <w:r>
                    <w:rPr>
                      <w:sz w:val="20"/>
                      <w:rFonts w:cs="Arial" w:ascii="Arial" w:hAnsi="Arial"/>
                    </w:rPr>
                    <w:fldChar w:fldCharType="separate"/>
                  </w:r>
                  <w:bookmarkStart w:id="4" w:name="Unnamed"/>
                  <w:bookmarkStart w:id="5" w:name="Unnamed"/>
                  <w:bookmarkEnd w:id="5"/>
                  <w:r/>
                  <w:r>
                    <w:rPr>
                      <w:sz w:val="20"/>
                      <w:rFonts w:cs="Arial" w:ascii="Arial" w:hAnsi="Arial"/>
                    </w:rPr>
                    <w:fldChar w:fldCharType="end"/>
                  </w:r>
                  <w:r>
                    <w:rPr>
                      <w:rFonts w:cs="Arial" w:ascii="Arial" w:hAnsi="Arial"/>
                      <w:sz w:val="20"/>
                    </w:rPr>
                  </w:r>
                </w:p>
              </w:tc>
            </w:tr>
            <w:tr>
              <w:trPr>
                <w:trHeight w:val="144" w:hRule="atLeast"/>
              </w:trPr>
              <w:tc>
                <w:tcPr>
                  <w:tcW w:w="1602" w:type="dxa"/>
                  <w:gridSpan w:val="3"/>
                  <w:tcBorders/>
                </w:tcPr>
                <w:p>
                  <w:pPr>
                    <w:pStyle w:val="Normal"/>
                    <w:snapToGrid w:val="false"/>
                    <w:ind w:end="-738"/>
                    <w:rPr>
                      <w:rFonts w:ascii="Arial" w:hAnsi="Arial" w:cs="Arial"/>
                      <w:b/>
                      <w:sz w:val="20"/>
                    </w:rPr>
                  </w:pPr>
                  <w:r>
                    <w:rPr>
                      <w:rFonts w:cs="Arial" w:ascii="Arial" w:hAnsi="Arial"/>
                      <w:b/>
                      <w:sz w:val="20"/>
                    </w:rPr>
                  </w:r>
                </w:p>
              </w:tc>
              <w:tc>
                <w:tcPr>
                  <w:tcW w:w="3685" w:type="dxa"/>
                  <w:gridSpan w:val="2"/>
                  <w:tcBorders/>
                </w:tcPr>
                <w:p>
                  <w:pPr>
                    <w:pStyle w:val="Normal"/>
                    <w:ind w:end="-738"/>
                    <w:rPr>
                      <w:rFonts w:ascii="Arial" w:hAnsi="Arial" w:cs="Arial"/>
                      <w:sz w:val="20"/>
                    </w:rPr>
                  </w:pPr>
                  <w:r>
                    <w:fldChar w:fldCharType="begin">
                      <w:ffData>
                        <w:name w:val="Unnamed Copy 1"/>
                        <w:enabled/>
                        <w:ddList>
                          <w:result w:val="1"/>
                          <w:listEntry w:val="SELECT MERCHANT, STRATEGIC OR TRADING"/>
                          <w:listEntry w:val="Merchant"/>
                          <w:listEntry w:val="Strategic"/>
                          <w:listEntry w:val="Trading"/>
                        </w:ddList>
                      </w:ffData>
                    </w:fldChar>
                  </w:r>
                  <w:r>
                    <w:rPr>
                      <w:sz w:val="20"/>
                      <w:rFonts w:cs="Arial" w:ascii="Arial" w:hAnsi="Arial"/>
                    </w:rPr>
                    <w:instrText xml:space="preserve"> FORMDROPDOWN </w:instrText>
                  </w:r>
                  <w:r>
                    <w:rPr>
                      <w:sz w:val="20"/>
                      <w:rFonts w:cs="Arial" w:ascii="Arial" w:hAnsi="Arial"/>
                    </w:rPr>
                    <w:fldChar w:fldCharType="separate"/>
                  </w:r>
                  <w:bookmarkStart w:id="6" w:name="Unnamed_Copy_1"/>
                  <w:bookmarkStart w:id="7" w:name="Unnamed_Copy_1"/>
                  <w:bookmarkEnd w:id="7"/>
                  <w:r/>
                  <w:r>
                    <w:rPr>
                      <w:sz w:val="20"/>
                      <w:rFonts w:cs="Arial" w:ascii="Arial" w:hAnsi="Arial"/>
                    </w:rPr>
                    <w:fldChar w:fldCharType="end"/>
                  </w:r>
                  <w:r>
                    <w:rPr>
                      <w:rFonts w:cs="Arial" w:ascii="Arial" w:hAnsi="Arial"/>
                      <w:sz w:val="20"/>
                    </w:rPr>
                  </w:r>
                </w:p>
              </w:tc>
            </w:tr>
            <w:tr>
              <w:trPr>
                <w:trHeight w:val="144" w:hRule="atLeast"/>
              </w:trPr>
              <w:tc>
                <w:tcPr>
                  <w:tcW w:w="1602" w:type="dxa"/>
                  <w:gridSpan w:val="3"/>
                  <w:tcBorders/>
                </w:tcPr>
                <w:p>
                  <w:pPr>
                    <w:pStyle w:val="Normal"/>
                    <w:snapToGrid w:val="false"/>
                    <w:ind w:end="-738"/>
                    <w:rPr>
                      <w:rFonts w:ascii="Arial" w:hAnsi="Arial" w:cs="Arial"/>
                      <w:b/>
                      <w:sz w:val="20"/>
                    </w:rPr>
                  </w:pPr>
                  <w:r>
                    <w:rPr>
                      <w:rFonts w:cs="Arial" w:ascii="Arial" w:hAnsi="Arial"/>
                      <w:b/>
                      <w:sz w:val="20"/>
                    </w:rPr>
                  </w:r>
                </w:p>
              </w:tc>
              <w:tc>
                <w:tcPr>
                  <w:tcW w:w="3685" w:type="dxa"/>
                  <w:gridSpan w:val="2"/>
                  <w:tcBorders/>
                </w:tcPr>
                <w:p>
                  <w:pPr>
                    <w:pStyle w:val="Normal"/>
                    <w:ind w:end="-738"/>
                    <w:rPr>
                      <w:rFonts w:ascii="Arial" w:hAnsi="Arial" w:cs="Arial"/>
                      <w:sz w:val="20"/>
                    </w:rPr>
                  </w:pPr>
                  <w:r>
                    <w:fldChar w:fldCharType="begin">
                      <w:ffData>
                        <w:name w:val="Unnamed Copy 2"/>
                        <w:enabled/>
                        <w:ddList>
                          <w:result w:val="2"/>
                          <w:listEntry w:val="SELECT CONFORMING OR NONCONFORMING"/>
                          <w:listEntry w:val="Conforming"/>
                          <w:listEntry w:val="Nonconforming"/>
                        </w:ddList>
                      </w:ffData>
                    </w:fldChar>
                  </w:r>
                  <w:r>
                    <w:rPr>
                      <w:sz w:val="20"/>
                      <w:rFonts w:cs="Arial" w:ascii="Arial" w:hAnsi="Arial"/>
                    </w:rPr>
                    <w:instrText xml:space="preserve"> FORMDROPDOWN </w:instrText>
                  </w:r>
                  <w:r>
                    <w:rPr>
                      <w:sz w:val="20"/>
                      <w:rFonts w:cs="Arial" w:ascii="Arial" w:hAnsi="Arial"/>
                    </w:rPr>
                    <w:fldChar w:fldCharType="separate"/>
                  </w:r>
                  <w:bookmarkStart w:id="8" w:name="Unnamed_Copy_2"/>
                  <w:bookmarkStart w:id="9" w:name="Unnamed_Copy_2"/>
                  <w:bookmarkEnd w:id="9"/>
                  <w:r/>
                  <w:r>
                    <w:rPr>
                      <w:sz w:val="20"/>
                      <w:rFonts w:cs="Arial" w:ascii="Arial" w:hAnsi="Arial"/>
                    </w:rPr>
                    <w:fldChar w:fldCharType="end"/>
                  </w:r>
                  <w:r>
                    <w:rPr>
                      <w:rFonts w:cs="Arial" w:ascii="Arial" w:hAnsi="Arial"/>
                      <w:sz w:val="20"/>
                    </w:rPr>
                  </w:r>
                </w:p>
              </w:tc>
            </w:tr>
          </w:tbl>
          <w:p>
            <w:pPr>
              <w:pStyle w:val="Normal"/>
              <w:ind w:firstLine="90" w:start="-198" w:end="-738"/>
              <w:rPr>
                <w:rFonts w:ascii="Arial" w:hAnsi="Arial" w:cs="Arial"/>
                <w:sz w:val="20"/>
              </w:rPr>
            </w:pPr>
            <w:r>
              <w:rPr>
                <w:rFonts w:cs="Arial" w:ascii="Arial" w:hAnsi="Arial"/>
                <w:sz w:val="20"/>
              </w:rPr>
            </w:r>
          </w:p>
        </w:tc>
        <w:tc>
          <w:tcPr>
            <w:tcW w:w="5040" w:type="dxa"/>
            <w:tcBorders>
              <w:top w:val="single" w:sz="8" w:space="0" w:color="000000"/>
            </w:tcBorders>
          </w:tcPr>
          <w:tbl>
            <w:tblPr>
              <w:tblW w:w="4922" w:type="dxa"/>
              <w:jc w:val="start"/>
              <w:tblInd w:w="15" w:type="dxa"/>
              <w:tblLayout w:type="fixed"/>
              <w:tblCellMar>
                <w:top w:w="0" w:type="dxa"/>
                <w:start w:w="14" w:type="dxa"/>
                <w:bottom w:w="0" w:type="dxa"/>
                <w:end w:w="14" w:type="dxa"/>
              </w:tblCellMar>
            </w:tblPr>
            <w:tblGrid>
              <w:gridCol w:w="2127"/>
              <w:gridCol w:w="2795"/>
            </w:tblGrid>
            <w:tr>
              <w:trPr/>
              <w:tc>
                <w:tcPr>
                  <w:tcW w:w="2127" w:type="dxa"/>
                  <w:tcBorders/>
                </w:tcPr>
                <w:p>
                  <w:pPr>
                    <w:pStyle w:val="Normal"/>
                    <w:ind w:end="-738"/>
                    <w:rPr>
                      <w:rFonts w:ascii="Arial" w:hAnsi="Arial" w:cs="Arial"/>
                      <w:sz w:val="20"/>
                    </w:rPr>
                  </w:pPr>
                  <w:r>
                    <w:rPr>
                      <w:rFonts w:cs="Arial" w:ascii="Arial" w:hAnsi="Arial"/>
                      <w:sz w:val="20"/>
                    </w:rPr>
                    <w:t>Date DASH Completed:</w:t>
                  </w:r>
                </w:p>
              </w:tc>
              <w:tc>
                <w:tcPr>
                  <w:tcW w:w="2795" w:type="dxa"/>
                  <w:tcBorders/>
                </w:tcPr>
                <w:p>
                  <w:pPr>
                    <w:pStyle w:val="Normal"/>
                    <w:ind w:end="-738"/>
                    <w:rPr>
                      <w:rFonts w:ascii="Arial" w:hAnsi="Arial" w:cs="Arial"/>
                      <w:sz w:val="20"/>
                    </w:rPr>
                  </w:pPr>
                  <w:r>
                    <w:fldChar w:fldCharType="begin">
                      <w:ffData>
                        <w:name w:val="Text3"/>
                        <w:enabled/>
                        <w:calcOnExit w:val="0"/>
                        <w:textInput>
                          <w:type w:val="date"/>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September 1, 2001</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RAC Underwriter:</w:t>
                  </w:r>
                </w:p>
              </w:tc>
              <w:tc>
                <w:tcPr>
                  <w:tcW w:w="2795" w:type="dxa"/>
                  <w:tcBorders/>
                </w:tcPr>
                <w:p>
                  <w:pPr>
                    <w:pStyle w:val="Normal"/>
                    <w:ind w:end="-738"/>
                    <w:rPr>
                      <w:rFonts w:ascii="Arial" w:hAnsi="Arial" w:cs="Arial"/>
                      <w:sz w:val="20"/>
                    </w:rPr>
                  </w:pPr>
                  <w:r>
                    <w:fldChar w:fldCharType="begin">
                      <w:ffData>
                        <w:name w:val="Dropdown7"/>
                        <w:enabled/>
                        <w:ddList>
                          <w:result w:val="2"/>
                          <w:listEntry w:val="SELECT UNDERWRITER"/>
                          <w:listEntry w:val="Dave Gorte"/>
                          <w:listEntry w:val="Brad Larson"/>
                          <w:listEntry w:val="Randy Petersen"/>
                          <w:listEntry w:val="Chip Schneider"/>
                          <w:listEntry w:val="Michael Tribolet"/>
                          <w:listEntry w:val="Karen Barbour"/>
                          <w:listEntry w:val="David Crews"/>
                          <w:listEntry w:val="Jay Hachen"/>
                        </w:ddList>
                      </w:ffData>
                    </w:fldChar>
                  </w:r>
                  <w:r>
                    <w:rPr>
                      <w:sz w:val="20"/>
                      <w:rFonts w:cs="Arial" w:ascii="Arial" w:hAnsi="Arial"/>
                    </w:rPr>
                    <w:instrText xml:space="preserve"> FORMDROPDOWN </w:instrText>
                  </w:r>
                  <w:r>
                    <w:rPr>
                      <w:sz w:val="20"/>
                      <w:rFonts w:cs="Arial" w:ascii="Arial" w:hAnsi="Arial"/>
                    </w:rPr>
                    <w:fldChar w:fldCharType="separate"/>
                  </w:r>
                  <w:bookmarkStart w:id="10" w:name="Dropdown7"/>
                  <w:bookmarkStart w:id="11" w:name="Dropdown7"/>
                  <w:bookmarkEnd w:id="11"/>
                  <w:r/>
                  <w:r>
                    <w:rPr>
                      <w:sz w:val="20"/>
                      <w:rFonts w:cs="Arial" w:ascii="Arial" w:hAnsi="Arial"/>
                    </w:rPr>
                    <w:fldChar w:fldCharType="end"/>
                  </w:r>
                  <w:r>
                    <w:rPr>
                      <w:rFonts w:cs="Arial" w:ascii="Arial" w:hAnsi="Arial"/>
                      <w:sz w:val="20"/>
                    </w:rPr>
                  </w:r>
                </w:p>
              </w:tc>
            </w:tr>
            <w:tr>
              <w:trPr/>
              <w:tc>
                <w:tcPr>
                  <w:tcW w:w="2127" w:type="dxa"/>
                  <w:tcBorders/>
                </w:tcPr>
                <w:p>
                  <w:pPr>
                    <w:pStyle w:val="Normal"/>
                    <w:ind w:end="-738"/>
                    <w:rPr>
                      <w:rFonts w:ascii="Arial" w:hAnsi="Arial" w:cs="Arial"/>
                      <w:sz w:val="20"/>
                    </w:rPr>
                  </w:pPr>
                  <w:r>
                    <w:rPr>
                      <w:rFonts w:cs="Arial" w:ascii="Arial" w:hAnsi="Arial"/>
                      <w:sz w:val="20"/>
                    </w:rPr>
                    <w:t>RAC Analyst:</w:t>
                  </w:r>
                </w:p>
              </w:tc>
              <w:tc>
                <w:tcPr>
                  <w:tcW w:w="2795" w:type="dxa"/>
                  <w:tcBorders/>
                </w:tcPr>
                <w:p>
                  <w:pPr>
                    <w:pStyle w:val="Normal"/>
                    <w:ind w:end="-738"/>
                    <w:rPr>
                      <w:rFonts w:ascii="Arial" w:hAnsi="Arial" w:cs="Arial"/>
                      <w:sz w:val="20"/>
                    </w:rPr>
                  </w:pPr>
                  <w:r>
                    <w:fldChar w:fldCharType="begin">
                      <w:ffData>
                        <w:name w:val="Text4"/>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Mark Bonney</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Transaction Type:</w:t>
                  </w:r>
                </w:p>
              </w:tc>
              <w:tc>
                <w:tcPr>
                  <w:tcW w:w="2795" w:type="dxa"/>
                  <w:tcBorders/>
                </w:tcPr>
                <w:p>
                  <w:pPr>
                    <w:pStyle w:val="Normal"/>
                    <w:ind w:end="-738"/>
                    <w:rPr>
                      <w:rFonts w:ascii="Arial" w:hAnsi="Arial" w:cs="Arial"/>
                      <w:color w:val="0000FF"/>
                      <w:sz w:val="20"/>
                    </w:rPr>
                  </w:pPr>
                  <w:r>
                    <w:fldChar w:fldCharType="begin">
                      <w:ffData>
                        <w:name w:val="Dropdown3"/>
                        <w:enabled/>
                        <w:ddList>
                          <w:result w:val="10"/>
                          <w:listEntry w:val="SELECT TRANSACTION TYPE"/>
                          <w:listEntry w:val="Debt - Senior Secured"/>
                          <w:listEntry w:val="Debt - Senior Unsecured"/>
                          <w:listEntry w:val="Debt - Subordinated"/>
                          <w:listEntry w:val="Debt - Leasing"/>
                          <w:listEntry w:val="Equity - Public"/>
                          <w:listEntry w:val="Equity - Private"/>
                          <w:listEntry w:val="Equity - Leasing"/>
                          <w:listEntry w:val="Equity - Real Property"/>
                          <w:listEntry w:val="Commodity"/>
                          <w:listEntry w:val="Commodity (w/financing)"/>
                          <w:listEntry w:val="Bundled Energy Outsource"/>
                          <w:listEntry w:val="Services - Energy Outsource"/>
                          <w:listEntry w:val="Services - Eng and Const"/>
                          <w:listEntry w:val="Services - Other"/>
                          <w:listEntry w:val="Derivative"/>
                        </w:ddList>
                      </w:ffData>
                    </w:fldChar>
                  </w:r>
                  <w:r>
                    <w:rPr>
                      <w:sz w:val="20"/>
                      <w:rFonts w:cs="Arial" w:ascii="Arial" w:hAnsi="Arial"/>
                    </w:rPr>
                    <w:instrText xml:space="preserve"> FORMDROPDOWN </w:instrText>
                  </w:r>
                  <w:r>
                    <w:rPr>
                      <w:sz w:val="20"/>
                      <w:rFonts w:cs="Arial" w:ascii="Arial" w:hAnsi="Arial"/>
                    </w:rPr>
                    <w:fldChar w:fldCharType="separate"/>
                  </w:r>
                  <w:bookmarkStart w:id="12" w:name="Dropdown3"/>
                  <w:bookmarkStart w:id="13" w:name="Dropdown3"/>
                  <w:bookmarkEnd w:id="13"/>
                  <w:r/>
                  <w:r>
                    <w:rPr>
                      <w:sz w:val="20"/>
                      <w:rFonts w:cs="Arial" w:ascii="Arial" w:hAnsi="Arial"/>
                    </w:rPr>
                    <w:fldChar w:fldCharType="end"/>
                  </w:r>
                  <w:r>
                    <w:rPr>
                      <w:rFonts w:cs="Arial" w:ascii="Arial" w:hAnsi="Arial"/>
                      <w:sz w:val="20"/>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Capital Funding Source:</w:t>
                  </w:r>
                </w:p>
              </w:tc>
              <w:tc>
                <w:tcPr>
                  <w:tcW w:w="2795" w:type="dxa"/>
                  <w:tcBorders/>
                </w:tcPr>
                <w:p>
                  <w:pPr>
                    <w:pStyle w:val="Normal"/>
                    <w:ind w:end="-738"/>
                    <w:rPr>
                      <w:rFonts w:ascii="Arial" w:hAnsi="Arial" w:cs="Arial"/>
                      <w:color w:val="0000FF"/>
                      <w:sz w:val="20"/>
                    </w:rPr>
                  </w:pPr>
                  <w:r>
                    <w:fldChar w:fldCharType="begin">
                      <w:ffData>
                        <w:name w:val="Dropdown2"/>
                        <w:enabled/>
                        <w:ddList>
                          <w:result w:val="1"/>
                          <w:listEntry w:val="SELECT FUNDING SOURCE"/>
                          <w:listEntry w:val="On Balance Sheet-On Credit"/>
                          <w:listEntry w:val="On Balance Sheet-Off Credit"/>
                          <w:listEntry w:val="Off Balance Sheet-Off Credit"/>
                          <w:listEntry w:val="Off Balance Sheet-On Credit"/>
                          <w:listEntry w:val="JEDI II/On Balance Sheet"/>
                          <w:listEntry w:val="Brazos/On Balance Sheet"/>
                        </w:ddList>
                      </w:ffData>
                    </w:fldChar>
                  </w:r>
                  <w:r>
                    <w:rPr>
                      <w:sz w:val="20"/>
                      <w:rFonts w:cs="Arial" w:ascii="Arial" w:hAnsi="Arial"/>
                    </w:rPr>
                    <w:instrText xml:space="preserve"> FORMDROPDOWN </w:instrText>
                  </w:r>
                  <w:r>
                    <w:rPr>
                      <w:sz w:val="20"/>
                      <w:rFonts w:cs="Arial" w:ascii="Arial" w:hAnsi="Arial"/>
                    </w:rPr>
                    <w:fldChar w:fldCharType="separate"/>
                  </w:r>
                  <w:bookmarkStart w:id="14" w:name="Dropdown2"/>
                  <w:bookmarkStart w:id="15" w:name="Dropdown2"/>
                  <w:bookmarkEnd w:id="15"/>
                  <w:r/>
                  <w:r>
                    <w:rPr>
                      <w:sz w:val="20"/>
                      <w:rFonts w:cs="Arial" w:ascii="Arial" w:hAnsi="Arial"/>
                    </w:rPr>
                    <w:fldChar w:fldCharType="end"/>
                  </w:r>
                  <w:r>
                    <w:rPr>
                      <w:rFonts w:cs="Arial" w:ascii="Arial" w:hAnsi="Arial"/>
                      <w:sz w:val="20"/>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Country:</w:t>
                  </w:r>
                </w:p>
              </w:tc>
              <w:tc>
                <w:tcPr>
                  <w:tcW w:w="2795" w:type="dxa"/>
                  <w:tcBorders/>
                </w:tcPr>
                <w:p>
                  <w:pPr>
                    <w:pStyle w:val="Normal"/>
                    <w:ind w:end="-738"/>
                    <w:rPr>
                      <w:rFonts w:ascii="Arial" w:hAnsi="Arial" w:cs="Arial"/>
                      <w:sz w:val="20"/>
                    </w:rPr>
                  </w:pPr>
                  <w:r>
                    <w:fldChar w:fldCharType="begin">
                      <w:ffData>
                        <w:name w:val="UserForm"/>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United States</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sz w:val="20"/>
                    </w:rPr>
                  </w:pPr>
                  <w:r>
                    <w:rPr>
                      <w:rFonts w:cs="Arial" w:ascii="Arial" w:hAnsi="Arial"/>
                      <w:sz w:val="20"/>
                    </w:rPr>
                    <w:t>Expected Closing Date:</w:t>
                  </w:r>
                </w:p>
              </w:tc>
              <w:tc>
                <w:tcPr>
                  <w:tcW w:w="2795" w:type="dxa"/>
                  <w:tcBorders/>
                </w:tcPr>
                <w:p>
                  <w:pPr>
                    <w:pStyle w:val="Normal"/>
                    <w:ind w:end="-738"/>
                    <w:rPr>
                      <w:rFonts w:ascii="Arial" w:hAnsi="Arial" w:cs="Arial"/>
                      <w:sz w:val="20"/>
                    </w:rPr>
                  </w:pPr>
                  <w:r>
                    <w:fldChar w:fldCharType="begin">
                      <w:ffData>
                        <w:name w:val="Text6"/>
                        <w:enabled/>
                        <w:calcOnExit w:val="0"/>
                        <w:textInput>
                          <w:type w:val="date"/>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     </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sz w:val="20"/>
                    </w:rPr>
                  </w:pPr>
                  <w:r>
                    <w:rPr>
                      <w:rFonts w:cs="Arial" w:ascii="Arial" w:hAnsi="Arial"/>
                      <w:sz w:val="20"/>
                    </w:rPr>
                    <w:t>Expected Funding Date:</w:t>
                  </w:r>
                </w:p>
              </w:tc>
              <w:tc>
                <w:tcPr>
                  <w:tcW w:w="2795" w:type="dxa"/>
                  <w:tcBorders/>
                </w:tcPr>
                <w:p>
                  <w:pPr>
                    <w:pStyle w:val="Normal"/>
                    <w:ind w:end="-738"/>
                    <w:rPr>
                      <w:rFonts w:ascii="Arial" w:hAnsi="Arial" w:cs="Arial"/>
                      <w:sz w:val="20"/>
                    </w:rPr>
                  </w:pPr>
                  <w:r>
                    <w:fldChar w:fldCharType="begin">
                      <w:ffData>
                        <w:name w:val="Text7"/>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     </w:t>
                  </w:r>
                  <w:r/>
                  <w:r>
                    <w:rPr>
                      <w:sz w:val="20"/>
                      <w:rFonts w:cs="Arial" w:ascii="Arial" w:hAnsi="Arial"/>
                      <w:lang w:val="en-CA" w:eastAsia="en-CA"/>
                    </w:rPr>
                    <w:fldChar w:fldCharType="end"/>
                  </w:r>
                  <w:r>
                    <w:rPr>
                      <w:rFonts w:cs="Arial" w:ascii="Arial" w:hAnsi="Arial"/>
                      <w:sz w:val="20"/>
                      <w:lang w:val="en-CA" w:eastAsia="en-CA"/>
                    </w:rPr>
                  </w:r>
                </w:p>
              </w:tc>
            </w:tr>
          </w:tbl>
          <w:p>
            <w:pPr>
              <w:pStyle w:val="Normal"/>
              <w:rPr>
                <w:rFonts w:ascii="Arial" w:hAnsi="Arial" w:cs="Arial"/>
                <w:sz w:val="20"/>
              </w:rPr>
            </w:pPr>
            <w:r>
              <w:rPr>
                <w:rFonts w:cs="Arial" w:ascii="Arial" w:hAnsi="Arial"/>
                <w:sz w:val="20"/>
              </w:rPr>
            </w:r>
          </w:p>
        </w:tc>
      </w:tr>
      <w:tr>
        <w:trPr>
          <w:trHeight w:val="485" w:hRule="atLeast"/>
        </w:trPr>
        <w:tc>
          <w:tcPr>
            <w:tcW w:w="2250" w:type="dxa"/>
            <w:tcBorders>
              <w:top w:val="single" w:sz="8" w:space="0" w:color="000000"/>
            </w:tcBorders>
          </w:tcPr>
          <w:p>
            <w:pPr>
              <w:pStyle w:val="Normal"/>
              <w:ind w:end="-738"/>
              <w:rPr>
                <w:rFonts w:ascii="Arial" w:hAnsi="Arial" w:cs="Arial"/>
                <w:sz w:val="20"/>
              </w:rPr>
            </w:pPr>
            <w:r>
              <w:rPr>
                <w:rFonts w:cs="Arial" w:ascii="Arial" w:hAnsi="Arial"/>
                <w:sz w:val="20"/>
              </w:rPr>
              <w:t>RAC Recommendation:</w:t>
            </w:r>
          </w:p>
        </w:tc>
        <w:tc>
          <w:tcPr>
            <w:tcW w:w="3060" w:type="dxa"/>
            <w:tcBorders>
              <w:top w:val="single" w:sz="8" w:space="0" w:color="000000"/>
            </w:tcBorders>
          </w:tcPr>
          <w:p>
            <w:pPr>
              <w:pStyle w:val="Normal"/>
              <w:ind w:end="-738"/>
              <w:rPr/>
            </w:pPr>
            <w:r>
              <w:fldChar w:fldCharType="begin">
                <w:ffData>
                  <w:name w:val="Check1"/>
                  <w:enabled/>
                  <w:calcOnExit w:val="0"/>
                  <w:checkBox>
                    <w:sizeAuto/>
                    <w:checked/>
                  </w:checkBox>
                </w:ffData>
              </w:fldChar>
            </w:r>
            <w:r>
              <w:rPr>
                <w:sz w:val="18"/>
                <w:rFonts w:cs="Arial" w:ascii="Arial" w:hAnsi="Arial"/>
              </w:rPr>
              <w:instrText xml:space="preserve"> FORMCHECKBOX </w:instrText>
            </w:r>
            <w:r>
              <w:rPr>
                <w:sz w:val="18"/>
                <w:rFonts w:cs="Arial" w:ascii="Arial" w:hAnsi="Arial"/>
              </w:rPr>
              <w:fldChar w:fldCharType="separate"/>
            </w:r>
            <w:bookmarkStart w:id="16" w:name="Check1"/>
            <w:bookmarkStart w:id="17" w:name="Check1"/>
            <w:bookmarkEnd w:id="17"/>
            <w:r>
              <w:rPr>
                <w:rFonts w:cs="Arial" w:ascii="Arial" w:hAnsi="Arial"/>
                <w:sz w:val="18"/>
              </w:rPr>
            </w:r>
            <w:r>
              <w:rPr>
                <w:sz w:val="18"/>
                <w:rFonts w:cs="Arial" w:ascii="Arial" w:hAnsi="Arial"/>
              </w:rPr>
              <w:fldChar w:fldCharType="end"/>
            </w:r>
            <w:r>
              <w:rPr>
                <w:rFonts w:cs="Arial" w:ascii="Arial" w:hAnsi="Arial"/>
                <w:sz w:val="20"/>
              </w:rPr>
              <w:t xml:space="preserve"> Proceed with Transaction </w:t>
            </w:r>
          </w:p>
          <w:p>
            <w:pPr>
              <w:pStyle w:val="Normal"/>
              <w:ind w:end="-738"/>
              <w:rPr/>
            </w:pPr>
            <w:r>
              <w:fldChar w:fldCharType="begin">
                <w:ffData>
                  <w:name w:val="Check3"/>
                  <w:enabled/>
                  <w:calcOnExit w:val="0"/>
                  <w:checkBox>
                    <w:sizeAuto/>
                  </w:checkBox>
                </w:ffData>
              </w:fldChar>
            </w:r>
            <w:r>
              <w:rPr>
                <w:sz w:val="18"/>
                <w:rFonts w:cs="Arial" w:ascii="Arial" w:hAnsi="Arial"/>
              </w:rPr>
              <w:instrText xml:space="preserve"> FORMCHECKBOX </w:instrText>
            </w:r>
            <w:r>
              <w:rPr>
                <w:sz w:val="18"/>
                <w:rFonts w:cs="Arial" w:ascii="Arial" w:hAnsi="Arial"/>
              </w:rPr>
              <w:fldChar w:fldCharType="separate"/>
            </w:r>
            <w:bookmarkStart w:id="18" w:name="Check3"/>
            <w:bookmarkStart w:id="19" w:name="Check3"/>
            <w:bookmarkEnd w:id="19"/>
            <w:r>
              <w:rPr>
                <w:rFonts w:cs="Arial" w:ascii="Arial" w:hAnsi="Arial"/>
                <w:sz w:val="18"/>
              </w:rPr>
            </w:r>
            <w:r>
              <w:rPr>
                <w:sz w:val="18"/>
                <w:rFonts w:cs="Arial" w:ascii="Arial" w:hAnsi="Arial"/>
              </w:rPr>
              <w:fldChar w:fldCharType="end"/>
            </w:r>
            <w:r>
              <w:rPr>
                <w:rFonts w:cs="Arial" w:ascii="Arial" w:hAnsi="Arial"/>
                <w:sz w:val="20"/>
              </w:rPr>
              <w:t xml:space="preserve"> Do not Proceed </w:t>
            </w:r>
          </w:p>
        </w:tc>
        <w:tc>
          <w:tcPr>
            <w:tcW w:w="5112" w:type="dxa"/>
            <w:gridSpan w:val="2"/>
            <w:tcBorders>
              <w:top w:val="single" w:sz="8" w:space="0" w:color="000000"/>
            </w:tcBorders>
          </w:tcPr>
          <w:p>
            <w:pPr>
              <w:pStyle w:val="Normal"/>
              <w:ind w:end="-738"/>
              <w:rPr/>
            </w:pPr>
            <w:r>
              <w:fldChar w:fldCharType="begin">
                <w:ffData>
                  <w:name w:val="Check2"/>
                  <w:enabled/>
                  <w:calcOnExit w:val="0"/>
                  <w:checkBox>
                    <w:sizeAuto/>
                  </w:checkBox>
                </w:ffData>
              </w:fldChar>
            </w:r>
            <w:r>
              <w:rPr>
                <w:sz w:val="18"/>
                <w:rFonts w:cs="Arial" w:ascii="Arial" w:hAnsi="Arial"/>
              </w:rPr>
              <w:instrText xml:space="preserve"> FORMCHECKBOX </w:instrText>
            </w:r>
            <w:r>
              <w:rPr>
                <w:sz w:val="18"/>
                <w:rFonts w:cs="Arial" w:ascii="Arial" w:hAnsi="Arial"/>
              </w:rPr>
              <w:fldChar w:fldCharType="separate"/>
            </w:r>
            <w:bookmarkStart w:id="20" w:name="Check2"/>
            <w:bookmarkStart w:id="21" w:name="Check2"/>
            <w:bookmarkEnd w:id="21"/>
            <w:r>
              <w:rPr>
                <w:rFonts w:cs="Arial" w:ascii="Arial" w:hAnsi="Arial"/>
                <w:sz w:val="18"/>
              </w:rPr>
            </w:r>
            <w:r>
              <w:rPr>
                <w:sz w:val="18"/>
                <w:rFonts w:cs="Arial" w:ascii="Arial" w:hAnsi="Arial"/>
              </w:rPr>
              <w:fldChar w:fldCharType="end"/>
            </w:r>
            <w:r>
              <w:rPr>
                <w:rFonts w:cs="Arial" w:ascii="Arial" w:hAnsi="Arial"/>
                <w:sz w:val="20"/>
              </w:rPr>
              <w:t xml:space="preserve"> Returns below Capital Price </w:t>
            </w:r>
          </w:p>
          <w:p>
            <w:pPr>
              <w:pStyle w:val="Normal"/>
              <w:ind w:end="-738"/>
              <w:rPr>
                <w:rFonts w:ascii="Arial" w:hAnsi="Arial" w:cs="Arial"/>
                <w:sz w:val="20"/>
              </w:rPr>
            </w:pPr>
            <w:r>
              <w:fldChar w:fldCharType="begin">
                <w:ffData>
                  <w:name w:val="Check10"/>
                  <w:enabled/>
                  <w:calcOnExit w:val="0"/>
                  <w:checkBox>
                    <w:sizeAuto/>
                  </w:checkBox>
                </w:ffData>
              </w:fldChar>
            </w:r>
            <w:r>
              <w:rPr>
                <w:sz w:val="18"/>
                <w:rFonts w:cs="Arial" w:ascii="Arial" w:hAnsi="Arial"/>
              </w:rPr>
              <w:instrText xml:space="preserve"> FORMCHECKBOX </w:instrText>
            </w:r>
            <w:r>
              <w:rPr>
                <w:sz w:val="18"/>
                <w:rFonts w:cs="Arial" w:ascii="Arial" w:hAnsi="Arial"/>
              </w:rPr>
              <w:fldChar w:fldCharType="separate"/>
            </w:r>
            <w:bookmarkStart w:id="22" w:name="Check10"/>
            <w:bookmarkStart w:id="23" w:name="Check10"/>
            <w:bookmarkEnd w:id="23"/>
            <w:r>
              <w:rPr>
                <w:rFonts w:cs="Arial" w:ascii="Arial" w:hAnsi="Arial"/>
                <w:sz w:val="18"/>
              </w:rPr>
            </w:r>
            <w:r>
              <w:rPr>
                <w:sz w:val="18"/>
                <w:rFonts w:cs="Arial" w:ascii="Arial" w:hAnsi="Arial"/>
              </w:rPr>
              <w:fldChar w:fldCharType="end"/>
            </w:r>
            <w:r>
              <w:rPr>
                <w:rFonts w:cs="Arial" w:ascii="Arial" w:hAnsi="Arial"/>
                <w:sz w:val="18"/>
              </w:rPr>
              <w:t xml:space="preserve"> See Other RAC Comments</w:t>
            </w:r>
          </w:p>
        </w:tc>
      </w:tr>
      <w:tr>
        <w:trPr>
          <w:trHeight w:val="232" w:hRule="atLeast"/>
        </w:trPr>
        <w:tc>
          <w:tcPr>
            <w:tcW w:w="2250" w:type="dxa"/>
            <w:tcBorders/>
          </w:tcPr>
          <w:p>
            <w:pPr>
              <w:pStyle w:val="Normal"/>
              <w:ind w:end="-738"/>
              <w:rPr>
                <w:rFonts w:ascii="Arial" w:hAnsi="Arial" w:cs="Arial"/>
                <w:color w:val="0000FF"/>
                <w:sz w:val="20"/>
              </w:rPr>
            </w:pPr>
            <w:r>
              <w:rPr>
                <w:rFonts w:cs="Arial" w:ascii="Arial" w:hAnsi="Arial"/>
                <w:color w:val="0000FF"/>
                <w:sz w:val="20"/>
              </w:rPr>
              <w:t>Board Approval:</w:t>
            </w:r>
          </w:p>
        </w:tc>
        <w:tc>
          <w:tcPr>
            <w:tcW w:w="8172" w:type="dxa"/>
            <w:gridSpan w:val="3"/>
            <w:tcBorders/>
          </w:tcPr>
          <w:p>
            <w:pPr>
              <w:pStyle w:val="Normal"/>
              <w:ind w:end="-738"/>
              <w:rPr>
                <w:rFonts w:ascii="Arial" w:hAnsi="Arial" w:cs="Arial"/>
                <w:sz w:val="20"/>
              </w:rPr>
            </w:pPr>
            <w:r>
              <w:fldChar w:fldCharType="begin">
                <w:ffData>
                  <w:name w:val="Dropdown1"/>
                  <w:enabled/>
                  <w:ddList>
                    <w:result w:val="1"/>
                    <w:listEntry w:val="SELECT BOARD APPROVAL STATUS"/>
                    <w:listEntry w:val="Pending     "/>
                    <w:listEntry w:val="Received     "/>
                    <w:listEntry w:val="Denied     "/>
                    <w:listEntry w:val="N/A          "/>
                  </w:ddList>
                </w:ffData>
              </w:fldChar>
            </w:r>
            <w:r>
              <w:rPr>
                <w:sz w:val="20"/>
                <w:rFonts w:cs="Arial" w:ascii="Arial" w:hAnsi="Arial"/>
              </w:rPr>
              <w:instrText xml:space="preserve"> FORMDROPDOWN </w:instrText>
            </w:r>
            <w:r>
              <w:rPr>
                <w:sz w:val="20"/>
                <w:rFonts w:cs="Arial" w:ascii="Arial" w:hAnsi="Arial"/>
              </w:rPr>
              <w:fldChar w:fldCharType="separate"/>
            </w:r>
            <w:bookmarkStart w:id="24" w:name="Dropdown1"/>
            <w:bookmarkStart w:id="25" w:name="Dropdown1"/>
            <w:bookmarkEnd w:id="25"/>
            <w:r/>
            <w:r>
              <w:rPr>
                <w:sz w:val="20"/>
                <w:rFonts w:cs="Arial" w:ascii="Arial" w:hAnsi="Arial"/>
              </w:rPr>
              <w:fldChar w:fldCharType="end"/>
            </w:r>
            <w:r>
              <w:rPr>
                <w:rFonts w:cs="Arial" w:ascii="Arial" w:hAnsi="Arial"/>
                <w:sz w:val="20"/>
              </w:rPr>
            </w:r>
          </w:p>
        </w:tc>
      </w:tr>
    </w:tbl>
    <w:p>
      <w:pPr>
        <w:sectPr>
          <w:headerReference w:type="default" r:id="rId2"/>
          <w:headerReference w:type="first" r:id="rId3"/>
          <w:footerReference w:type="default" r:id="rId4"/>
          <w:footerReference w:type="first" r:id="rId5"/>
          <w:type w:val="continuous"/>
          <w:pgSz w:w="12240" w:h="15840"/>
          <w:pgMar w:left="1008" w:right="1008" w:gutter="0" w:header="720" w:top="776" w:footer="720" w:bottom="776"/>
          <w:formProt w:val="true"/>
          <w:titlePg/>
          <w:textDirection w:val="lrTb"/>
          <w:docGrid w:type="default" w:linePitch="360" w:charSpace="0"/>
        </w:sectPr>
      </w:pPr>
    </w:p>
    <w:p>
      <w:pPr>
        <w:pStyle w:val="Normal"/>
        <w:jc w:val="both"/>
        <w:rPr>
          <w:rFonts w:ascii="Arial" w:hAnsi="Arial" w:cs="Arial"/>
          <w:b/>
          <w:sz w:val="20"/>
        </w:rPr>
      </w:pPr>
      <w:r>
        <w:rPr>
          <w:rFonts w:cs="Arial" w:ascii="Arial" w:hAnsi="Arial"/>
          <w:b/>
          <w:sz w:val="20"/>
        </w:rPr>
      </w:r>
    </w:p>
    <w:p>
      <w:pPr>
        <w:pStyle w:val="Normal"/>
        <w:jc w:val="both"/>
        <w:rPr>
          <w:rFonts w:ascii="Arial" w:hAnsi="Arial" w:cs="Arial"/>
          <w:b/>
          <w:sz w:val="20"/>
        </w:rPr>
      </w:pPr>
      <w:r>
        <w:rPr>
          <w:rFonts w:cs="Arial" w:ascii="Arial" w:hAnsi="Arial"/>
          <w:b/>
          <w:sz w:val="20"/>
        </w:rPr>
      </w:r>
    </w:p>
    <w:p>
      <w:pPr>
        <w:pStyle w:val="Normal"/>
        <w:jc w:val="both"/>
        <w:rPr>
          <w:rFonts w:ascii="Arial" w:hAnsi="Arial" w:cs="Arial"/>
          <w:b/>
          <w:bCs/>
          <w:sz w:val="20"/>
        </w:rPr>
      </w:pPr>
      <w:r>
        <w:rPr>
          <w:rFonts w:cs="Arial" w:ascii="Arial" w:hAnsi="Arial"/>
          <w:b/>
          <w:bCs/>
          <w:sz w:val="20"/>
          <w:u w:val="single"/>
        </w:rPr>
        <w:t>Approval Amount Requested:</w:t>
      </w:r>
    </w:p>
    <w:p>
      <w:pPr>
        <w:pStyle w:val="BodyTextIndent"/>
        <w:ind w:start="0" w:end="0"/>
        <w:rPr/>
      </w:pPr>
      <w:r>
        <w:rPr/>
        <w:t>The Liquids Group of EGM seeks approval to enter into a series of transactions with GAF Refining, L.L.C. (GAF) relating to their Coffeyville refinery. EGM will enter into a financial swap on the refinery’s crack spread to stabilize its operating margin, supply crude oil to the refinery, purchase gasoline and diesel made at the refinery and provide a working capital debt facility</w:t>
      </w:r>
      <w:r>
        <w:rPr>
          <w:b/>
          <w:bCs/>
        </w:rPr>
        <w:t>.</w:t>
      </w:r>
    </w:p>
    <w:p>
      <w:pPr>
        <w:pStyle w:val="BodyTextIndent"/>
        <w:ind w:start="0" w:end="0"/>
        <w:rPr>
          <w:rFonts w:eastAsia="Arial"/>
        </w:rPr>
      </w:pPr>
      <w:r>
        <w:rPr>
          <w:rFonts w:eastAsia="Arial"/>
        </w:rPr>
        <w:t xml:space="preserve"> </w:t>
      </w:r>
    </w:p>
    <w:p>
      <w:pPr>
        <w:pStyle w:val="BodyTextIndent"/>
        <w:ind w:start="0" w:end="0"/>
        <w:rPr/>
      </w:pPr>
      <w:r>
        <w:rPr/>
        <w:t xml:space="preserve">These details of these transactions follow: </w:t>
      </w:r>
    </w:p>
    <w:p>
      <w:pPr>
        <w:pStyle w:val="BodyTextIndent"/>
        <w:numPr>
          <w:ilvl w:val="0"/>
          <w:numId w:val="14"/>
        </w:numPr>
        <w:jc w:val="start"/>
        <w:rPr/>
      </w:pPr>
      <w:r>
        <w:rPr/>
        <w:t>Refinery crack spread hedge</w:t>
        <w:br/>
        <w:t xml:space="preserve">- Long </w:t>
      </w:r>
      <w:r>
        <w:rPr>
          <w:b/>
          <w:bCs/>
          <w:i/>
          <w:iCs/>
          <w:color w:val="FF0000"/>
        </w:rPr>
        <w:t>45,000</w:t>
      </w:r>
      <w:r>
        <w:rPr/>
        <w:t xml:space="preserve"> BPD Group 3 regular gasoline vs. WTI @ </w:t>
      </w:r>
      <w:r>
        <w:rPr>
          <w:b/>
          <w:bCs/>
          <w:i/>
          <w:iCs/>
          <w:color w:val="FF0000"/>
        </w:rPr>
        <w:t>$5.21</w:t>
      </w:r>
      <w:r>
        <w:rPr/>
        <w:t xml:space="preserve"> per barrel</w:t>
      </w:r>
      <w:r>
        <w:rPr>
          <w:b/>
          <w:bCs/>
          <w:i/>
          <w:iCs/>
          <w:color w:val="FF0000"/>
        </w:rPr>
        <w:t xml:space="preserve"> (avg over 10 yr term)</w:t>
      </w:r>
      <w:r>
        <w:rPr/>
        <w:br/>
        <w:t xml:space="preserve">- Long </w:t>
      </w:r>
      <w:r>
        <w:rPr>
          <w:b/>
          <w:bCs/>
          <w:i/>
          <w:iCs/>
          <w:color w:val="FF0000"/>
        </w:rPr>
        <w:t>38,000</w:t>
      </w:r>
      <w:r>
        <w:rPr/>
        <w:t xml:space="preserve"> BPD Group 3 low sulfur diesel vs. WTI@ </w:t>
      </w:r>
      <w:r>
        <w:rPr>
          <w:b/>
          <w:bCs/>
          <w:i/>
          <w:iCs/>
          <w:color w:val="FF0000"/>
        </w:rPr>
        <w:t>$4.33</w:t>
      </w:r>
      <w:r>
        <w:rPr/>
        <w:t xml:space="preserve"> per barrel  </w:t>
      </w:r>
      <w:r>
        <w:rPr>
          <w:b/>
          <w:bCs/>
          <w:i/>
          <w:iCs/>
          <w:color w:val="FF0000"/>
        </w:rPr>
        <w:t>(avg over 10 yr term)</w:t>
      </w:r>
      <w:r>
        <w:rPr/>
        <w:br/>
        <w:t xml:space="preserve">- </w:t>
      </w:r>
      <w:r>
        <w:rPr>
          <w:b/>
          <w:bCs/>
          <w:i/>
          <w:iCs/>
          <w:color w:val="FF0000"/>
        </w:rPr>
        <w:t>10</w:t>
      </w:r>
      <w:r>
        <w:rPr/>
        <w:t xml:space="preserve"> year term</w:t>
      </w:r>
    </w:p>
    <w:p>
      <w:pPr>
        <w:pStyle w:val="BodyTextIndent"/>
        <w:ind w:start="4320" w:end="0"/>
        <w:jc w:val="start"/>
        <w:rPr>
          <w:b/>
          <w:bCs/>
          <w:i/>
          <w:i/>
          <w:iCs/>
          <w:color w:val="FF0000"/>
        </w:rPr>
      </w:pPr>
      <w:r>
        <w:rPr>
          <w:b/>
          <w:bCs/>
          <w:i/>
          <w:iCs/>
          <w:color w:val="FF0000"/>
        </w:rPr>
      </w:r>
    </w:p>
    <w:tbl>
      <w:tblPr>
        <w:tblW w:w="4968" w:type="dxa"/>
        <w:jc w:val="start"/>
        <w:tblInd w:w="2880" w:type="dxa"/>
        <w:tblLayout w:type="fixed"/>
        <w:tblCellMar>
          <w:top w:w="0" w:type="dxa"/>
          <w:start w:w="108" w:type="dxa"/>
          <w:bottom w:w="0" w:type="dxa"/>
          <w:end w:w="108" w:type="dxa"/>
        </w:tblCellMar>
      </w:tblPr>
      <w:tblGrid>
        <w:gridCol w:w="1368"/>
        <w:gridCol w:w="1800"/>
        <w:gridCol w:w="1800"/>
      </w:tblGrid>
      <w:tr>
        <w:trPr/>
        <w:tc>
          <w:tcPr>
            <w:tcW w:w="1368" w:type="dxa"/>
            <w:tcBorders>
              <w:top w:val="single" w:sz="4" w:space="0" w:color="000000"/>
              <w:start w:val="single" w:sz="4" w:space="0" w:color="000000"/>
              <w:bottom w:val="single" w:sz="4" w:space="0" w:color="000000"/>
              <w:end w:val="single" w:sz="4" w:space="0" w:color="000000"/>
            </w:tcBorders>
          </w:tcPr>
          <w:p>
            <w:pPr>
              <w:pStyle w:val="BodyTextIndent"/>
              <w:ind w:start="0" w:end="0"/>
              <w:jc w:val="center"/>
              <w:rPr>
                <w:b/>
                <w:bCs/>
                <w:i/>
                <w:i/>
                <w:iCs/>
                <w:color w:val="FF0000"/>
              </w:rPr>
            </w:pPr>
            <w:r>
              <w:rPr>
                <w:b/>
                <w:bCs/>
                <w:i/>
                <w:iCs/>
                <w:color w:val="FF0000"/>
              </w:rPr>
              <w:t>Year</w:t>
            </w:r>
          </w:p>
        </w:tc>
        <w:tc>
          <w:tcPr>
            <w:tcW w:w="1800" w:type="dxa"/>
            <w:tcBorders>
              <w:top w:val="single" w:sz="4" w:space="0" w:color="000000"/>
              <w:start w:val="single" w:sz="4" w:space="0" w:color="000000"/>
              <w:bottom w:val="single" w:sz="4" w:space="0" w:color="000000"/>
              <w:end w:val="single" w:sz="4" w:space="0" w:color="000000"/>
            </w:tcBorders>
          </w:tcPr>
          <w:p>
            <w:pPr>
              <w:pStyle w:val="BodyTextIndent"/>
              <w:ind w:start="0" w:end="0"/>
              <w:jc w:val="center"/>
              <w:rPr>
                <w:b/>
                <w:bCs/>
                <w:i/>
                <w:i/>
                <w:iCs/>
                <w:color w:val="FF0000"/>
              </w:rPr>
            </w:pPr>
            <w:r>
              <w:rPr>
                <w:b/>
                <w:bCs/>
                <w:i/>
                <w:iCs/>
                <w:color w:val="FF0000"/>
              </w:rPr>
              <w:t>Gasoline Crack</w:t>
            </w:r>
          </w:p>
        </w:tc>
        <w:tc>
          <w:tcPr>
            <w:tcW w:w="1800" w:type="dxa"/>
            <w:tcBorders>
              <w:top w:val="single" w:sz="4" w:space="0" w:color="000000"/>
              <w:start w:val="single" w:sz="4" w:space="0" w:color="000000"/>
              <w:bottom w:val="single" w:sz="4" w:space="0" w:color="000000"/>
              <w:end w:val="single" w:sz="4" w:space="0" w:color="000000"/>
            </w:tcBorders>
          </w:tcPr>
          <w:p>
            <w:pPr>
              <w:pStyle w:val="BodyTextIndent"/>
              <w:ind w:start="0" w:end="0"/>
              <w:jc w:val="center"/>
              <w:rPr>
                <w:b/>
                <w:bCs/>
                <w:i/>
                <w:i/>
                <w:iCs/>
                <w:color w:val="FF0000"/>
              </w:rPr>
            </w:pPr>
            <w:r>
              <w:rPr>
                <w:b/>
                <w:bCs/>
                <w:i/>
                <w:iCs/>
                <w:color w:val="FF0000"/>
              </w:rPr>
              <w:t>LS Diesel Crack</w:t>
            </w:r>
          </w:p>
        </w:tc>
      </w:tr>
      <w:tr>
        <w:trPr/>
        <w:tc>
          <w:tcPr>
            <w:tcW w:w="1368" w:type="dxa"/>
            <w:tcBorders>
              <w:top w:val="single" w:sz="4" w:space="0" w:color="000000"/>
              <w:start w:val="single" w:sz="4" w:space="0" w:color="000000"/>
              <w:bottom w:val="single" w:sz="4" w:space="0" w:color="000000"/>
              <w:end w:val="single" w:sz="4" w:space="0" w:color="000000"/>
            </w:tcBorders>
          </w:tcPr>
          <w:p>
            <w:pPr>
              <w:pStyle w:val="BodyTextIndent"/>
              <w:ind w:start="0" w:end="0"/>
              <w:jc w:val="center"/>
              <w:rPr>
                <w:b/>
                <w:bCs/>
                <w:i/>
                <w:i/>
                <w:iCs/>
                <w:color w:val="FF0000"/>
              </w:rPr>
            </w:pPr>
            <w:r>
              <w:rPr>
                <w:b/>
                <w:bCs/>
                <w:i/>
                <w:iCs/>
                <w:color w:val="FF0000"/>
              </w:rPr>
              <w:t>4Q01</w:t>
            </w:r>
          </w:p>
        </w:tc>
        <w:tc>
          <w:tcPr>
            <w:tcW w:w="1800" w:type="dxa"/>
            <w:tcBorders>
              <w:top w:val="single" w:sz="4" w:space="0" w:color="000000"/>
              <w:start w:val="single" w:sz="4" w:space="0" w:color="000000"/>
              <w:bottom w:val="single" w:sz="4" w:space="0" w:color="000000"/>
              <w:end w:val="single" w:sz="4" w:space="0" w:color="000000"/>
            </w:tcBorders>
          </w:tcPr>
          <w:p>
            <w:pPr>
              <w:pStyle w:val="BodyTextIndent"/>
              <w:ind w:start="0" w:end="0"/>
              <w:jc w:val="center"/>
              <w:rPr>
                <w:b/>
                <w:bCs/>
                <w:i/>
                <w:i/>
                <w:iCs/>
                <w:color w:val="FF0000"/>
              </w:rPr>
            </w:pPr>
            <w:r>
              <w:rPr>
                <w:b/>
                <w:bCs/>
                <w:i/>
                <w:iCs/>
                <w:color w:val="FF0000"/>
              </w:rPr>
              <w:t>$3.50</w:t>
            </w:r>
          </w:p>
        </w:tc>
        <w:tc>
          <w:tcPr>
            <w:tcW w:w="1800" w:type="dxa"/>
            <w:tcBorders>
              <w:top w:val="single" w:sz="4" w:space="0" w:color="000000"/>
              <w:start w:val="single" w:sz="4" w:space="0" w:color="000000"/>
              <w:bottom w:val="single" w:sz="4" w:space="0" w:color="000000"/>
              <w:end w:val="single" w:sz="4" w:space="0" w:color="000000"/>
            </w:tcBorders>
          </w:tcPr>
          <w:p>
            <w:pPr>
              <w:pStyle w:val="BodyTextIndent"/>
              <w:ind w:start="0" w:end="0"/>
              <w:jc w:val="center"/>
              <w:rPr>
                <w:b/>
                <w:bCs/>
                <w:i/>
                <w:i/>
                <w:iCs/>
                <w:color w:val="FF0000"/>
              </w:rPr>
            </w:pPr>
            <w:r>
              <w:rPr>
                <w:b/>
                <w:bCs/>
                <w:i/>
                <w:iCs/>
                <w:color w:val="FF0000"/>
              </w:rPr>
              <w:t>$5.38</w:t>
            </w:r>
          </w:p>
        </w:tc>
      </w:tr>
      <w:tr>
        <w:trPr/>
        <w:tc>
          <w:tcPr>
            <w:tcW w:w="1368" w:type="dxa"/>
            <w:tcBorders>
              <w:top w:val="single" w:sz="4" w:space="0" w:color="000000"/>
              <w:start w:val="single" w:sz="4" w:space="0" w:color="000000"/>
              <w:bottom w:val="single" w:sz="4" w:space="0" w:color="000000"/>
              <w:end w:val="single" w:sz="4" w:space="0" w:color="000000"/>
            </w:tcBorders>
          </w:tcPr>
          <w:p>
            <w:pPr>
              <w:pStyle w:val="BodyTextIndent"/>
              <w:ind w:start="0" w:end="0"/>
              <w:jc w:val="center"/>
              <w:rPr>
                <w:b/>
                <w:bCs/>
                <w:i/>
                <w:i/>
                <w:iCs/>
                <w:color w:val="FF0000"/>
              </w:rPr>
            </w:pPr>
            <w:r>
              <w:rPr>
                <w:b/>
                <w:bCs/>
                <w:i/>
                <w:iCs/>
                <w:color w:val="FF0000"/>
              </w:rPr>
              <w:t>2002</w:t>
            </w:r>
          </w:p>
        </w:tc>
        <w:tc>
          <w:tcPr>
            <w:tcW w:w="1800" w:type="dxa"/>
            <w:tcBorders>
              <w:top w:val="single" w:sz="4" w:space="0" w:color="000000"/>
              <w:start w:val="single" w:sz="4" w:space="0" w:color="000000"/>
              <w:bottom w:val="single" w:sz="4" w:space="0" w:color="000000"/>
              <w:end w:val="single" w:sz="4" w:space="0" w:color="000000"/>
            </w:tcBorders>
          </w:tcPr>
          <w:p>
            <w:pPr>
              <w:pStyle w:val="BodyTextIndent"/>
              <w:ind w:start="0" w:end="0"/>
              <w:jc w:val="center"/>
              <w:rPr>
                <w:b/>
                <w:bCs/>
                <w:i/>
                <w:i/>
                <w:iCs/>
                <w:color w:val="FF0000"/>
              </w:rPr>
            </w:pPr>
            <w:r>
              <w:rPr>
                <w:b/>
                <w:bCs/>
                <w:i/>
                <w:iCs/>
                <w:color w:val="FF0000"/>
              </w:rPr>
              <w:t>$4.65</w:t>
            </w:r>
          </w:p>
        </w:tc>
        <w:tc>
          <w:tcPr>
            <w:tcW w:w="1800" w:type="dxa"/>
            <w:tcBorders>
              <w:top w:val="single" w:sz="4" w:space="0" w:color="000000"/>
              <w:start w:val="single" w:sz="4" w:space="0" w:color="000000"/>
              <w:bottom w:val="single" w:sz="4" w:space="0" w:color="000000"/>
              <w:end w:val="single" w:sz="4" w:space="0" w:color="000000"/>
            </w:tcBorders>
          </w:tcPr>
          <w:p>
            <w:pPr>
              <w:pStyle w:val="BodyTextIndent"/>
              <w:ind w:start="0" w:end="0"/>
              <w:jc w:val="center"/>
              <w:rPr>
                <w:b/>
                <w:bCs/>
                <w:i/>
                <w:i/>
                <w:iCs/>
                <w:color w:val="FF0000"/>
              </w:rPr>
            </w:pPr>
            <w:r>
              <w:rPr>
                <w:b/>
                <w:bCs/>
                <w:i/>
                <w:iCs/>
                <w:color w:val="FF0000"/>
              </w:rPr>
              <w:t>$4.45</w:t>
            </w:r>
          </w:p>
        </w:tc>
      </w:tr>
      <w:tr>
        <w:trPr/>
        <w:tc>
          <w:tcPr>
            <w:tcW w:w="1368" w:type="dxa"/>
            <w:tcBorders>
              <w:top w:val="single" w:sz="4" w:space="0" w:color="000000"/>
              <w:start w:val="single" w:sz="4" w:space="0" w:color="000000"/>
              <w:bottom w:val="single" w:sz="4" w:space="0" w:color="000000"/>
              <w:end w:val="single" w:sz="4" w:space="0" w:color="000000"/>
            </w:tcBorders>
          </w:tcPr>
          <w:p>
            <w:pPr>
              <w:pStyle w:val="BodyTextIndent"/>
              <w:ind w:start="0" w:end="0"/>
              <w:jc w:val="center"/>
              <w:rPr>
                <w:b/>
                <w:bCs/>
                <w:i/>
                <w:i/>
                <w:iCs/>
                <w:color w:val="FF0000"/>
              </w:rPr>
            </w:pPr>
            <w:r>
              <w:rPr>
                <w:b/>
                <w:bCs/>
                <w:i/>
                <w:iCs/>
                <w:color w:val="FF0000"/>
              </w:rPr>
              <w:t>2003</w:t>
            </w:r>
          </w:p>
        </w:tc>
        <w:tc>
          <w:tcPr>
            <w:tcW w:w="1800" w:type="dxa"/>
            <w:tcBorders>
              <w:top w:val="single" w:sz="4" w:space="0" w:color="000000"/>
              <w:start w:val="single" w:sz="4" w:space="0" w:color="000000"/>
              <w:bottom w:val="single" w:sz="4" w:space="0" w:color="000000"/>
              <w:end w:val="single" w:sz="4" w:space="0" w:color="000000"/>
            </w:tcBorders>
          </w:tcPr>
          <w:p>
            <w:pPr>
              <w:pStyle w:val="BodyTextIndent"/>
              <w:ind w:start="0" w:end="0"/>
              <w:jc w:val="center"/>
              <w:rPr>
                <w:b/>
                <w:bCs/>
                <w:i/>
                <w:i/>
                <w:iCs/>
                <w:color w:val="FF0000"/>
              </w:rPr>
            </w:pPr>
            <w:r>
              <w:rPr>
                <w:b/>
                <w:bCs/>
                <w:i/>
                <w:iCs/>
                <w:color w:val="FF0000"/>
              </w:rPr>
              <w:t>$4.75</w:t>
            </w:r>
          </w:p>
        </w:tc>
        <w:tc>
          <w:tcPr>
            <w:tcW w:w="1800" w:type="dxa"/>
            <w:tcBorders>
              <w:top w:val="single" w:sz="4" w:space="0" w:color="000000"/>
              <w:start w:val="single" w:sz="4" w:space="0" w:color="000000"/>
              <w:bottom w:val="single" w:sz="4" w:space="0" w:color="000000"/>
              <w:end w:val="single" w:sz="4" w:space="0" w:color="000000"/>
            </w:tcBorders>
          </w:tcPr>
          <w:p>
            <w:pPr>
              <w:pStyle w:val="BodyTextIndent"/>
              <w:ind w:start="0" w:end="0"/>
              <w:jc w:val="center"/>
              <w:rPr>
                <w:b/>
                <w:bCs/>
                <w:i/>
                <w:i/>
                <w:iCs/>
                <w:color w:val="FF0000"/>
              </w:rPr>
            </w:pPr>
            <w:r>
              <w:rPr>
                <w:b/>
                <w:bCs/>
                <w:i/>
                <w:iCs/>
                <w:color w:val="FF0000"/>
              </w:rPr>
              <w:t>$4.35</w:t>
            </w:r>
          </w:p>
        </w:tc>
      </w:tr>
      <w:tr>
        <w:trPr/>
        <w:tc>
          <w:tcPr>
            <w:tcW w:w="1368" w:type="dxa"/>
            <w:tcBorders>
              <w:top w:val="single" w:sz="4" w:space="0" w:color="000000"/>
              <w:start w:val="single" w:sz="4" w:space="0" w:color="000000"/>
              <w:bottom w:val="single" w:sz="4" w:space="0" w:color="000000"/>
              <w:end w:val="single" w:sz="4" w:space="0" w:color="000000"/>
            </w:tcBorders>
          </w:tcPr>
          <w:p>
            <w:pPr>
              <w:pStyle w:val="BodyTextIndent"/>
              <w:ind w:start="0" w:end="0"/>
              <w:jc w:val="center"/>
              <w:rPr>
                <w:b/>
                <w:bCs/>
                <w:i/>
                <w:i/>
                <w:iCs/>
                <w:color w:val="FF0000"/>
              </w:rPr>
            </w:pPr>
            <w:r>
              <w:rPr>
                <w:b/>
                <w:bCs/>
                <w:i/>
                <w:iCs/>
                <w:color w:val="FF0000"/>
              </w:rPr>
              <w:t>2004</w:t>
            </w:r>
          </w:p>
        </w:tc>
        <w:tc>
          <w:tcPr>
            <w:tcW w:w="1800" w:type="dxa"/>
            <w:tcBorders>
              <w:top w:val="single" w:sz="4" w:space="0" w:color="000000"/>
              <w:start w:val="single" w:sz="4" w:space="0" w:color="000000"/>
              <w:bottom w:val="single" w:sz="4" w:space="0" w:color="000000"/>
              <w:end w:val="single" w:sz="4" w:space="0" w:color="000000"/>
            </w:tcBorders>
          </w:tcPr>
          <w:p>
            <w:pPr>
              <w:pStyle w:val="BodyTextIndent"/>
              <w:ind w:start="0" w:end="0"/>
              <w:jc w:val="center"/>
              <w:rPr>
                <w:b/>
                <w:bCs/>
                <w:i/>
                <w:i/>
                <w:iCs/>
                <w:color w:val="FF0000"/>
              </w:rPr>
            </w:pPr>
            <w:r>
              <w:rPr>
                <w:b/>
                <w:bCs/>
                <w:i/>
                <w:iCs/>
                <w:color w:val="FF0000"/>
              </w:rPr>
              <w:t>$5.10</w:t>
            </w:r>
          </w:p>
        </w:tc>
        <w:tc>
          <w:tcPr>
            <w:tcW w:w="1800" w:type="dxa"/>
            <w:tcBorders>
              <w:top w:val="single" w:sz="4" w:space="0" w:color="000000"/>
              <w:start w:val="single" w:sz="4" w:space="0" w:color="000000"/>
              <w:bottom w:val="single" w:sz="4" w:space="0" w:color="000000"/>
              <w:end w:val="single" w:sz="4" w:space="0" w:color="000000"/>
            </w:tcBorders>
          </w:tcPr>
          <w:p>
            <w:pPr>
              <w:pStyle w:val="BodyTextIndent"/>
              <w:ind w:start="0" w:end="0"/>
              <w:jc w:val="center"/>
              <w:rPr>
                <w:b/>
                <w:bCs/>
                <w:i/>
                <w:i/>
                <w:iCs/>
                <w:color w:val="FF0000"/>
              </w:rPr>
            </w:pPr>
            <w:r>
              <w:rPr>
                <w:b/>
                <w:bCs/>
                <w:i/>
                <w:iCs/>
                <w:color w:val="FF0000"/>
              </w:rPr>
              <w:t>$4.15</w:t>
            </w:r>
          </w:p>
        </w:tc>
      </w:tr>
      <w:tr>
        <w:trPr/>
        <w:tc>
          <w:tcPr>
            <w:tcW w:w="1368" w:type="dxa"/>
            <w:tcBorders>
              <w:top w:val="single" w:sz="4" w:space="0" w:color="000000"/>
              <w:start w:val="single" w:sz="4" w:space="0" w:color="000000"/>
              <w:bottom w:val="single" w:sz="4" w:space="0" w:color="000000"/>
              <w:end w:val="single" w:sz="4" w:space="0" w:color="000000"/>
            </w:tcBorders>
          </w:tcPr>
          <w:p>
            <w:pPr>
              <w:pStyle w:val="BodyTextIndent"/>
              <w:ind w:start="0" w:end="0"/>
              <w:jc w:val="center"/>
              <w:rPr>
                <w:b/>
                <w:bCs/>
                <w:i/>
                <w:i/>
                <w:iCs/>
                <w:color w:val="FF0000"/>
              </w:rPr>
            </w:pPr>
            <w:r>
              <w:rPr>
                <w:b/>
                <w:bCs/>
                <w:i/>
                <w:iCs/>
                <w:color w:val="FF0000"/>
              </w:rPr>
              <w:t>2005</w:t>
            </w:r>
          </w:p>
        </w:tc>
        <w:tc>
          <w:tcPr>
            <w:tcW w:w="1800" w:type="dxa"/>
            <w:tcBorders>
              <w:top w:val="single" w:sz="4" w:space="0" w:color="000000"/>
              <w:start w:val="single" w:sz="4" w:space="0" w:color="000000"/>
              <w:bottom w:val="single" w:sz="4" w:space="0" w:color="000000"/>
              <w:end w:val="single" w:sz="4" w:space="0" w:color="000000"/>
            </w:tcBorders>
          </w:tcPr>
          <w:p>
            <w:pPr>
              <w:pStyle w:val="BodyTextIndent"/>
              <w:ind w:start="0" w:end="0"/>
              <w:jc w:val="center"/>
              <w:rPr>
                <w:b/>
                <w:bCs/>
                <w:i/>
                <w:i/>
                <w:iCs/>
                <w:color w:val="FF0000"/>
              </w:rPr>
            </w:pPr>
            <w:r>
              <w:rPr>
                <w:b/>
                <w:bCs/>
                <w:i/>
                <w:iCs/>
                <w:color w:val="FF0000"/>
              </w:rPr>
              <w:t>$5.30</w:t>
            </w:r>
          </w:p>
        </w:tc>
        <w:tc>
          <w:tcPr>
            <w:tcW w:w="1800" w:type="dxa"/>
            <w:tcBorders>
              <w:top w:val="single" w:sz="4" w:space="0" w:color="000000"/>
              <w:start w:val="single" w:sz="4" w:space="0" w:color="000000"/>
              <w:bottom w:val="single" w:sz="4" w:space="0" w:color="000000"/>
              <w:end w:val="single" w:sz="4" w:space="0" w:color="000000"/>
            </w:tcBorders>
          </w:tcPr>
          <w:p>
            <w:pPr>
              <w:pStyle w:val="BodyTextIndent"/>
              <w:ind w:start="0" w:end="0"/>
              <w:jc w:val="center"/>
              <w:rPr>
                <w:b/>
                <w:bCs/>
                <w:i/>
                <w:i/>
                <w:iCs/>
                <w:color w:val="FF0000"/>
              </w:rPr>
            </w:pPr>
            <w:r>
              <w:rPr>
                <w:b/>
                <w:bCs/>
                <w:i/>
                <w:iCs/>
                <w:color w:val="FF0000"/>
              </w:rPr>
              <w:t>$4.15</w:t>
            </w:r>
          </w:p>
        </w:tc>
      </w:tr>
      <w:tr>
        <w:trPr/>
        <w:tc>
          <w:tcPr>
            <w:tcW w:w="1368" w:type="dxa"/>
            <w:tcBorders>
              <w:top w:val="single" w:sz="4" w:space="0" w:color="000000"/>
              <w:start w:val="single" w:sz="4" w:space="0" w:color="000000"/>
              <w:bottom w:val="single" w:sz="4" w:space="0" w:color="000000"/>
              <w:end w:val="single" w:sz="4" w:space="0" w:color="000000"/>
            </w:tcBorders>
          </w:tcPr>
          <w:p>
            <w:pPr>
              <w:pStyle w:val="BodyTextIndent"/>
              <w:ind w:start="0" w:end="0"/>
              <w:jc w:val="center"/>
              <w:rPr>
                <w:b/>
                <w:bCs/>
                <w:i/>
                <w:i/>
                <w:iCs/>
                <w:color w:val="FF0000"/>
              </w:rPr>
            </w:pPr>
            <w:r>
              <w:rPr>
                <w:b/>
                <w:bCs/>
                <w:i/>
                <w:iCs/>
                <w:color w:val="FF0000"/>
              </w:rPr>
              <w:t>2006</w:t>
            </w:r>
          </w:p>
        </w:tc>
        <w:tc>
          <w:tcPr>
            <w:tcW w:w="1800" w:type="dxa"/>
            <w:tcBorders>
              <w:top w:val="single" w:sz="4" w:space="0" w:color="000000"/>
              <w:start w:val="single" w:sz="4" w:space="0" w:color="000000"/>
              <w:bottom w:val="single" w:sz="4" w:space="0" w:color="000000"/>
              <w:end w:val="single" w:sz="4" w:space="0" w:color="000000"/>
            </w:tcBorders>
          </w:tcPr>
          <w:p>
            <w:pPr>
              <w:pStyle w:val="BodyTextIndent"/>
              <w:ind w:start="0" w:end="0"/>
              <w:jc w:val="center"/>
              <w:rPr>
                <w:b/>
                <w:bCs/>
                <w:i/>
                <w:i/>
                <w:iCs/>
                <w:color w:val="FF0000"/>
              </w:rPr>
            </w:pPr>
            <w:r>
              <w:rPr>
                <w:b/>
                <w:bCs/>
                <w:i/>
                <w:iCs/>
                <w:color w:val="FF0000"/>
              </w:rPr>
              <w:t>$5.50</w:t>
            </w:r>
          </w:p>
        </w:tc>
        <w:tc>
          <w:tcPr>
            <w:tcW w:w="1800" w:type="dxa"/>
            <w:tcBorders>
              <w:top w:val="single" w:sz="4" w:space="0" w:color="000000"/>
              <w:start w:val="single" w:sz="4" w:space="0" w:color="000000"/>
              <w:bottom w:val="single" w:sz="4" w:space="0" w:color="000000"/>
              <w:end w:val="single" w:sz="4" w:space="0" w:color="000000"/>
            </w:tcBorders>
          </w:tcPr>
          <w:p>
            <w:pPr>
              <w:pStyle w:val="BodyTextIndent"/>
              <w:ind w:start="0" w:end="0"/>
              <w:jc w:val="center"/>
              <w:rPr>
                <w:b/>
                <w:bCs/>
                <w:i/>
                <w:i/>
                <w:iCs/>
                <w:color w:val="FF0000"/>
              </w:rPr>
            </w:pPr>
            <w:r>
              <w:rPr>
                <w:b/>
                <w:bCs/>
                <w:i/>
                <w:iCs/>
                <w:color w:val="FF0000"/>
              </w:rPr>
              <w:t>$4.00</w:t>
            </w:r>
          </w:p>
        </w:tc>
      </w:tr>
      <w:tr>
        <w:trPr/>
        <w:tc>
          <w:tcPr>
            <w:tcW w:w="1368" w:type="dxa"/>
            <w:tcBorders>
              <w:top w:val="single" w:sz="4" w:space="0" w:color="000000"/>
              <w:start w:val="single" w:sz="4" w:space="0" w:color="000000"/>
              <w:bottom w:val="single" w:sz="4" w:space="0" w:color="000000"/>
              <w:end w:val="single" w:sz="4" w:space="0" w:color="000000"/>
            </w:tcBorders>
          </w:tcPr>
          <w:p>
            <w:pPr>
              <w:pStyle w:val="BodyTextIndent"/>
              <w:ind w:start="0" w:end="0"/>
              <w:jc w:val="center"/>
              <w:rPr>
                <w:b/>
                <w:bCs/>
                <w:i/>
                <w:i/>
                <w:iCs/>
                <w:color w:val="FF0000"/>
              </w:rPr>
            </w:pPr>
            <w:r>
              <w:rPr>
                <w:b/>
                <w:bCs/>
                <w:i/>
                <w:iCs/>
                <w:color w:val="FF0000"/>
              </w:rPr>
              <w:t>2007</w:t>
            </w:r>
          </w:p>
        </w:tc>
        <w:tc>
          <w:tcPr>
            <w:tcW w:w="1800" w:type="dxa"/>
            <w:tcBorders>
              <w:top w:val="single" w:sz="4" w:space="0" w:color="000000"/>
              <w:start w:val="single" w:sz="4" w:space="0" w:color="000000"/>
              <w:bottom w:val="single" w:sz="4" w:space="0" w:color="000000"/>
              <w:end w:val="single" w:sz="4" w:space="0" w:color="000000"/>
            </w:tcBorders>
          </w:tcPr>
          <w:p>
            <w:pPr>
              <w:pStyle w:val="BodyTextIndent"/>
              <w:ind w:start="0" w:end="0"/>
              <w:jc w:val="center"/>
              <w:rPr>
                <w:b/>
                <w:bCs/>
                <w:i/>
                <w:i/>
                <w:iCs/>
                <w:color w:val="FF0000"/>
              </w:rPr>
            </w:pPr>
            <w:r>
              <w:rPr>
                <w:b/>
                <w:bCs/>
                <w:i/>
                <w:iCs/>
                <w:color w:val="FF0000"/>
              </w:rPr>
              <w:t>$5.60</w:t>
            </w:r>
          </w:p>
        </w:tc>
        <w:tc>
          <w:tcPr>
            <w:tcW w:w="1800" w:type="dxa"/>
            <w:tcBorders>
              <w:top w:val="single" w:sz="4" w:space="0" w:color="000000"/>
              <w:start w:val="single" w:sz="4" w:space="0" w:color="000000"/>
              <w:bottom w:val="single" w:sz="4" w:space="0" w:color="000000"/>
              <w:end w:val="single" w:sz="4" w:space="0" w:color="000000"/>
            </w:tcBorders>
          </w:tcPr>
          <w:p>
            <w:pPr>
              <w:pStyle w:val="BodyTextIndent"/>
              <w:ind w:start="0" w:end="0"/>
              <w:jc w:val="center"/>
              <w:rPr>
                <w:b/>
                <w:bCs/>
                <w:i/>
                <w:i/>
                <w:iCs/>
                <w:color w:val="FF0000"/>
              </w:rPr>
            </w:pPr>
            <w:r>
              <w:rPr>
                <w:b/>
                <w:bCs/>
                <w:i/>
                <w:iCs/>
                <w:color w:val="FF0000"/>
              </w:rPr>
              <w:t>$4.15</w:t>
            </w:r>
          </w:p>
        </w:tc>
      </w:tr>
      <w:tr>
        <w:trPr/>
        <w:tc>
          <w:tcPr>
            <w:tcW w:w="1368" w:type="dxa"/>
            <w:tcBorders>
              <w:top w:val="single" w:sz="4" w:space="0" w:color="000000"/>
              <w:start w:val="single" w:sz="4" w:space="0" w:color="000000"/>
              <w:bottom w:val="single" w:sz="4" w:space="0" w:color="000000"/>
              <w:end w:val="single" w:sz="4" w:space="0" w:color="000000"/>
            </w:tcBorders>
          </w:tcPr>
          <w:p>
            <w:pPr>
              <w:pStyle w:val="BodyTextIndent"/>
              <w:ind w:start="0" w:end="0"/>
              <w:jc w:val="center"/>
              <w:rPr>
                <w:b/>
                <w:bCs/>
                <w:i/>
                <w:i/>
                <w:iCs/>
                <w:color w:val="FF0000"/>
              </w:rPr>
            </w:pPr>
            <w:r>
              <w:rPr>
                <w:b/>
                <w:bCs/>
                <w:i/>
                <w:iCs/>
                <w:color w:val="FF0000"/>
              </w:rPr>
              <w:t>2008</w:t>
            </w:r>
          </w:p>
        </w:tc>
        <w:tc>
          <w:tcPr>
            <w:tcW w:w="1800" w:type="dxa"/>
            <w:tcBorders>
              <w:top w:val="single" w:sz="4" w:space="0" w:color="000000"/>
              <w:start w:val="single" w:sz="4" w:space="0" w:color="000000"/>
              <w:bottom w:val="single" w:sz="4" w:space="0" w:color="000000"/>
              <w:end w:val="single" w:sz="4" w:space="0" w:color="000000"/>
            </w:tcBorders>
          </w:tcPr>
          <w:p>
            <w:pPr>
              <w:pStyle w:val="BodyTextIndent"/>
              <w:ind w:start="0" w:end="0"/>
              <w:jc w:val="center"/>
              <w:rPr>
                <w:b/>
                <w:bCs/>
                <w:i/>
                <w:i/>
                <w:iCs/>
                <w:color w:val="FF0000"/>
              </w:rPr>
            </w:pPr>
            <w:r>
              <w:rPr>
                <w:b/>
                <w:bCs/>
                <w:i/>
                <w:iCs/>
                <w:color w:val="FF0000"/>
              </w:rPr>
              <w:t>$5.60</w:t>
            </w:r>
          </w:p>
        </w:tc>
        <w:tc>
          <w:tcPr>
            <w:tcW w:w="1800" w:type="dxa"/>
            <w:tcBorders>
              <w:top w:val="single" w:sz="4" w:space="0" w:color="000000"/>
              <w:start w:val="single" w:sz="4" w:space="0" w:color="000000"/>
              <w:bottom w:val="single" w:sz="4" w:space="0" w:color="000000"/>
              <w:end w:val="single" w:sz="4" w:space="0" w:color="000000"/>
            </w:tcBorders>
          </w:tcPr>
          <w:p>
            <w:pPr>
              <w:pStyle w:val="BodyTextIndent"/>
              <w:ind w:start="0" w:end="0"/>
              <w:jc w:val="center"/>
              <w:rPr>
                <w:b/>
                <w:bCs/>
                <w:i/>
                <w:i/>
                <w:iCs/>
                <w:color w:val="FF0000"/>
              </w:rPr>
            </w:pPr>
            <w:r>
              <w:rPr>
                <w:b/>
                <w:bCs/>
                <w:i/>
                <w:iCs/>
                <w:color w:val="FF0000"/>
              </w:rPr>
              <w:t>$4.20</w:t>
            </w:r>
          </w:p>
        </w:tc>
      </w:tr>
      <w:tr>
        <w:trPr/>
        <w:tc>
          <w:tcPr>
            <w:tcW w:w="1368" w:type="dxa"/>
            <w:tcBorders>
              <w:top w:val="single" w:sz="4" w:space="0" w:color="000000"/>
              <w:start w:val="single" w:sz="4" w:space="0" w:color="000000"/>
              <w:bottom w:val="single" w:sz="4" w:space="0" w:color="000000"/>
              <w:end w:val="single" w:sz="4" w:space="0" w:color="000000"/>
            </w:tcBorders>
          </w:tcPr>
          <w:p>
            <w:pPr>
              <w:pStyle w:val="BodyTextIndent"/>
              <w:ind w:start="0" w:end="0"/>
              <w:jc w:val="center"/>
              <w:rPr>
                <w:b/>
                <w:bCs/>
                <w:i/>
                <w:i/>
                <w:iCs/>
                <w:color w:val="FF0000"/>
              </w:rPr>
            </w:pPr>
            <w:r>
              <w:rPr>
                <w:b/>
                <w:bCs/>
                <w:i/>
                <w:iCs/>
                <w:color w:val="FF0000"/>
              </w:rPr>
              <w:t>2009</w:t>
            </w:r>
          </w:p>
        </w:tc>
        <w:tc>
          <w:tcPr>
            <w:tcW w:w="1800" w:type="dxa"/>
            <w:tcBorders>
              <w:top w:val="single" w:sz="4" w:space="0" w:color="000000"/>
              <w:start w:val="single" w:sz="4" w:space="0" w:color="000000"/>
              <w:bottom w:val="single" w:sz="4" w:space="0" w:color="000000"/>
              <w:end w:val="single" w:sz="4" w:space="0" w:color="000000"/>
            </w:tcBorders>
          </w:tcPr>
          <w:p>
            <w:pPr>
              <w:pStyle w:val="BodyTextIndent"/>
              <w:ind w:start="0" w:end="0"/>
              <w:jc w:val="center"/>
              <w:rPr>
                <w:b/>
                <w:bCs/>
                <w:i/>
                <w:i/>
                <w:iCs/>
                <w:color w:val="FF0000"/>
              </w:rPr>
            </w:pPr>
            <w:r>
              <w:rPr>
                <w:b/>
                <w:bCs/>
                <w:i/>
                <w:iCs/>
                <w:color w:val="FF0000"/>
              </w:rPr>
              <w:t>$5.80</w:t>
            </w:r>
          </w:p>
        </w:tc>
        <w:tc>
          <w:tcPr>
            <w:tcW w:w="1800" w:type="dxa"/>
            <w:tcBorders>
              <w:top w:val="single" w:sz="4" w:space="0" w:color="000000"/>
              <w:start w:val="single" w:sz="4" w:space="0" w:color="000000"/>
              <w:bottom w:val="single" w:sz="4" w:space="0" w:color="000000"/>
              <w:end w:val="single" w:sz="4" w:space="0" w:color="000000"/>
            </w:tcBorders>
          </w:tcPr>
          <w:p>
            <w:pPr>
              <w:pStyle w:val="BodyTextIndent"/>
              <w:ind w:start="0" w:end="0"/>
              <w:jc w:val="center"/>
              <w:rPr>
                <w:b/>
                <w:bCs/>
                <w:i/>
                <w:i/>
                <w:iCs/>
                <w:color w:val="FF0000"/>
              </w:rPr>
            </w:pPr>
            <w:r>
              <w:rPr>
                <w:b/>
                <w:bCs/>
                <w:i/>
                <w:iCs/>
                <w:color w:val="FF0000"/>
              </w:rPr>
              <w:t>$4.25</w:t>
            </w:r>
          </w:p>
        </w:tc>
      </w:tr>
      <w:tr>
        <w:trPr/>
        <w:tc>
          <w:tcPr>
            <w:tcW w:w="1368" w:type="dxa"/>
            <w:tcBorders>
              <w:top w:val="single" w:sz="4" w:space="0" w:color="000000"/>
              <w:start w:val="single" w:sz="4" w:space="0" w:color="000000"/>
              <w:bottom w:val="single" w:sz="4" w:space="0" w:color="000000"/>
              <w:end w:val="single" w:sz="4" w:space="0" w:color="000000"/>
            </w:tcBorders>
          </w:tcPr>
          <w:p>
            <w:pPr>
              <w:pStyle w:val="BodyTextIndent"/>
              <w:ind w:start="0" w:end="0"/>
              <w:jc w:val="center"/>
              <w:rPr>
                <w:b/>
                <w:bCs/>
                <w:i/>
                <w:i/>
                <w:iCs/>
                <w:color w:val="FF0000"/>
              </w:rPr>
            </w:pPr>
            <w:r>
              <w:rPr>
                <w:b/>
                <w:bCs/>
                <w:i/>
                <w:iCs/>
                <w:color w:val="FF0000"/>
              </w:rPr>
              <w:t>2010</w:t>
            </w:r>
          </w:p>
        </w:tc>
        <w:tc>
          <w:tcPr>
            <w:tcW w:w="1800" w:type="dxa"/>
            <w:tcBorders>
              <w:top w:val="single" w:sz="4" w:space="0" w:color="000000"/>
              <w:start w:val="single" w:sz="4" w:space="0" w:color="000000"/>
              <w:bottom w:val="single" w:sz="4" w:space="0" w:color="000000"/>
              <w:end w:val="single" w:sz="4" w:space="0" w:color="000000"/>
            </w:tcBorders>
          </w:tcPr>
          <w:p>
            <w:pPr>
              <w:pStyle w:val="BodyTextIndent"/>
              <w:ind w:start="0" w:end="0"/>
              <w:jc w:val="center"/>
              <w:rPr>
                <w:b/>
                <w:bCs/>
                <w:i/>
                <w:i/>
                <w:iCs/>
                <w:color w:val="FF0000"/>
              </w:rPr>
            </w:pPr>
            <w:r>
              <w:rPr>
                <w:b/>
                <w:bCs/>
                <w:i/>
                <w:iCs/>
                <w:color w:val="FF0000"/>
              </w:rPr>
              <w:t>$5.75</w:t>
            </w:r>
          </w:p>
        </w:tc>
        <w:tc>
          <w:tcPr>
            <w:tcW w:w="1800" w:type="dxa"/>
            <w:tcBorders>
              <w:top w:val="single" w:sz="4" w:space="0" w:color="000000"/>
              <w:start w:val="single" w:sz="4" w:space="0" w:color="000000"/>
              <w:bottom w:val="single" w:sz="4" w:space="0" w:color="000000"/>
              <w:end w:val="single" w:sz="4" w:space="0" w:color="000000"/>
            </w:tcBorders>
          </w:tcPr>
          <w:p>
            <w:pPr>
              <w:pStyle w:val="BodyTextIndent"/>
              <w:ind w:start="0" w:end="0"/>
              <w:jc w:val="center"/>
              <w:rPr>
                <w:b/>
                <w:bCs/>
                <w:i/>
                <w:i/>
                <w:iCs/>
                <w:color w:val="FF0000"/>
              </w:rPr>
            </w:pPr>
            <w:r>
              <w:rPr>
                <w:b/>
                <w:bCs/>
                <w:i/>
                <w:iCs/>
                <w:color w:val="FF0000"/>
              </w:rPr>
              <w:t>$4.25</w:t>
            </w:r>
          </w:p>
        </w:tc>
      </w:tr>
      <w:tr>
        <w:trPr/>
        <w:tc>
          <w:tcPr>
            <w:tcW w:w="1368" w:type="dxa"/>
            <w:tcBorders>
              <w:top w:val="single" w:sz="4" w:space="0" w:color="000000"/>
              <w:start w:val="single" w:sz="4" w:space="0" w:color="000000"/>
              <w:bottom w:val="single" w:sz="4" w:space="0" w:color="000000"/>
              <w:end w:val="single" w:sz="4" w:space="0" w:color="000000"/>
            </w:tcBorders>
          </w:tcPr>
          <w:p>
            <w:pPr>
              <w:pStyle w:val="BodyTextIndent"/>
              <w:ind w:start="0" w:end="0"/>
              <w:jc w:val="center"/>
              <w:rPr>
                <w:b/>
                <w:bCs/>
                <w:i/>
                <w:i/>
                <w:iCs/>
                <w:color w:val="FF0000"/>
              </w:rPr>
            </w:pPr>
            <w:r>
              <w:rPr>
                <w:b/>
                <w:bCs/>
                <w:i/>
                <w:iCs/>
                <w:color w:val="FF0000"/>
              </w:rPr>
              <w:t>2011</w:t>
            </w:r>
          </w:p>
        </w:tc>
        <w:tc>
          <w:tcPr>
            <w:tcW w:w="1800" w:type="dxa"/>
            <w:tcBorders>
              <w:top w:val="single" w:sz="4" w:space="0" w:color="000000"/>
              <w:start w:val="single" w:sz="4" w:space="0" w:color="000000"/>
              <w:bottom w:val="single" w:sz="4" w:space="0" w:color="000000"/>
              <w:end w:val="single" w:sz="4" w:space="0" w:color="000000"/>
            </w:tcBorders>
          </w:tcPr>
          <w:p>
            <w:pPr>
              <w:pStyle w:val="BodyTextIndent"/>
              <w:ind w:start="0" w:end="0"/>
              <w:jc w:val="center"/>
              <w:rPr>
                <w:b/>
                <w:bCs/>
                <w:i/>
                <w:i/>
                <w:iCs/>
                <w:color w:val="FF0000"/>
              </w:rPr>
            </w:pPr>
            <w:r>
              <w:rPr>
                <w:b/>
                <w:bCs/>
                <w:i/>
                <w:iCs/>
                <w:color w:val="FF0000"/>
              </w:rPr>
              <w:t>$5.75</w:t>
            </w:r>
          </w:p>
        </w:tc>
        <w:tc>
          <w:tcPr>
            <w:tcW w:w="1800" w:type="dxa"/>
            <w:tcBorders>
              <w:top w:val="single" w:sz="4" w:space="0" w:color="000000"/>
              <w:start w:val="single" w:sz="4" w:space="0" w:color="000000"/>
              <w:bottom w:val="single" w:sz="4" w:space="0" w:color="000000"/>
              <w:end w:val="single" w:sz="4" w:space="0" w:color="000000"/>
            </w:tcBorders>
          </w:tcPr>
          <w:p>
            <w:pPr>
              <w:pStyle w:val="BodyTextIndent"/>
              <w:ind w:start="0" w:end="0"/>
              <w:jc w:val="center"/>
              <w:rPr>
                <w:b/>
                <w:bCs/>
                <w:i/>
                <w:i/>
                <w:iCs/>
                <w:color w:val="FF0000"/>
              </w:rPr>
            </w:pPr>
            <w:r>
              <w:rPr>
                <w:b/>
                <w:bCs/>
                <w:i/>
                <w:iCs/>
                <w:color w:val="FF0000"/>
              </w:rPr>
              <w:t>$4.25</w:t>
            </w:r>
          </w:p>
        </w:tc>
      </w:tr>
    </w:tbl>
    <w:p>
      <w:pPr>
        <w:pStyle w:val="BodyTextIndent"/>
        <w:ind w:start="0" w:end="0"/>
        <w:jc w:val="start"/>
        <w:rPr>
          <w:b/>
          <w:bCs/>
          <w:i/>
          <w:i/>
          <w:iCs/>
          <w:color w:val="FF0000"/>
        </w:rPr>
      </w:pPr>
      <w:r>
        <w:rPr>
          <w:b/>
          <w:bCs/>
          <w:i/>
          <w:iCs/>
          <w:color w:val="FF0000"/>
        </w:rPr>
      </w:r>
    </w:p>
    <w:p>
      <w:pPr>
        <w:pStyle w:val="BodyTextIndent"/>
        <w:numPr>
          <w:ilvl w:val="0"/>
          <w:numId w:val="14"/>
        </w:numPr>
        <w:jc w:val="start"/>
        <w:rPr/>
      </w:pPr>
      <w:r>
        <w:rPr/>
        <w:t>Crude oil feed-stock supply to the refinery</w:t>
        <w:br/>
        <w:t xml:space="preserve">- </w:t>
      </w:r>
      <w:r>
        <w:rPr>
          <w:b/>
          <w:bCs/>
          <w:i/>
          <w:iCs/>
          <w:color w:val="FF0000"/>
        </w:rPr>
        <w:t>short</w:t>
      </w:r>
      <w:r>
        <w:rPr>
          <w:color w:val="FF0000"/>
        </w:rPr>
        <w:t xml:space="preserve"> </w:t>
      </w:r>
      <w:r>
        <w:rPr>
          <w:b/>
          <w:bCs/>
          <w:i/>
          <w:iCs/>
          <w:color w:val="FF0000"/>
        </w:rPr>
        <w:t>75,000</w:t>
      </w:r>
      <w:r>
        <w:rPr/>
        <w:t xml:space="preserve"> BPD physical crude</w:t>
        <w:br/>
        <w:t xml:space="preserve">- </w:t>
      </w:r>
      <w:r>
        <w:rPr>
          <w:b/>
          <w:bCs/>
          <w:i/>
          <w:iCs/>
          <w:color w:val="FF0000"/>
        </w:rPr>
        <w:t>10</w:t>
      </w:r>
      <w:r>
        <w:rPr/>
        <w:t xml:space="preserve"> year term</w:t>
      </w:r>
    </w:p>
    <w:p>
      <w:pPr>
        <w:pStyle w:val="BodyTextIndent"/>
        <w:numPr>
          <w:ilvl w:val="0"/>
          <w:numId w:val="14"/>
        </w:numPr>
        <w:jc w:val="start"/>
        <w:rPr/>
      </w:pPr>
      <w:r>
        <w:rPr/>
        <w:t>Refined products purchase from Coffeyville</w:t>
        <w:br/>
        <w:t xml:space="preserve">- </w:t>
      </w:r>
      <w:r>
        <w:rPr>
          <w:b/>
          <w:bCs/>
          <w:i/>
          <w:iCs/>
          <w:color w:val="FF0000"/>
        </w:rPr>
        <w:t>long</w:t>
      </w:r>
      <w:r>
        <w:rPr>
          <w:color w:val="FF0000"/>
        </w:rPr>
        <w:t xml:space="preserve"> </w:t>
      </w:r>
      <w:r>
        <w:rPr>
          <w:b/>
          <w:bCs/>
          <w:i/>
          <w:iCs/>
          <w:color w:val="FF0000"/>
        </w:rPr>
        <w:t>85,000</w:t>
      </w:r>
      <w:r>
        <w:rPr/>
        <w:t xml:space="preserve"> BPD gasoline and distillate</w:t>
        <w:br/>
        <w:t xml:space="preserve">- 8 year term </w:t>
      </w:r>
    </w:p>
    <w:p>
      <w:pPr>
        <w:pStyle w:val="BodyTextIndent"/>
        <w:numPr>
          <w:ilvl w:val="0"/>
          <w:numId w:val="14"/>
        </w:numPr>
        <w:jc w:val="start"/>
        <w:rPr>
          <w:b/>
        </w:rPr>
      </w:pPr>
      <w:r>
        <w:rPr/>
        <w:t>Working capital financing via a $</w:t>
      </w:r>
      <w:r>
        <w:rPr>
          <w:b/>
          <w:bCs/>
          <w:i/>
          <w:iCs/>
          <w:color w:val="FF0000"/>
        </w:rPr>
        <w:t>40</w:t>
      </w:r>
      <w:r>
        <w:rPr/>
        <w:t xml:space="preserve">  million </w:t>
      </w:r>
      <w:r>
        <w:rPr>
          <w:b/>
          <w:bCs/>
          <w:i/>
          <w:iCs/>
          <w:color w:val="FF0000"/>
        </w:rPr>
        <w:t>(est. amount)</w:t>
      </w:r>
      <w:r>
        <w:rPr/>
        <w:t xml:space="preserve"> loan.</w:t>
      </w:r>
    </w:p>
    <w:p>
      <w:pPr>
        <w:pStyle w:val="BodyTextIndent"/>
        <w:ind w:start="0" w:end="0"/>
        <w:jc w:val="start"/>
        <w:rPr>
          <w:rFonts w:eastAsia="Arial"/>
          <w:b/>
        </w:rPr>
      </w:pPr>
      <w:r>
        <w:rPr>
          <w:rFonts w:eastAsia="Arial"/>
          <w:b/>
        </w:rPr>
        <w:t xml:space="preserve"> </w:t>
      </w:r>
    </w:p>
    <w:p>
      <w:pPr>
        <w:pStyle w:val="Normal"/>
        <w:jc w:val="both"/>
        <w:rPr>
          <w:rFonts w:ascii="Arial" w:hAnsi="Arial" w:cs="Arial"/>
          <w:b/>
          <w:sz w:val="20"/>
        </w:rPr>
      </w:pPr>
      <w:r>
        <w:rPr>
          <w:rFonts w:cs="Arial" w:ascii="Arial" w:hAnsi="Arial"/>
          <w:b/>
          <w:sz w:val="20"/>
        </w:rPr>
        <w:t xml:space="preserve">Approval of these transactions will also require increasing ENE VAR and position limits </w:t>
      </w:r>
    </w:p>
    <w:p>
      <w:pPr>
        <w:pStyle w:val="Normal"/>
        <w:jc w:val="both"/>
        <w:rPr>
          <w:rFonts w:ascii="Arial" w:hAnsi="Arial" w:cs="Arial"/>
          <w:b/>
          <w:sz w:val="20"/>
        </w:rPr>
      </w:pPr>
      <w:r>
        <w:rPr>
          <w:rFonts w:cs="Arial" w:ascii="Arial" w:hAnsi="Arial"/>
          <w:b/>
          <w:sz w:val="20"/>
        </w:rPr>
        <w:t>_________detail_______________________</w:t>
      </w:r>
    </w:p>
    <w:p>
      <w:pPr>
        <w:pStyle w:val="Normal"/>
        <w:jc w:val="both"/>
        <w:rPr>
          <w:rFonts w:ascii="Arial" w:hAnsi="Arial" w:cs="Arial"/>
          <w:b/>
          <w:sz w:val="20"/>
        </w:rPr>
      </w:pPr>
      <w:r>
        <w:rPr>
          <w:rFonts w:cs="Arial" w:ascii="Arial" w:hAnsi="Arial"/>
          <w:b/>
          <w:sz w:val="20"/>
        </w:rPr>
      </w:r>
    </w:p>
    <w:p>
      <w:pPr>
        <w:pStyle w:val="Normal"/>
        <w:jc w:val="both"/>
        <w:rPr/>
      </w:pPr>
      <w:r>
        <w:rPr>
          <w:rFonts w:cs="Arial" w:ascii="Arial" w:hAnsi="Arial"/>
          <w:b/>
          <w:bCs/>
          <w:sz w:val="20"/>
          <w:u w:val="single"/>
        </w:rPr>
        <w:t>Deal Description</w:t>
      </w:r>
      <w:r>
        <w:rPr>
          <w:rFonts w:cs="Arial" w:ascii="Arial" w:hAnsi="Arial"/>
          <w:b/>
          <w:bCs/>
          <w:sz w:val="20"/>
        </w:rPr>
        <w:t>:</w:t>
      </w:r>
    </w:p>
    <w:p>
      <w:pPr>
        <w:pStyle w:val="Normal"/>
        <w:jc w:val="both"/>
        <w:rPr/>
      </w:pPr>
      <w:r>
        <w:rPr>
          <w:rFonts w:cs="Arial" w:ascii="Arial" w:hAnsi="Arial"/>
          <w:color w:val="000000"/>
          <w:sz w:val="20"/>
          <w:szCs w:val="14"/>
        </w:rPr>
        <w:t>Farmland Industries has agreed to sell its Coffeyville Refinery to GAF in a management buyout.  GAF is an entity owned by a former Farmland senior refining strategist, an entrepreneur and three private investors.</w:t>
      </w:r>
      <w:r>
        <w:rPr>
          <w:rFonts w:eastAsia="Arial" w:cs="Arial" w:ascii="Arial" w:hAnsi="Arial"/>
          <w:color w:val="000000"/>
          <w:sz w:val="20"/>
          <w:szCs w:val="14"/>
        </w:rPr>
        <w:t xml:space="preserve"> Farmland Industries is the largest farmer-owned cooperative in N. America with assets in refineries, fertilizer plants, transportation and other industries. Upon completion of this transaction, Farmland will have exited from refining.</w:t>
      </w:r>
    </w:p>
    <w:p>
      <w:pPr>
        <w:pStyle w:val="Normal"/>
        <w:jc w:val="both"/>
        <w:rPr>
          <w:rFonts w:ascii="Arial" w:hAnsi="Arial" w:eastAsia="Arial" w:cs="Arial"/>
          <w:color w:val="000000"/>
          <w:sz w:val="20"/>
          <w:szCs w:val="14"/>
        </w:rPr>
      </w:pPr>
      <w:r>
        <w:rPr>
          <w:rFonts w:eastAsia="Arial" w:cs="Arial" w:ascii="Arial" w:hAnsi="Arial"/>
          <w:color w:val="000000"/>
          <w:sz w:val="20"/>
          <w:szCs w:val="14"/>
        </w:rPr>
      </w:r>
    </w:p>
    <w:p>
      <w:pPr>
        <w:pStyle w:val="Normal"/>
        <w:jc w:val="both"/>
        <w:rPr>
          <w:rFonts w:ascii="Arial" w:hAnsi="Arial" w:cs="Arial"/>
          <w:color w:val="000000"/>
          <w:sz w:val="20"/>
          <w:szCs w:val="14"/>
        </w:rPr>
      </w:pPr>
      <w:r>
        <w:rPr>
          <w:rFonts w:eastAsia="Arial" w:cs="Arial" w:ascii="Arial" w:hAnsi="Arial"/>
          <w:color w:val="000000"/>
          <w:sz w:val="20"/>
          <w:szCs w:val="14"/>
        </w:rPr>
        <w:t>The Coffeyville refinery, located in Coffeyville, Kansas, while in operation since 1906, has been expanded and upgraded to its current 95,000 BPD configuration by Farmland in a series of projects over the last twenty years. Further investments totaling $</w:t>
      </w:r>
      <w:r>
        <w:rPr>
          <w:rFonts w:eastAsia="Arial" w:cs="Arial" w:ascii="Arial" w:hAnsi="Arial"/>
          <w:b/>
          <w:bCs/>
          <w:i/>
          <w:iCs/>
          <w:color w:val="FF0000"/>
          <w:sz w:val="20"/>
          <w:szCs w:val="14"/>
        </w:rPr>
        <w:t>100</w:t>
      </w:r>
      <w:r>
        <w:rPr>
          <w:rFonts w:eastAsia="Arial" w:cs="Arial" w:ascii="Arial" w:hAnsi="Arial"/>
          <w:color w:val="000000"/>
          <w:sz w:val="20"/>
          <w:szCs w:val="14"/>
        </w:rPr>
        <w:t xml:space="preserve"> million are now required in order to meet coming EPA Tier 2 standards for low sulfur fuel. </w:t>
      </w:r>
    </w:p>
    <w:p>
      <w:pPr>
        <w:pStyle w:val="Normal"/>
        <w:jc w:val="both"/>
        <w:rPr>
          <w:rFonts w:ascii="Arial" w:hAnsi="Arial" w:cs="Arial"/>
          <w:color w:val="000000"/>
          <w:sz w:val="20"/>
          <w:szCs w:val="14"/>
        </w:rPr>
      </w:pPr>
      <w:r>
        <w:rPr>
          <w:rFonts w:cs="Arial" w:ascii="Arial" w:hAnsi="Arial"/>
          <w:color w:val="000000"/>
          <w:sz w:val="20"/>
          <w:szCs w:val="14"/>
        </w:rPr>
      </w:r>
    </w:p>
    <w:p>
      <w:pPr>
        <w:pStyle w:val="Normal"/>
        <w:jc w:val="both"/>
        <w:rPr>
          <w:rFonts w:ascii="Arial" w:hAnsi="Arial" w:cs="Arial"/>
          <w:vanish/>
          <w:color w:val="000000"/>
          <w:sz w:val="20"/>
          <w:szCs w:val="14"/>
        </w:rPr>
      </w:pPr>
      <w:r>
        <w:rPr>
          <w:rFonts w:cs="Arial" w:ascii="Arial" w:hAnsi="Arial"/>
          <w:color w:val="000000"/>
          <w:sz w:val="20"/>
          <w:szCs w:val="14"/>
        </w:rPr>
        <w:t xml:space="preserve">The Coffeyville acquisition will be funded by a </w:t>
      </w:r>
    </w:p>
    <w:p>
      <w:pPr>
        <w:pStyle w:val="Normal"/>
        <w:jc w:val="both"/>
        <w:rPr/>
      </w:pPr>
      <w:r>
        <w:rPr>
          <w:rFonts w:cs="Arial" w:ascii="Arial" w:hAnsi="Arial"/>
          <w:color w:val="000000"/>
          <w:sz w:val="20"/>
          <w:szCs w:val="14"/>
        </w:rPr>
        <w:t>Morgan Stanley bridge financing of $125 million and the ENA working capital loan of $</w:t>
      </w:r>
      <w:r>
        <w:rPr>
          <w:rFonts w:cs="Arial" w:ascii="Arial" w:hAnsi="Arial"/>
          <w:b/>
          <w:bCs/>
          <w:i/>
          <w:iCs/>
          <w:color w:val="FF0000"/>
          <w:sz w:val="20"/>
          <w:szCs w:val="14"/>
        </w:rPr>
        <w:t>40</w:t>
      </w:r>
      <w:r>
        <w:rPr>
          <w:rFonts w:cs="Arial" w:ascii="Arial" w:hAnsi="Arial"/>
          <w:color w:val="000000"/>
          <w:sz w:val="20"/>
          <w:szCs w:val="14"/>
        </w:rPr>
        <w:t xml:space="preserve"> million. It is anticipated that Morgan Stanley will subsequently arrange the issuance of 8 year 144A Notes ($125-250 million) on behalf of GAF to refinance the $125 million bridge loan, fund Tier 2 upgrades, and provide cash for general corporate purposes. Access to this capital market is enhanced through the margin stabilization provided by ENA with its hedging products. </w:t>
      </w:r>
    </w:p>
    <w:p>
      <w:pPr>
        <w:pStyle w:val="Normal"/>
        <w:jc w:val="both"/>
        <w:rPr>
          <w:rFonts w:ascii="Arial Unicode MS" w:hAnsi="Arial Unicode MS" w:cs="Arial Unicode MS"/>
          <w:color w:val="000000"/>
          <w:sz w:val="20"/>
          <w:szCs w:val="14"/>
        </w:rPr>
      </w:pPr>
      <w:r>
        <w:rPr>
          <w:rFonts w:cs="Arial Unicode MS" w:ascii="Arial Unicode MS" w:hAnsi="Arial Unicode MS"/>
          <w:color w:val="000000"/>
          <w:sz w:val="20"/>
          <w:szCs w:val="14"/>
        </w:rPr>
      </w:r>
    </w:p>
    <w:p>
      <w:pPr>
        <w:pStyle w:val="Normal"/>
        <w:jc w:val="both"/>
        <w:rPr>
          <w:rFonts w:ascii="Arial Unicode MS" w:hAnsi="Arial Unicode MS" w:cs="Arial Unicode MS"/>
          <w:vanish/>
          <w:color w:val="000000"/>
        </w:rPr>
      </w:pPr>
      <w:r>
        <w:rPr>
          <w:rFonts w:cs="Arial Unicode MS" w:ascii="Arial Unicode MS" w:hAnsi="Arial Unicode MS"/>
          <w:vanish/>
          <w:color w:val="000000"/>
        </w:rPr>
      </w:r>
    </w:p>
    <w:p>
      <w:pPr>
        <w:pStyle w:val="Normal"/>
        <w:jc w:val="both"/>
        <w:rPr>
          <w:rFonts w:ascii="Arial" w:hAnsi="Arial" w:cs="Arial"/>
          <w:b/>
          <w:bCs/>
          <w:i/>
          <w:i/>
          <w:iCs/>
          <w:color w:val="FF0000"/>
          <w:sz w:val="20"/>
        </w:rPr>
      </w:pPr>
      <w:r>
        <w:rPr>
          <w:rFonts w:cs="Arial" w:ascii="Arial" w:hAnsi="Arial"/>
          <w:b/>
          <w:bCs/>
          <w:i/>
          <w:iCs/>
          <w:color w:val="FF0000"/>
          <w:sz w:val="20"/>
        </w:rPr>
        <w:t>In addition to establishing desirable crack and crude short positions in a strategic market (Group 3/PADD II), this transaction creates the following strategic benefits for EGM’s crude and products business:  1) establishes a physical presence in Group 3 products market, a highly volatile and liquid market;  2) creates an opportunity to extend EOL activity into Group 3 basis trades and potentially wholesale rack activity;  3) makes EGM an “end-user” in crude oil markets creating an avenue for commercial discussions with key oil producers such as PdVSA, Pemex, Aramco and others;  4) creates a physical supply presence in the Cushing physical crude markets adding to EGM’s market information flow and generating flexible storage opportunities.</w:t>
      </w:r>
    </w:p>
    <w:p>
      <w:pPr>
        <w:pStyle w:val="Normal"/>
        <w:jc w:val="both"/>
        <w:rPr>
          <w:rFonts w:ascii="Arial" w:hAnsi="Arial" w:cs="Arial"/>
          <w:b/>
          <w:bCs/>
          <w:i/>
          <w:i/>
          <w:iCs/>
          <w:color w:val="FF0000"/>
          <w:sz w:val="20"/>
        </w:rPr>
      </w:pPr>
      <w:r>
        <w:rPr>
          <w:rFonts w:cs="Arial" w:ascii="Arial" w:hAnsi="Arial"/>
          <w:b/>
          <w:bCs/>
          <w:i/>
          <w:iCs/>
          <w:color w:val="FF0000"/>
          <w:sz w:val="20"/>
        </w:rPr>
      </w:r>
    </w:p>
    <w:p>
      <w:pPr>
        <w:pStyle w:val="Normal"/>
        <w:rPr>
          <w:rFonts w:ascii="Arial Unicode MS" w:hAnsi="Arial Unicode MS" w:eastAsia="Arial Unicode MS" w:cs="Arial Unicode MS"/>
          <w:b/>
          <w:bCs/>
          <w:i/>
          <w:i/>
          <w:iCs/>
          <w:vanish/>
          <w:color w:val="000000"/>
          <w:sz w:val="20"/>
        </w:rPr>
      </w:pPr>
      <w:r>
        <w:rPr>
          <w:rFonts w:eastAsia="Arial Unicode MS" w:cs="Arial Unicode MS" w:ascii="Arial Unicode MS" w:hAnsi="Arial Unicode MS"/>
          <w:b/>
          <w:bCs/>
          <w:i/>
          <w:iCs/>
          <w:vanish/>
          <w:color w:val="000000"/>
          <w:sz w:val="20"/>
        </w:rPr>
      </w:r>
    </w:p>
    <w:p>
      <w:pPr>
        <w:pStyle w:val="Normal"/>
        <w:jc w:val="both"/>
        <w:rPr>
          <w:rFonts w:ascii="Arial" w:hAnsi="Arial" w:eastAsia="Arial Unicode MS" w:cs="Arial"/>
          <w:vanish/>
          <w:color w:val="000000"/>
          <w:sz w:val="20"/>
        </w:rPr>
      </w:pPr>
      <w:r>
        <w:rPr>
          <w:rFonts w:eastAsia="Arial Unicode MS" w:cs="Arial" w:ascii="Arial" w:hAnsi="Arial"/>
          <w:vanish/>
          <w:color w:val="000000"/>
          <w:sz w:val="20"/>
        </w:rPr>
      </w:r>
    </w:p>
    <w:p>
      <w:pPr>
        <w:pStyle w:val="Normal"/>
        <w:jc w:val="both"/>
        <w:rPr>
          <w:rFonts w:ascii="Arial" w:hAnsi="Arial" w:cs="Arial"/>
          <w:sz w:val="20"/>
        </w:rPr>
      </w:pPr>
      <w:r>
        <w:rPr>
          <w:rFonts w:cs="Arial" w:ascii="Arial" w:hAnsi="Arial"/>
          <w:sz w:val="20"/>
        </w:rPr>
      </w:r>
    </w:p>
    <w:p>
      <w:pPr>
        <w:pStyle w:val="BodyTextIndent"/>
        <w:ind w:start="0" w:end="0"/>
        <w:rPr/>
      </w:pPr>
      <w:r>
        <w:rPr/>
        <w:t xml:space="preserve">. </w:t>
      </w:r>
    </w:p>
    <w:p>
      <w:pPr>
        <w:pStyle w:val="BodyTextIndent"/>
        <w:ind w:start="0" w:end="0"/>
        <w:rPr/>
      </w:pPr>
      <w:r>
        <w:rPr/>
      </w:r>
      <w:r>
        <w:br w:type="page"/>
      </w:r>
    </w:p>
    <w:p>
      <w:pPr>
        <w:pStyle w:val="Normal"/>
        <w:rPr/>
      </w:pPr>
      <w:r>
        <w:rPr/>
        <w:t>PROBABLY    WILL TAKE THIS SECTION OUT (DEPENDING ON RESOLUTION OF WC FACILITY)</w:t>
      </w:r>
    </w:p>
    <w:tbl>
      <w:tblPr>
        <w:tblW w:w="9814" w:type="dxa"/>
        <w:jc w:val="start"/>
        <w:tblInd w:w="108" w:type="dxa"/>
        <w:tblLayout w:type="fixed"/>
        <w:tblCellMar>
          <w:top w:w="0" w:type="dxa"/>
          <w:start w:w="108" w:type="dxa"/>
          <w:bottom w:w="0" w:type="dxa"/>
          <w:end w:w="108" w:type="dxa"/>
        </w:tblCellMar>
      </w:tblPr>
      <w:tblGrid>
        <w:gridCol w:w="5400"/>
        <w:gridCol w:w="4414"/>
      </w:tblGrid>
      <w:tr>
        <w:trPr>
          <w:trHeight w:val="342" w:hRule="atLeast"/>
        </w:trPr>
        <w:tc>
          <w:tcPr>
            <w:tcW w:w="5400" w:type="dxa"/>
            <w:tcBorders/>
          </w:tcPr>
          <w:p>
            <w:pPr>
              <w:pStyle w:val="Normal"/>
              <w:tabs>
                <w:tab w:val="clear" w:pos="720"/>
                <w:tab w:val="left" w:pos="7380" w:leader="none"/>
              </w:tabs>
              <w:rPr/>
            </w:pPr>
            <w:r>
              <w:rPr>
                <w:rFonts w:cs="Arial" w:ascii="Arial" w:hAnsi="Arial"/>
                <w:b/>
                <w:sz w:val="20"/>
                <w:highlight w:val="yellow"/>
                <w:u w:val="single"/>
              </w:rPr>
              <w:t xml:space="preserve">RETURN SUMMARY (000s)  </w:t>
            </w:r>
            <w:r>
              <w:rPr>
                <w:rFonts w:cs="Arial" w:ascii="Arial" w:hAnsi="Arial"/>
                <w:bCs/>
                <w:sz w:val="20"/>
                <w:highlight w:val="yellow"/>
                <w:u w:val="single"/>
              </w:rPr>
              <w:t>- *</w:t>
            </w:r>
          </w:p>
          <w:p>
            <w:pPr>
              <w:pStyle w:val="Normal"/>
              <w:tabs>
                <w:tab w:val="clear" w:pos="720"/>
                <w:tab w:val="left" w:pos="7380" w:leader="none"/>
              </w:tabs>
              <w:rPr>
                <w:rFonts w:ascii="Arial" w:hAnsi="Arial" w:cs="Arial"/>
                <w:b/>
                <w:sz w:val="20"/>
                <w:highlight w:val="yellow"/>
              </w:rPr>
            </w:pPr>
            <w:r>
              <w:rPr>
                <w:rFonts w:eastAsia="Arial" w:cs="Arial" w:ascii="Arial" w:hAnsi="Arial"/>
                <w:b/>
                <w:sz w:val="20"/>
                <w:highlight w:val="yellow"/>
              </w:rPr>
              <w:t xml:space="preserve">                                       </w:t>
            </w:r>
            <w:r>
              <w:rPr>
                <w:rFonts w:cs="Arial" w:ascii="Arial" w:hAnsi="Arial"/>
                <w:b/>
                <w:sz w:val="20"/>
                <w:highlight w:val="yellow"/>
                <w:u w:val="single"/>
              </w:rPr>
              <w:t>PV @ Cap. Price</w:t>
            </w:r>
            <w:r>
              <w:rPr>
                <w:rFonts w:cs="Arial" w:ascii="Arial" w:hAnsi="Arial"/>
                <w:b/>
                <w:sz w:val="20"/>
                <w:highlight w:val="yellow"/>
              </w:rPr>
              <w:t xml:space="preserve">     </w:t>
            </w:r>
            <w:r>
              <w:rPr>
                <w:rFonts w:cs="Arial" w:ascii="Arial" w:hAnsi="Arial"/>
                <w:b/>
                <w:sz w:val="20"/>
                <w:highlight w:val="yellow"/>
                <w:u w:val="single"/>
              </w:rPr>
              <w:t>IRR</w:t>
            </w:r>
          </w:p>
          <w:p>
            <w:pPr>
              <w:pStyle w:val="Normal"/>
              <w:tabs>
                <w:tab w:val="clear" w:pos="720"/>
                <w:tab w:val="left" w:pos="7380" w:leader="none"/>
              </w:tabs>
              <w:rPr>
                <w:rFonts w:ascii="Arial" w:hAnsi="Arial" w:cs="Arial"/>
                <w:b/>
                <w:sz w:val="20"/>
                <w:highlight w:val="yellow"/>
              </w:rPr>
            </w:pPr>
            <w:r>
              <w:rPr>
                <w:rFonts w:cs="Arial" w:ascii="Arial" w:hAnsi="Arial"/>
                <w:b/>
                <w:sz w:val="20"/>
                <w:highlight w:val="yellow"/>
              </w:rPr>
            </w:r>
          </w:p>
          <w:p>
            <w:pPr>
              <w:pStyle w:val="Normal"/>
              <w:tabs>
                <w:tab w:val="clear" w:pos="720"/>
                <w:tab w:val="left" w:pos="7380" w:leader="none"/>
              </w:tabs>
              <w:rPr>
                <w:rFonts w:ascii="Arial" w:hAnsi="Arial" w:cs="Arial"/>
                <w:b/>
                <w:sz w:val="20"/>
                <w:highlight w:val="yellow"/>
              </w:rPr>
            </w:pPr>
            <w:r>
              <w:rPr>
                <w:rFonts w:cs="Arial" w:ascii="Arial" w:hAnsi="Arial"/>
                <w:b/>
                <w:sz w:val="20"/>
                <w:highlight w:val="yellow"/>
              </w:rPr>
              <w:t>Cash Outflows                   )</w:t>
            </w:r>
          </w:p>
          <w:p>
            <w:pPr>
              <w:pStyle w:val="Normal"/>
              <w:tabs>
                <w:tab w:val="clear" w:pos="720"/>
                <w:tab w:val="left" w:pos="7380" w:leader="none"/>
              </w:tabs>
              <w:rPr>
                <w:rFonts w:ascii="Arial" w:hAnsi="Arial" w:cs="Arial"/>
                <w:b/>
                <w:sz w:val="20"/>
                <w:highlight w:val="yellow"/>
              </w:rPr>
            </w:pPr>
            <w:r>
              <w:rPr>
                <w:rFonts w:cs="Arial" w:ascii="Arial" w:hAnsi="Arial"/>
                <w:b/>
                <w:sz w:val="20"/>
                <w:highlight w:val="yellow"/>
              </w:rPr>
              <w:t xml:space="preserve">Ongoing Cash flows          </w:t>
            </w:r>
          </w:p>
          <w:p>
            <w:pPr>
              <w:pStyle w:val="Heading1"/>
              <w:tabs>
                <w:tab w:val="clear" w:pos="720"/>
                <w:tab w:val="left" w:pos="7380" w:leader="none"/>
              </w:tabs>
              <w:ind w:hanging="0" w:start="0"/>
              <w:rPr>
                <w:rFonts w:ascii="Arial" w:hAnsi="Arial" w:cs="Arial"/>
                <w:i/>
                <w:i/>
                <w:szCs w:val="24"/>
                <w:highlight w:val="yellow"/>
                <w:u w:val="single"/>
              </w:rPr>
            </w:pPr>
            <w:r>
              <w:rPr>
                <w:rFonts w:cs="Arial" w:ascii="Arial" w:hAnsi="Arial"/>
                <w:szCs w:val="24"/>
                <w:highlight w:val="yellow"/>
              </w:rPr>
              <w:t xml:space="preserve">Terminal Value                   </w:t>
            </w:r>
          </w:p>
        </w:tc>
        <w:tc>
          <w:tcPr>
            <w:tcW w:w="4414" w:type="dxa"/>
            <w:tcBorders/>
          </w:tcPr>
          <w:p>
            <w:pPr>
              <w:pStyle w:val="Header"/>
              <w:widowControl/>
              <w:tabs>
                <w:tab w:val="clear" w:pos="4320"/>
                <w:tab w:val="clear" w:pos="8640"/>
                <w:tab w:val="left" w:pos="7380" w:leader="none"/>
              </w:tabs>
              <w:snapToGrid w:val="false"/>
              <w:rPr>
                <w:rFonts w:ascii="Arial" w:hAnsi="Arial" w:cs="Arial"/>
                <w:i/>
                <w:i/>
                <w:szCs w:val="24"/>
                <w:highlight w:val="yellow"/>
                <w:u w:val="single"/>
              </w:rPr>
            </w:pPr>
            <w:r>
              <w:rPr>
                <w:rFonts w:cs="Arial" w:ascii="Arial" w:hAnsi="Arial"/>
                <w:i/>
                <w:szCs w:val="24"/>
                <w:highlight w:val="yellow"/>
                <w:u w:val="single"/>
              </w:rPr>
            </w:r>
          </w:p>
          <w:p>
            <w:pPr>
              <w:pStyle w:val="Header"/>
              <w:widowControl/>
              <w:tabs>
                <w:tab w:val="clear" w:pos="4320"/>
                <w:tab w:val="clear" w:pos="8640"/>
                <w:tab w:val="left" w:pos="7380" w:leader="none"/>
              </w:tabs>
              <w:rPr/>
            </w:pPr>
            <w:r>
              <w:rPr>
                <w:rFonts w:eastAsia="Arial" w:cs="Arial" w:ascii="Arial" w:hAnsi="Arial"/>
                <w:b/>
                <w:bCs/>
                <w:szCs w:val="24"/>
                <w:highlight w:val="yellow"/>
              </w:rPr>
              <w:t xml:space="preserve">                                             </w:t>
            </w:r>
            <w:r>
              <w:rPr>
                <w:rFonts w:cs="Arial" w:ascii="Arial" w:hAnsi="Arial"/>
                <w:b/>
                <w:bCs/>
                <w:szCs w:val="24"/>
                <w:highlight w:val="yellow"/>
                <w:u w:val="single"/>
              </w:rPr>
              <w:t>Current Pricing</w:t>
            </w:r>
          </w:p>
          <w:p>
            <w:pPr>
              <w:pStyle w:val="Header"/>
              <w:widowControl/>
              <w:tabs>
                <w:tab w:val="clear" w:pos="4320"/>
                <w:tab w:val="clear" w:pos="8640"/>
                <w:tab w:val="left" w:pos="7380" w:leader="none"/>
              </w:tabs>
              <w:rPr>
                <w:rFonts w:ascii="Arial" w:hAnsi="Arial" w:cs="Arial"/>
                <w:b/>
                <w:bCs/>
                <w:szCs w:val="24"/>
                <w:highlight w:val="yellow"/>
              </w:rPr>
            </w:pPr>
            <w:r>
              <w:rPr>
                <w:rFonts w:cs="Arial" w:ascii="Arial" w:hAnsi="Arial"/>
                <w:b/>
                <w:bCs/>
                <w:szCs w:val="24"/>
                <w:highlight w:val="yellow"/>
              </w:rPr>
              <w:t>Risk Free                                        4.69%</w:t>
            </w:r>
          </w:p>
          <w:p>
            <w:pPr>
              <w:pStyle w:val="Heading1"/>
              <w:tabs>
                <w:tab w:val="clear" w:pos="720"/>
                <w:tab w:val="left" w:pos="7380" w:leader="none"/>
              </w:tabs>
              <w:ind w:hanging="0" w:start="0"/>
              <w:rPr>
                <w:rFonts w:ascii="Arial" w:hAnsi="Arial" w:cs="Arial"/>
                <w:bCs/>
                <w:szCs w:val="24"/>
                <w:highlight w:val="yellow"/>
              </w:rPr>
            </w:pPr>
            <w:r>
              <w:rPr>
                <w:rFonts w:cs="Arial" w:ascii="Arial" w:hAnsi="Arial"/>
                <w:bCs/>
                <w:szCs w:val="24"/>
                <w:highlight w:val="yellow"/>
              </w:rPr>
              <w:t>Equity Premium                             3.37%</w:t>
            </w:r>
          </w:p>
          <w:p>
            <w:pPr>
              <w:pStyle w:val="Normal"/>
              <w:tabs>
                <w:tab w:val="clear" w:pos="720"/>
                <w:tab w:val="left" w:pos="7380" w:leader="none"/>
              </w:tabs>
              <w:rPr>
                <w:rFonts w:ascii="Arial" w:hAnsi="Arial" w:cs="Arial"/>
                <w:sz w:val="20"/>
                <w:highlight w:val="yellow"/>
              </w:rPr>
            </w:pPr>
            <w:r>
              <w:rPr>
                <w:rFonts w:cs="Arial" w:ascii="Arial" w:hAnsi="Arial"/>
                <w:b/>
                <w:bCs/>
                <w:sz w:val="20"/>
                <w:highlight w:val="yellow"/>
              </w:rPr>
              <w:t>Transaction Specific                       %</w:t>
            </w:r>
          </w:p>
        </w:tc>
      </w:tr>
    </w:tbl>
    <w:p>
      <w:pPr>
        <w:pStyle w:val="Normal"/>
        <w:tabs>
          <w:tab w:val="clear" w:pos="720"/>
          <w:tab w:val="left" w:pos="7380" w:leader="none"/>
        </w:tabs>
        <w:rPr>
          <w:rFonts w:ascii="Arial" w:hAnsi="Arial" w:cs="Arial"/>
          <w:sz w:val="20"/>
          <w:highlight w:val="yellow"/>
        </w:rPr>
      </w:pPr>
      <w:r>
        <w:rPr>
          <w:rFonts w:cs="Arial" w:ascii="Arial" w:hAnsi="Arial"/>
          <w:sz w:val="20"/>
          <w:highlight w:val="yellow"/>
        </w:rPr>
      </w:r>
    </w:p>
    <w:tbl>
      <w:tblPr>
        <w:tblW w:w="9180" w:type="dxa"/>
        <w:jc w:val="start"/>
        <w:tblInd w:w="378" w:type="dxa"/>
        <w:tblLayout w:type="fixed"/>
        <w:tblCellMar>
          <w:top w:w="0" w:type="dxa"/>
          <w:start w:w="108" w:type="dxa"/>
          <w:bottom w:w="0" w:type="dxa"/>
          <w:end w:w="108" w:type="dxa"/>
        </w:tblCellMar>
      </w:tblPr>
      <w:tblGrid>
        <w:gridCol w:w="2160"/>
        <w:gridCol w:w="1260"/>
        <w:gridCol w:w="1170"/>
        <w:gridCol w:w="540"/>
        <w:gridCol w:w="3060"/>
        <w:gridCol w:w="990"/>
      </w:tblGrid>
      <w:tr>
        <w:trPr>
          <w:trHeight w:val="195" w:hRule="atLeast"/>
        </w:trPr>
        <w:tc>
          <w:tcPr>
            <w:tcW w:w="2160" w:type="dxa"/>
            <w:tcBorders>
              <w:top w:val="single" w:sz="12" w:space="0" w:color="000000"/>
              <w:start w:val="single" w:sz="12" w:space="0" w:color="000000"/>
              <w:bottom w:val="single" w:sz="12" w:space="0" w:color="000000"/>
            </w:tcBorders>
          </w:tcPr>
          <w:p>
            <w:pPr>
              <w:pStyle w:val="Heading9"/>
              <w:widowControl/>
              <w:tabs>
                <w:tab w:val="clear" w:pos="2870"/>
                <w:tab w:val="clear" w:pos="3617"/>
                <w:tab w:val="center" w:pos="2909" w:leader="none"/>
                <w:tab w:val="center" w:pos="4079" w:leader="none"/>
                <w:tab w:val="left" w:pos="7380" w:leader="none"/>
              </w:tabs>
              <w:ind w:start="0" w:end="-217"/>
              <w:rPr>
                <w:rFonts w:ascii="Arial" w:hAnsi="Arial" w:cs="Arial"/>
                <w:highlight w:val="yellow"/>
              </w:rPr>
            </w:pPr>
            <w:r>
              <w:rPr>
                <w:rFonts w:cs="Arial" w:ascii="Arial" w:hAnsi="Arial"/>
                <w:highlight w:val="yellow"/>
              </w:rPr>
              <w:t>Total NPV</w:t>
            </w:r>
          </w:p>
        </w:tc>
        <w:tc>
          <w:tcPr>
            <w:tcW w:w="1260" w:type="dxa"/>
            <w:tcBorders>
              <w:top w:val="single" w:sz="12" w:space="0" w:color="000000"/>
              <w:bottom w:val="single" w:sz="12" w:space="0" w:color="000000"/>
            </w:tcBorders>
          </w:tcPr>
          <w:p>
            <w:pPr>
              <w:pStyle w:val="Normal"/>
              <w:tabs>
                <w:tab w:val="clear" w:pos="720"/>
                <w:tab w:val="left" w:pos="7380" w:leader="none"/>
              </w:tabs>
              <w:jc w:val="center"/>
              <w:rPr>
                <w:rFonts w:ascii="Arial" w:hAnsi="Arial" w:cs="Arial"/>
                <w:b/>
                <w:sz w:val="20"/>
                <w:highlight w:val="yellow"/>
              </w:rPr>
            </w:pPr>
            <w:r>
              <w:rPr>
                <w:rFonts w:cs="Arial" w:ascii="Arial" w:hAnsi="Arial"/>
                <w:b/>
                <w:sz w:val="20"/>
                <w:highlight w:val="yellow"/>
              </w:rPr>
              <w:t>$</w:t>
            </w:r>
          </w:p>
        </w:tc>
        <w:tc>
          <w:tcPr>
            <w:tcW w:w="1170" w:type="dxa"/>
            <w:tcBorders>
              <w:top w:val="single" w:sz="12" w:space="0" w:color="000000"/>
              <w:bottom w:val="single" w:sz="12" w:space="0" w:color="000000"/>
              <w:end w:val="single" w:sz="4" w:space="0" w:color="000000"/>
            </w:tcBorders>
          </w:tcPr>
          <w:p>
            <w:pPr>
              <w:pStyle w:val="Heading9"/>
              <w:widowControl/>
              <w:tabs>
                <w:tab w:val="decimal" w:pos="792" w:leader="none"/>
                <w:tab w:val="left" w:pos="2870" w:leader="none"/>
                <w:tab w:val="left" w:pos="3617" w:leader="none"/>
                <w:tab w:val="left" w:pos="7380" w:leader="none"/>
              </w:tabs>
              <w:ind w:start="0" w:end="-108"/>
              <w:jc w:val="center"/>
              <w:rPr>
                <w:rFonts w:ascii="Arial" w:hAnsi="Arial" w:cs="Arial"/>
                <w:highlight w:val="yellow"/>
              </w:rPr>
            </w:pPr>
            <w:r>
              <w:rPr>
                <w:rFonts w:cs="Arial" w:ascii="Arial" w:hAnsi="Arial"/>
                <w:highlight w:val="yellow"/>
              </w:rPr>
              <w:t>IRR</w:t>
            </w:r>
          </w:p>
        </w:tc>
        <w:tc>
          <w:tcPr>
            <w:tcW w:w="540" w:type="dxa"/>
            <w:tcBorders/>
          </w:tcPr>
          <w:p>
            <w:pPr>
              <w:pStyle w:val="Heading9"/>
              <w:widowControl/>
              <w:tabs>
                <w:tab w:val="left" w:pos="2870" w:leader="none"/>
                <w:tab w:val="left" w:pos="3617" w:leader="none"/>
                <w:tab w:val="left" w:pos="7380" w:leader="none"/>
              </w:tabs>
              <w:snapToGrid w:val="false"/>
              <w:ind w:start="0" w:end="-108"/>
              <w:rPr>
                <w:rFonts w:ascii="Arial" w:hAnsi="Arial" w:cs="Arial"/>
                <w:highlight w:val="yellow"/>
              </w:rPr>
            </w:pPr>
            <w:r>
              <w:rPr>
                <w:rFonts w:cs="Arial" w:ascii="Arial" w:hAnsi="Arial"/>
                <w:highlight w:val="yellow"/>
              </w:rPr>
            </w:r>
          </w:p>
        </w:tc>
        <w:tc>
          <w:tcPr>
            <w:tcW w:w="3060" w:type="dxa"/>
            <w:tcBorders>
              <w:top w:val="single" w:sz="12" w:space="0" w:color="000000"/>
              <w:start w:val="single" w:sz="4" w:space="0" w:color="000000"/>
              <w:bottom w:val="single" w:sz="12" w:space="0" w:color="000000"/>
            </w:tcBorders>
          </w:tcPr>
          <w:p>
            <w:pPr>
              <w:pStyle w:val="Heading9"/>
              <w:widowControl/>
              <w:tabs>
                <w:tab w:val="left" w:pos="2870" w:leader="none"/>
                <w:tab w:val="left" w:pos="3617" w:leader="none"/>
                <w:tab w:val="left" w:pos="7380" w:leader="none"/>
              </w:tabs>
              <w:ind w:start="0" w:end="72"/>
              <w:rPr>
                <w:rFonts w:ascii="Arial" w:hAnsi="Arial" w:cs="Arial"/>
                <w:highlight w:val="yellow"/>
              </w:rPr>
            </w:pPr>
            <w:r>
              <w:rPr>
                <w:rFonts w:cs="Arial" w:ascii="Arial" w:hAnsi="Arial"/>
                <w:highlight w:val="yellow"/>
              </w:rPr>
              <w:t>RAC CAPITAL PRICE:</w:t>
            </w:r>
          </w:p>
        </w:tc>
        <w:tc>
          <w:tcPr>
            <w:tcW w:w="990" w:type="dxa"/>
            <w:tcBorders>
              <w:top w:val="single" w:sz="12" w:space="0" w:color="000000"/>
              <w:bottom w:val="single" w:sz="12" w:space="0" w:color="000000"/>
              <w:end w:val="single" w:sz="12" w:space="0" w:color="000000"/>
            </w:tcBorders>
          </w:tcPr>
          <w:p>
            <w:pPr>
              <w:pStyle w:val="Normal"/>
              <w:tabs>
                <w:tab w:val="clear" w:pos="720"/>
                <w:tab w:val="left" w:pos="432" w:leader="none"/>
                <w:tab w:val="left" w:pos="7380" w:leader="none"/>
              </w:tabs>
              <w:ind w:end="-63"/>
              <w:jc w:val="end"/>
              <w:rPr>
                <w:rFonts w:ascii="Arial" w:hAnsi="Arial" w:cs="Arial"/>
                <w:b/>
                <w:sz w:val="20"/>
              </w:rPr>
            </w:pPr>
            <w:r>
              <w:rPr>
                <w:rFonts w:cs="Arial" w:ascii="Arial" w:hAnsi="Arial"/>
                <w:b/>
                <w:sz w:val="20"/>
                <w:highlight w:val="yellow"/>
              </w:rPr>
              <w:t>%</w:t>
            </w:r>
          </w:p>
        </w:tc>
      </w:tr>
    </w:tbl>
    <w:p>
      <w:pPr>
        <w:pStyle w:val="Normal"/>
        <w:tabs>
          <w:tab w:val="clear" w:pos="720"/>
          <w:tab w:val="left" w:pos="7380" w:leader="none"/>
        </w:tabs>
        <w:rPr>
          <w:rFonts w:ascii="Arial" w:hAnsi="Arial" w:cs="Arial"/>
          <w:sz w:val="20"/>
        </w:rPr>
      </w:pPr>
      <w:r>
        <w:rPr>
          <w:rFonts w:cs="Arial" w:ascii="Arial" w:hAnsi="Arial"/>
          <w:sz w:val="20"/>
        </w:rPr>
      </w:r>
    </w:p>
    <w:p>
      <w:pPr>
        <w:pStyle w:val="Normal"/>
        <w:tabs>
          <w:tab w:val="clear" w:pos="720"/>
          <w:tab w:val="left" w:pos="7380" w:leader="none"/>
        </w:tabs>
        <w:rPr>
          <w:rFonts w:ascii="Arial" w:hAnsi="Arial" w:cs="Arial"/>
          <w:sz w:val="20"/>
        </w:rPr>
      </w:pPr>
      <w:r>
        <w:rPr>
          <w:rFonts w:cs="Arial" w:ascii="Arial" w:hAnsi="Arial"/>
          <w:sz w:val="20"/>
        </w:rPr>
      </w:r>
    </w:p>
    <w:p>
      <w:pPr>
        <w:pStyle w:val="Heading2"/>
        <w:widowControl/>
        <w:pBdr>
          <w:top w:val="single" w:sz="8" w:space="1" w:color="000000"/>
        </w:pBdr>
        <w:tabs>
          <w:tab w:val="clear" w:pos="720"/>
          <w:tab w:val="left" w:pos="7380" w:leader="none"/>
        </w:tabs>
        <w:ind w:hanging="0" w:start="0" w:end="-36"/>
        <w:rPr>
          <w:rFonts w:ascii="Arial" w:hAnsi="Arial" w:cs="Arial"/>
          <w:i w:val="false"/>
          <w:i w:val="false"/>
        </w:rPr>
      </w:pPr>
      <w:r>
        <w:rPr>
          <w:rFonts w:cs="Arial" w:ascii="Arial" w:hAnsi="Arial"/>
          <w:i w:val="false"/>
        </w:rPr>
        <w:t>TRANSACTION UPSIDES/OPTIONALITY</w:t>
      </w:r>
    </w:p>
    <w:p>
      <w:pPr>
        <w:pStyle w:val="Normal"/>
        <w:jc w:val="both"/>
        <w:rPr>
          <w:rFonts w:ascii="Arial" w:hAnsi="Arial" w:cs="Arial"/>
          <w:b/>
          <w:bCs/>
          <w:i/>
          <w:i/>
          <w:iCs/>
          <w:color w:val="FF0000"/>
          <w:sz w:val="20"/>
        </w:rPr>
      </w:pPr>
      <w:r>
        <w:rPr>
          <w:rFonts w:cs="Arial" w:ascii="Arial" w:hAnsi="Arial"/>
          <w:b/>
          <w:bCs/>
          <w:i/>
          <w:iCs/>
          <w:color w:val="FF0000"/>
          <w:sz w:val="20"/>
        </w:rPr>
      </w:r>
    </w:p>
    <w:p>
      <w:pPr>
        <w:pStyle w:val="Normal"/>
        <w:jc w:val="both"/>
        <w:rPr>
          <w:rFonts w:ascii="Arial" w:hAnsi="Arial" w:cs="Arial"/>
          <w:b/>
          <w:bCs/>
          <w:i/>
          <w:i/>
          <w:iCs/>
          <w:color w:val="FF0000"/>
          <w:sz w:val="20"/>
        </w:rPr>
      </w:pPr>
      <w:r>
        <w:rPr>
          <w:rFonts w:cs="Arial" w:ascii="Arial" w:hAnsi="Arial"/>
          <w:b/>
          <w:bCs/>
          <w:i/>
          <w:iCs/>
          <w:color w:val="FF0000"/>
          <w:sz w:val="20"/>
        </w:rPr>
        <w:t>During the term of the agreement, EGM will have significant positions which it can range trade to capture incremental spread when market conditions allow.  Additionally, there has been no value included in the economics for any spread made on resale of the physical products.  It is estimated this could be $1.5 – 2.0 million per year on an accrual basis.</w:t>
      </w:r>
    </w:p>
    <w:p>
      <w:pPr>
        <w:pStyle w:val="Normal"/>
        <w:jc w:val="both"/>
        <w:rPr>
          <w:rFonts w:ascii="Arial" w:hAnsi="Arial" w:cs="Arial"/>
          <w:b/>
          <w:bCs/>
          <w:i/>
          <w:i/>
          <w:iCs/>
          <w:color w:val="FF0000"/>
          <w:sz w:val="20"/>
        </w:rPr>
      </w:pPr>
      <w:r>
        <w:rPr>
          <w:rFonts w:cs="Arial" w:ascii="Arial" w:hAnsi="Arial"/>
          <w:b/>
          <w:bCs/>
          <w:i/>
          <w:iCs/>
          <w:color w:val="FF0000"/>
          <w:sz w:val="20"/>
        </w:rPr>
      </w:r>
    </w:p>
    <w:p>
      <w:pPr>
        <w:pStyle w:val="Normal"/>
        <w:jc w:val="both"/>
        <w:rPr>
          <w:rFonts w:ascii="Arial" w:hAnsi="Arial" w:cs="Arial"/>
          <w:b/>
          <w:bCs/>
          <w:i/>
          <w:i/>
          <w:iCs/>
          <w:color w:val="FF0000"/>
          <w:sz w:val="20"/>
        </w:rPr>
      </w:pPr>
      <w:r>
        <w:rPr>
          <w:rFonts w:cs="Arial" w:ascii="Arial" w:hAnsi="Arial"/>
          <w:b/>
          <w:bCs/>
          <w:i/>
          <w:iCs/>
          <w:color w:val="FF0000"/>
          <w:sz w:val="20"/>
        </w:rPr>
        <w:t>GAF is also contemplating a $300 million (+/-) capex program (Max Capex case) which would expand the process capabilities of the refinery to match the current crude charge expanding the product yields to +/- 130,000 bbls/day.  Approval of this will require super-majority vote of the BOD and subject to renegotiation of the swap pricing and/or physical off-take pricing for the incremental volumes.  At this time, there is not sufficient detailed engineering to support the economics of such a large capital program.  EGM will work with GAF, post closing, to verify and determine both the operational and economical feasibility of the Max Capex case.  It is envisioned that EGM will have a right of first offer (option) to supply any additional crude and lift additional products.  If EGM declines to exercise its option, GAF could contract with a third party.  For purposes of this transaction, we are focused solely on the Min Capex case and will defer any additional capital spending (Max Capex) for further review, due diligence, etc…  No value for the Max Capex case has been included in the project economics represented by this transaction.</w:t>
      </w:r>
    </w:p>
    <w:p>
      <w:pPr>
        <w:pStyle w:val="Heading2"/>
        <w:widowControl/>
        <w:pBdr>
          <w:top w:val="single" w:sz="8" w:space="1" w:color="000000"/>
        </w:pBdr>
        <w:tabs>
          <w:tab w:val="clear" w:pos="720"/>
          <w:tab w:val="left" w:pos="7380" w:leader="none"/>
        </w:tabs>
        <w:ind w:hanging="0" w:start="0" w:end="-36"/>
        <w:rPr>
          <w:rFonts w:ascii="Arial" w:hAnsi="Arial" w:cs="Arial"/>
          <w:b w:val="false"/>
          <w:bCs/>
          <w:i w:val="false"/>
          <w:i w:val="false"/>
          <w:iCs/>
          <w:color w:val="FF0000"/>
          <w:sz w:val="20"/>
        </w:rPr>
      </w:pPr>
      <w:r>
        <w:rPr>
          <w:rFonts w:cs="Arial" w:ascii="Arial" w:hAnsi="Arial"/>
          <w:b w:val="false"/>
          <w:bCs/>
          <w:i w:val="false"/>
          <w:iCs/>
          <w:color w:val="FF0000"/>
          <w:sz w:val="20"/>
        </w:rPr>
      </w:r>
    </w:p>
    <w:p>
      <w:pPr>
        <w:pStyle w:val="Normal"/>
        <w:pBdr>
          <w:top w:val="single" w:sz="8" w:space="1" w:color="000000"/>
        </w:pBdr>
        <w:rPr/>
      </w:pPr>
      <w:r>
        <w:rPr/>
        <w:t>RISK MATRIX</w:t>
      </w:r>
    </w:p>
    <w:tbl>
      <w:tblPr>
        <w:tblW w:w="9990" w:type="dxa"/>
        <w:jc w:val="start"/>
        <w:tblInd w:w="378" w:type="dxa"/>
        <w:tblLayout w:type="fixed"/>
        <w:tblCellMar>
          <w:top w:w="0" w:type="dxa"/>
          <w:start w:w="108" w:type="dxa"/>
          <w:bottom w:w="0" w:type="dxa"/>
          <w:end w:w="108" w:type="dxa"/>
        </w:tblCellMar>
      </w:tblPr>
      <w:tblGrid>
        <w:gridCol w:w="5310"/>
        <w:gridCol w:w="4680"/>
      </w:tblGrid>
      <w:tr>
        <w:trPr/>
        <w:tc>
          <w:tcPr>
            <w:tcW w:w="5310" w:type="dxa"/>
            <w:tcBorders>
              <w:top w:val="single" w:sz="6" w:space="0" w:color="000000"/>
              <w:start w:val="single" w:sz="6" w:space="0" w:color="000000"/>
              <w:bottom w:val="single" w:sz="6" w:space="0" w:color="000000"/>
              <w:end w:val="single" w:sz="6" w:space="0" w:color="000000"/>
            </w:tcBorders>
          </w:tcPr>
          <w:p>
            <w:pPr>
              <w:pStyle w:val="Heading6"/>
              <w:ind w:hanging="0" w:start="0"/>
              <w:jc w:val="start"/>
              <w:rPr>
                <w:rFonts w:ascii="Arial" w:hAnsi="Arial" w:cs="Arial"/>
                <w:szCs w:val="24"/>
              </w:rPr>
            </w:pPr>
            <w:r>
              <w:rPr>
                <w:rFonts w:eastAsia="Arial" w:cs="Arial" w:ascii="Arial" w:hAnsi="Arial"/>
                <w:szCs w:val="24"/>
              </w:rPr>
              <w:t xml:space="preserve"> </w:t>
            </w:r>
            <w:r>
              <w:rPr>
                <w:rFonts w:cs="Arial" w:ascii="Arial" w:hAnsi="Arial"/>
                <w:szCs w:val="24"/>
              </w:rPr>
              <w:t>DESCRIPTION</w:t>
            </w:r>
          </w:p>
        </w:tc>
        <w:tc>
          <w:tcPr>
            <w:tcW w:w="4680"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b/>
                <w:sz w:val="20"/>
              </w:rPr>
            </w:pPr>
            <w:r>
              <w:rPr>
                <w:rFonts w:cs="Arial" w:ascii="Arial" w:hAnsi="Arial"/>
                <w:b/>
                <w:sz w:val="20"/>
              </w:rPr>
              <w:t>MITIGATION/COMMENTS</w:t>
            </w:r>
          </w:p>
        </w:tc>
      </w:tr>
      <w:tr>
        <w:trPr/>
        <w:tc>
          <w:tcPr>
            <w:tcW w:w="5310" w:type="dxa"/>
            <w:tcBorders>
              <w:top w:val="single" w:sz="6" w:space="0" w:color="000000"/>
              <w:start w:val="single" w:sz="6" w:space="0" w:color="000000"/>
              <w:bottom w:val="single" w:sz="6" w:space="0" w:color="000000"/>
              <w:end w:val="single" w:sz="6" w:space="0" w:color="000000"/>
            </w:tcBorders>
          </w:tcPr>
          <w:p>
            <w:pPr>
              <w:pStyle w:val="Heading1"/>
              <w:ind w:hanging="0" w:start="0"/>
              <w:rPr>
                <w:rFonts w:ascii="Arial" w:hAnsi="Arial" w:cs="Arial"/>
              </w:rPr>
            </w:pPr>
            <w:r>
              <w:rPr>
                <w:rFonts w:cs="Arial" w:ascii="Arial" w:hAnsi="Arial"/>
              </w:rPr>
              <w:t>Market Price Risk</w:t>
            </w:r>
          </w:p>
          <w:p>
            <w:pPr>
              <w:pStyle w:val="Normal"/>
              <w:numPr>
                <w:ilvl w:val="0"/>
                <w:numId w:val="6"/>
              </w:numPr>
              <w:rPr>
                <w:rFonts w:ascii="Arial" w:hAnsi="Arial" w:cs="Arial"/>
                <w:sz w:val="20"/>
              </w:rPr>
            </w:pPr>
            <w:r>
              <w:rPr>
                <w:rFonts w:cs="Arial" w:ascii="Arial" w:hAnsi="Arial"/>
                <w:sz w:val="20"/>
              </w:rPr>
              <w:t>The crack spread position cannot be significantly hedged beyond the initial 1-2 years of its 8 year term.</w:t>
            </w:r>
          </w:p>
          <w:p>
            <w:pPr>
              <w:pStyle w:val="Normal"/>
              <w:numPr>
                <w:ilvl w:val="0"/>
                <w:numId w:val="6"/>
              </w:numPr>
              <w:rPr>
                <w:rFonts w:ascii="Arial" w:hAnsi="Arial" w:cs="Arial"/>
                <w:sz w:val="20"/>
              </w:rPr>
            </w:pPr>
            <w:r>
              <w:rPr>
                <w:rFonts w:cs="Arial" w:ascii="Arial" w:hAnsi="Arial"/>
                <w:sz w:val="20"/>
              </w:rPr>
              <w:t>MTM exposure (VAR) of the crack spread swap is $40.5 million. Combined with the existing portfolio, VAR will increase by $24.6 million.</w:t>
            </w:r>
          </w:p>
          <w:p>
            <w:pPr>
              <w:pStyle w:val="Normal"/>
              <w:numPr>
                <w:ilvl w:val="0"/>
                <w:numId w:val="6"/>
              </w:numPr>
              <w:rPr>
                <w:rFonts w:ascii="Arial" w:hAnsi="Arial" w:cs="Arial"/>
                <w:sz w:val="20"/>
              </w:rPr>
            </w:pPr>
            <w:r>
              <w:rPr>
                <w:rFonts w:cs="Arial" w:ascii="Arial" w:hAnsi="Arial"/>
                <w:sz w:val="20"/>
              </w:rPr>
              <w:t>MTM exposure rolls off very slowly with time (VAR decreases only $4 million per year going forward).</w:t>
            </w:r>
          </w:p>
          <w:p>
            <w:pPr>
              <w:pStyle w:val="Normal"/>
              <w:numPr>
                <w:ilvl w:val="0"/>
                <w:numId w:val="6"/>
              </w:numPr>
              <w:rPr>
                <w:rFonts w:ascii="Arial" w:hAnsi="Arial" w:cs="Arial"/>
                <w:sz w:val="20"/>
              </w:rPr>
            </w:pPr>
            <w:r>
              <w:rPr>
                <w:rFonts w:cs="Arial" w:ascii="Arial" w:hAnsi="Arial"/>
                <w:sz w:val="20"/>
              </w:rPr>
              <w:t xml:space="preserve">It will be difficult to significantly offset this position </w:t>
            </w:r>
            <w:r>
              <w:rPr>
                <w:rFonts w:cs="Arial" w:ascii="Arial" w:hAnsi="Arial"/>
                <w:b/>
                <w:bCs/>
                <w:i/>
                <w:iCs/>
                <w:color w:val="FF0000"/>
                <w:sz w:val="20"/>
              </w:rPr>
              <w:t>in its entirety</w:t>
            </w:r>
            <w:r>
              <w:rPr>
                <w:rFonts w:cs="Arial" w:ascii="Arial" w:hAnsi="Arial"/>
                <w:sz w:val="20"/>
              </w:rPr>
              <w:t xml:space="preserve">. </w:t>
            </w:r>
          </w:p>
        </w:tc>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cs="Arial"/>
                <w:sz w:val="20"/>
              </w:rPr>
            </w:pPr>
            <w:r>
              <w:rPr>
                <w:rFonts w:cs="Arial" w:ascii="Arial" w:hAnsi="Arial"/>
                <w:sz w:val="20"/>
              </w:rPr>
            </w:r>
          </w:p>
          <w:p>
            <w:pPr>
              <w:pStyle w:val="Normal"/>
              <w:numPr>
                <w:ilvl w:val="0"/>
                <w:numId w:val="6"/>
              </w:numPr>
              <w:jc w:val="both"/>
              <w:rPr>
                <w:rFonts w:ascii="Arial" w:hAnsi="Arial" w:cs="Arial"/>
                <w:sz w:val="20"/>
              </w:rPr>
            </w:pPr>
            <w:r>
              <w:rPr>
                <w:rFonts w:cs="Arial" w:ascii="Arial" w:hAnsi="Arial"/>
                <w:b/>
                <w:bCs/>
                <w:i/>
                <w:iCs/>
                <w:color w:val="FF0000"/>
                <w:sz w:val="20"/>
              </w:rPr>
              <w:t>Current liquidity for crude/products extends out 18 months to 2 years which will provide some ability to hedge short-term exposure.</w:t>
            </w:r>
          </w:p>
          <w:p>
            <w:pPr>
              <w:pStyle w:val="Normal"/>
              <w:numPr>
                <w:ilvl w:val="0"/>
                <w:numId w:val="6"/>
              </w:numPr>
              <w:jc w:val="both"/>
              <w:rPr>
                <w:rFonts w:ascii="Arial" w:hAnsi="Arial" w:cs="Arial"/>
                <w:sz w:val="20"/>
              </w:rPr>
            </w:pPr>
            <w:r>
              <w:rPr>
                <w:rFonts w:cs="Arial" w:ascii="Arial" w:hAnsi="Arial"/>
                <w:b/>
                <w:bCs/>
                <w:i/>
                <w:iCs/>
                <w:color w:val="FF0000"/>
                <w:sz w:val="20"/>
              </w:rPr>
              <w:t>This analysis does NOT include any defensive/range trading measures which the traders will monitor on an ongoing basis.</w:t>
            </w:r>
          </w:p>
          <w:p>
            <w:pPr>
              <w:pStyle w:val="Normal"/>
              <w:numPr>
                <w:ilvl w:val="0"/>
                <w:numId w:val="6"/>
              </w:numPr>
              <w:jc w:val="both"/>
              <w:rPr>
                <w:rFonts w:ascii="Arial" w:hAnsi="Arial" w:cs="Arial"/>
                <w:sz w:val="20"/>
              </w:rPr>
            </w:pPr>
            <w:r>
              <w:rPr>
                <w:rFonts w:cs="Arial" w:ascii="Arial" w:hAnsi="Arial"/>
                <w:b/>
                <w:bCs/>
                <w:i/>
                <w:iCs/>
                <w:color w:val="FF0000"/>
                <w:sz w:val="20"/>
              </w:rPr>
              <w:t>??? should we reference that the lack of long-dated positions also avoids the requirement for big unwind costs???</w:t>
            </w:r>
          </w:p>
          <w:p>
            <w:pPr>
              <w:pStyle w:val="Normal"/>
              <w:numPr>
                <w:ilvl w:val="0"/>
                <w:numId w:val="6"/>
              </w:numPr>
              <w:jc w:val="both"/>
              <w:rPr>
                <w:rFonts w:ascii="Arial" w:hAnsi="Arial" w:cs="Arial"/>
                <w:sz w:val="20"/>
              </w:rPr>
            </w:pPr>
            <w:r>
              <w:rPr>
                <w:rFonts w:cs="Arial" w:ascii="Arial" w:hAnsi="Arial"/>
                <w:b/>
                <w:bCs/>
                <w:i/>
                <w:iCs/>
                <w:color w:val="FF0000"/>
                <w:sz w:val="20"/>
              </w:rPr>
              <w:t xml:space="preserve">The absence of a liquid market beyond 2 years also implies a theoretical limit on volatility and </w:t>
            </w:r>
            <w:hyperlink r:id="rId6">
              <w:r>
                <w:rPr>
                  <w:rStyle w:val="Hyperlink"/>
                  <w:rFonts w:cs="Arial" w:ascii="Arial" w:hAnsi="Arial"/>
                  <w:b/>
                  <w:bCs/>
                  <w:i/>
                  <w:iCs/>
                  <w:sz w:val="20"/>
                </w:rPr>
                <w:t>V@R</w:t>
              </w:r>
            </w:hyperlink>
            <w:r>
              <w:rPr>
                <w:rFonts w:cs="Arial" w:ascii="Arial" w:hAnsi="Arial"/>
                <w:b/>
                <w:bCs/>
                <w:i/>
                <w:iCs/>
                <w:color w:val="FF0000"/>
                <w:sz w:val="20"/>
              </w:rPr>
              <w:t xml:space="preserve"> which means the conventional approach may be overstating the risk in this position.  As the crack spread is supported in the long run by incremental refining costs, this provides some degree of  downside protection.</w:t>
            </w:r>
          </w:p>
        </w:tc>
      </w:tr>
      <w:tr>
        <w:trPr/>
        <w:tc>
          <w:tcPr>
            <w:tcW w:w="5310" w:type="dxa"/>
            <w:tcBorders>
              <w:top w:val="single" w:sz="6" w:space="0" w:color="000000"/>
              <w:start w:val="single" w:sz="6" w:space="0" w:color="000000"/>
              <w:bottom w:val="single" w:sz="6" w:space="0" w:color="000000"/>
              <w:end w:val="single" w:sz="6" w:space="0" w:color="000000"/>
            </w:tcBorders>
          </w:tcPr>
          <w:p>
            <w:pPr>
              <w:pStyle w:val="Heading1"/>
              <w:ind w:hanging="0" w:start="0"/>
              <w:rPr>
                <w:rFonts w:ascii="Arial" w:hAnsi="Arial" w:cs="Arial"/>
              </w:rPr>
            </w:pPr>
            <w:r>
              <w:rPr>
                <w:rFonts w:cs="Arial" w:ascii="Arial" w:hAnsi="Arial"/>
              </w:rPr>
              <w:t>Sponsor Issues</w:t>
            </w:r>
          </w:p>
          <w:p>
            <w:pPr>
              <w:pStyle w:val="Normal"/>
              <w:numPr>
                <w:ilvl w:val="0"/>
                <w:numId w:val="2"/>
              </w:numPr>
              <w:rPr>
                <w:rFonts w:ascii="Arial" w:hAnsi="Arial" w:cs="Arial"/>
                <w:sz w:val="20"/>
              </w:rPr>
            </w:pPr>
            <w:r>
              <w:rPr>
                <w:rFonts w:cs="Arial" w:ascii="Arial" w:hAnsi="Arial"/>
                <w:sz w:val="20"/>
              </w:rPr>
              <w:t xml:space="preserve">Two of the </w:t>
            </w:r>
            <w:r>
              <w:rPr>
                <w:rFonts w:cs="Arial" w:ascii="Arial" w:hAnsi="Arial"/>
                <w:b/>
                <w:bCs/>
                <w:i/>
                <w:iCs/>
                <w:color w:val="FF0000"/>
                <w:sz w:val="20"/>
              </w:rPr>
              <w:t>principals</w:t>
            </w:r>
            <w:r>
              <w:rPr>
                <w:rFonts w:cs="Arial" w:ascii="Arial" w:hAnsi="Arial"/>
                <w:sz w:val="20"/>
              </w:rPr>
              <w:t xml:space="preserve"> involved in the transaction have multiple personal lawsuits and tax liens in their backgrounds.</w:t>
            </w:r>
          </w:p>
          <w:p>
            <w:pPr>
              <w:pStyle w:val="Normal"/>
              <w:numPr>
                <w:ilvl w:val="0"/>
                <w:numId w:val="2"/>
              </w:numPr>
              <w:rPr>
                <w:rFonts w:ascii="Arial" w:hAnsi="Arial" w:cs="Arial"/>
                <w:sz w:val="20"/>
              </w:rPr>
            </w:pPr>
            <w:r>
              <w:rPr>
                <w:rFonts w:cs="Arial" w:ascii="Arial" w:hAnsi="Arial"/>
                <w:sz w:val="20"/>
              </w:rPr>
              <w:t>Little real equity is being contributed to the project by its sponsors.</w:t>
            </w:r>
          </w:p>
        </w:tc>
        <w:tc>
          <w:tcPr>
            <w:tcW w:w="4680" w:type="dxa"/>
            <w:tcBorders>
              <w:top w:val="single" w:sz="6" w:space="0" w:color="000000"/>
              <w:start w:val="single" w:sz="6" w:space="0" w:color="000000"/>
              <w:bottom w:val="single" w:sz="6" w:space="0" w:color="000000"/>
              <w:end w:val="single" w:sz="6" w:space="0" w:color="000000"/>
            </w:tcBorders>
          </w:tcPr>
          <w:p>
            <w:pPr>
              <w:pStyle w:val="Normal"/>
              <w:numPr>
                <w:ilvl w:val="0"/>
                <w:numId w:val="2"/>
              </w:numPr>
              <w:jc w:val="both"/>
              <w:rPr>
                <w:rFonts w:ascii="Arial" w:hAnsi="Arial" w:cs="Arial"/>
                <w:sz w:val="20"/>
              </w:rPr>
            </w:pPr>
            <w:r>
              <w:rPr>
                <w:rFonts w:cs="Arial" w:ascii="Arial" w:hAnsi="Arial"/>
                <w:sz w:val="20"/>
              </w:rPr>
              <w:t>GAF will be bankruptcy remote, thereby isolating it from its equity sponsors.</w:t>
            </w:r>
            <w:r>
              <w:rPr>
                <w:rFonts w:cs="Arial" w:ascii="Arial" w:hAnsi="Arial"/>
                <w:b/>
                <w:bCs/>
                <w:i/>
                <w:iCs/>
                <w:color w:val="FF0000"/>
                <w:sz w:val="20"/>
              </w:rPr>
              <w:t xml:space="preserve">  Neither of these principals will be on the board or involved in day to day operations or decisions.</w:t>
            </w:r>
          </w:p>
          <w:p>
            <w:pPr>
              <w:pStyle w:val="Normal"/>
              <w:numPr>
                <w:ilvl w:val="0"/>
                <w:numId w:val="2"/>
              </w:numPr>
              <w:jc w:val="both"/>
              <w:rPr>
                <w:rFonts w:ascii="Arial" w:hAnsi="Arial" w:cs="Arial"/>
                <w:sz w:val="20"/>
              </w:rPr>
            </w:pPr>
            <w:r>
              <w:rPr>
                <w:rFonts w:cs="Arial" w:ascii="Arial" w:hAnsi="Arial"/>
                <w:sz w:val="20"/>
              </w:rPr>
              <w:t>Interests of Enron and the debt holders will be represented on the GAF BOD by independent directors.</w:t>
            </w:r>
          </w:p>
          <w:p>
            <w:pPr>
              <w:pStyle w:val="Normal"/>
              <w:numPr>
                <w:ilvl w:val="0"/>
                <w:numId w:val="2"/>
              </w:numPr>
              <w:jc w:val="both"/>
              <w:rPr>
                <w:rFonts w:ascii="Arial" w:hAnsi="Arial" w:cs="Arial"/>
                <w:sz w:val="20"/>
              </w:rPr>
            </w:pPr>
            <w:r>
              <w:rPr>
                <w:rFonts w:cs="Arial" w:ascii="Arial" w:hAnsi="Arial"/>
                <w:b/>
                <w:bCs/>
                <w:i/>
                <w:iCs/>
                <w:color w:val="FF0000"/>
                <w:sz w:val="20"/>
              </w:rPr>
              <w:t>EGM will have “visitation rights” at all board meetings.</w:t>
            </w:r>
          </w:p>
          <w:p>
            <w:pPr>
              <w:pStyle w:val="Normal"/>
              <w:numPr>
                <w:ilvl w:val="0"/>
                <w:numId w:val="2"/>
              </w:numPr>
              <w:jc w:val="both"/>
              <w:rPr>
                <w:rFonts w:ascii="Arial" w:hAnsi="Arial" w:cs="Arial"/>
                <w:sz w:val="20"/>
              </w:rPr>
            </w:pPr>
            <w:r>
              <w:rPr>
                <w:rFonts w:cs="Arial" w:ascii="Arial" w:hAnsi="Arial"/>
                <w:sz w:val="20"/>
              </w:rPr>
              <w:t>Supermajority voting provisions will be required for:</w:t>
            </w:r>
          </w:p>
          <w:p>
            <w:pPr>
              <w:pStyle w:val="Normal"/>
              <w:numPr>
                <w:ilvl w:val="1"/>
                <w:numId w:val="2"/>
              </w:numPr>
              <w:jc w:val="both"/>
              <w:rPr>
                <w:rFonts w:ascii="Arial" w:hAnsi="Arial" w:cs="Arial"/>
                <w:b/>
                <w:bCs/>
                <w:i/>
                <w:i/>
                <w:iCs/>
                <w:color w:val="FF0000"/>
                <w:sz w:val="20"/>
              </w:rPr>
            </w:pPr>
            <w:r>
              <w:rPr>
                <w:rFonts w:cs="Arial" w:ascii="Arial" w:hAnsi="Arial"/>
                <w:b/>
                <w:bCs/>
                <w:i/>
                <w:iCs/>
                <w:color w:val="FF0000"/>
                <w:sz w:val="20"/>
              </w:rPr>
              <w:t>Distribution of cash/dividends</w:t>
            </w:r>
          </w:p>
          <w:p>
            <w:pPr>
              <w:pStyle w:val="Normal"/>
              <w:numPr>
                <w:ilvl w:val="1"/>
                <w:numId w:val="2"/>
              </w:numPr>
              <w:jc w:val="both"/>
              <w:rPr>
                <w:rFonts w:ascii="Arial" w:hAnsi="Arial" w:cs="Arial"/>
                <w:b/>
                <w:bCs/>
                <w:i/>
                <w:i/>
                <w:iCs/>
                <w:color w:val="FF0000"/>
                <w:sz w:val="20"/>
              </w:rPr>
            </w:pPr>
            <w:r>
              <w:rPr>
                <w:rFonts w:cs="Arial" w:ascii="Arial" w:hAnsi="Arial"/>
                <w:b/>
                <w:bCs/>
                <w:i/>
                <w:iCs/>
                <w:color w:val="FF0000"/>
                <w:sz w:val="20"/>
              </w:rPr>
              <w:t>Incurrence of debt (threshold)</w:t>
            </w:r>
          </w:p>
          <w:p>
            <w:pPr>
              <w:pStyle w:val="Normal"/>
              <w:numPr>
                <w:ilvl w:val="1"/>
                <w:numId w:val="2"/>
              </w:numPr>
              <w:jc w:val="both"/>
              <w:rPr>
                <w:rFonts w:ascii="Arial" w:hAnsi="Arial" w:cs="Arial"/>
                <w:b/>
                <w:bCs/>
                <w:i/>
                <w:i/>
                <w:iCs/>
                <w:color w:val="FF0000"/>
                <w:sz w:val="20"/>
              </w:rPr>
            </w:pPr>
            <w:r>
              <w:rPr>
                <w:rFonts w:cs="Arial" w:ascii="Arial" w:hAnsi="Arial"/>
                <w:b/>
                <w:bCs/>
                <w:i/>
                <w:iCs/>
                <w:color w:val="FF0000"/>
                <w:sz w:val="20"/>
              </w:rPr>
              <w:t>Selection of auditors</w:t>
            </w:r>
          </w:p>
          <w:p>
            <w:pPr>
              <w:pStyle w:val="Normal"/>
              <w:numPr>
                <w:ilvl w:val="1"/>
                <w:numId w:val="2"/>
              </w:numPr>
              <w:jc w:val="both"/>
              <w:rPr>
                <w:rFonts w:ascii="Arial" w:hAnsi="Arial" w:cs="Arial"/>
                <w:b/>
                <w:bCs/>
                <w:i/>
                <w:i/>
                <w:iCs/>
                <w:color w:val="FF0000"/>
                <w:sz w:val="20"/>
              </w:rPr>
            </w:pPr>
            <w:r>
              <w:rPr>
                <w:rFonts w:cs="Arial" w:ascii="Arial" w:hAnsi="Arial"/>
                <w:b/>
                <w:bCs/>
                <w:i/>
                <w:iCs/>
                <w:color w:val="FF0000"/>
                <w:sz w:val="20"/>
              </w:rPr>
              <w:t>Change in accounting principals</w:t>
            </w:r>
          </w:p>
          <w:p>
            <w:pPr>
              <w:pStyle w:val="Normal"/>
              <w:numPr>
                <w:ilvl w:val="1"/>
                <w:numId w:val="2"/>
              </w:numPr>
              <w:jc w:val="both"/>
              <w:rPr>
                <w:rFonts w:ascii="Arial" w:hAnsi="Arial" w:cs="Arial"/>
                <w:b/>
                <w:bCs/>
                <w:i/>
                <w:i/>
                <w:iCs/>
                <w:color w:val="FF0000"/>
                <w:sz w:val="20"/>
              </w:rPr>
            </w:pPr>
            <w:r>
              <w:rPr>
                <w:rFonts w:cs="Arial" w:ascii="Arial" w:hAnsi="Arial"/>
                <w:b/>
                <w:bCs/>
                <w:i/>
                <w:iCs/>
                <w:color w:val="FF0000"/>
                <w:sz w:val="20"/>
              </w:rPr>
              <w:t>Operating budgets</w:t>
            </w:r>
          </w:p>
          <w:p>
            <w:pPr>
              <w:pStyle w:val="Normal"/>
              <w:numPr>
                <w:ilvl w:val="1"/>
                <w:numId w:val="2"/>
              </w:numPr>
              <w:jc w:val="both"/>
              <w:rPr>
                <w:rFonts w:ascii="Arial" w:hAnsi="Arial" w:cs="Arial"/>
                <w:b/>
                <w:bCs/>
                <w:i/>
                <w:i/>
                <w:iCs/>
                <w:color w:val="FF0000"/>
                <w:sz w:val="20"/>
              </w:rPr>
            </w:pPr>
            <w:r>
              <w:rPr>
                <w:rFonts w:cs="Arial" w:ascii="Arial" w:hAnsi="Arial"/>
                <w:b/>
                <w:bCs/>
                <w:i/>
                <w:iCs/>
                <w:color w:val="FF0000"/>
                <w:sz w:val="20"/>
              </w:rPr>
              <w:t>Capital expenditures (threshold)</w:t>
            </w:r>
          </w:p>
          <w:p>
            <w:pPr>
              <w:pStyle w:val="Normal"/>
              <w:numPr>
                <w:ilvl w:val="1"/>
                <w:numId w:val="2"/>
              </w:numPr>
              <w:jc w:val="both"/>
              <w:rPr>
                <w:rFonts w:ascii="Arial" w:hAnsi="Arial" w:cs="Arial"/>
                <w:b/>
                <w:bCs/>
                <w:i/>
                <w:i/>
                <w:iCs/>
                <w:color w:val="FF0000"/>
                <w:sz w:val="20"/>
              </w:rPr>
            </w:pPr>
            <w:r>
              <w:rPr>
                <w:rFonts w:cs="Arial" w:ascii="Arial" w:hAnsi="Arial"/>
                <w:b/>
                <w:bCs/>
                <w:i/>
                <w:iCs/>
                <w:color w:val="FF0000"/>
                <w:sz w:val="20"/>
              </w:rPr>
              <w:t>Execution of contracts (threshold)</w:t>
            </w:r>
          </w:p>
          <w:p>
            <w:pPr>
              <w:pStyle w:val="Normal"/>
              <w:numPr>
                <w:ilvl w:val="1"/>
                <w:numId w:val="2"/>
              </w:numPr>
              <w:jc w:val="both"/>
              <w:rPr>
                <w:rFonts w:ascii="Arial" w:hAnsi="Arial" w:cs="Arial"/>
                <w:b/>
                <w:bCs/>
                <w:i/>
                <w:i/>
                <w:iCs/>
                <w:color w:val="FF0000"/>
                <w:sz w:val="20"/>
              </w:rPr>
            </w:pPr>
            <w:r>
              <w:rPr>
                <w:rFonts w:cs="Arial" w:ascii="Arial" w:hAnsi="Arial"/>
                <w:b/>
                <w:bCs/>
                <w:i/>
                <w:iCs/>
                <w:color w:val="FF0000"/>
                <w:sz w:val="20"/>
              </w:rPr>
              <w:t>Environmental/regulatory policies</w:t>
            </w:r>
          </w:p>
          <w:p>
            <w:pPr>
              <w:pStyle w:val="Normal"/>
              <w:numPr>
                <w:ilvl w:val="1"/>
                <w:numId w:val="2"/>
              </w:numPr>
              <w:jc w:val="both"/>
              <w:rPr>
                <w:rFonts w:ascii="Arial" w:hAnsi="Arial" w:cs="Arial"/>
                <w:b/>
                <w:bCs/>
                <w:i/>
                <w:i/>
                <w:iCs/>
                <w:color w:val="FF0000"/>
                <w:sz w:val="20"/>
              </w:rPr>
            </w:pPr>
            <w:r>
              <w:rPr>
                <w:rFonts w:cs="Arial" w:ascii="Arial" w:hAnsi="Arial"/>
                <w:b/>
                <w:bCs/>
                <w:i/>
                <w:iCs/>
                <w:color w:val="FF0000"/>
                <w:sz w:val="20"/>
              </w:rPr>
              <w:t>Appointment of officers/directors</w:t>
            </w:r>
          </w:p>
          <w:p>
            <w:pPr>
              <w:pStyle w:val="Normal"/>
              <w:numPr>
                <w:ilvl w:val="1"/>
                <w:numId w:val="2"/>
              </w:numPr>
              <w:jc w:val="both"/>
              <w:rPr>
                <w:rFonts w:ascii="Arial" w:hAnsi="Arial" w:cs="Arial"/>
                <w:b/>
                <w:bCs/>
                <w:i/>
                <w:i/>
                <w:iCs/>
                <w:color w:val="FF0000"/>
                <w:sz w:val="20"/>
              </w:rPr>
            </w:pPr>
            <w:r>
              <w:rPr>
                <w:rFonts w:cs="Arial" w:ascii="Arial" w:hAnsi="Arial"/>
                <w:b/>
                <w:bCs/>
                <w:i/>
                <w:iCs/>
                <w:color w:val="FF0000"/>
                <w:sz w:val="20"/>
              </w:rPr>
              <w:t>Compensation/bonuses</w:t>
            </w:r>
          </w:p>
          <w:p>
            <w:pPr>
              <w:pStyle w:val="Normal"/>
              <w:numPr>
                <w:ilvl w:val="1"/>
                <w:numId w:val="2"/>
              </w:numPr>
              <w:jc w:val="both"/>
              <w:rPr>
                <w:rFonts w:ascii="Arial" w:hAnsi="Arial" w:cs="Arial"/>
                <w:b/>
                <w:bCs/>
                <w:i/>
                <w:i/>
                <w:iCs/>
                <w:color w:val="FF0000"/>
                <w:sz w:val="20"/>
              </w:rPr>
            </w:pPr>
            <w:r>
              <w:rPr>
                <w:rFonts w:cs="Arial" w:ascii="Arial" w:hAnsi="Arial"/>
                <w:b/>
                <w:bCs/>
                <w:i/>
                <w:iCs/>
                <w:color w:val="FF0000"/>
                <w:sz w:val="20"/>
              </w:rPr>
              <w:t>Transactions between subsidiaries or affiliates</w:t>
            </w:r>
          </w:p>
          <w:p>
            <w:pPr>
              <w:pStyle w:val="Normal"/>
              <w:numPr>
                <w:ilvl w:val="1"/>
                <w:numId w:val="2"/>
              </w:numPr>
              <w:jc w:val="both"/>
              <w:rPr>
                <w:rFonts w:ascii="Arial" w:hAnsi="Arial" w:cs="Arial"/>
                <w:b/>
                <w:bCs/>
                <w:i/>
                <w:i/>
                <w:iCs/>
                <w:color w:val="FF0000"/>
                <w:sz w:val="20"/>
              </w:rPr>
            </w:pPr>
            <w:r>
              <w:rPr>
                <w:rFonts w:cs="Arial" w:ascii="Arial" w:hAnsi="Arial"/>
                <w:b/>
                <w:bCs/>
                <w:i/>
                <w:iCs/>
                <w:color w:val="FF0000"/>
                <w:sz w:val="20"/>
              </w:rPr>
              <w:t>Petition for bankruptcy</w:t>
            </w:r>
          </w:p>
          <w:p>
            <w:pPr>
              <w:pStyle w:val="Normal"/>
              <w:numPr>
                <w:ilvl w:val="1"/>
                <w:numId w:val="2"/>
              </w:numPr>
              <w:jc w:val="both"/>
              <w:rPr>
                <w:rFonts w:ascii="Arial" w:hAnsi="Arial" w:cs="Arial"/>
                <w:b/>
                <w:bCs/>
                <w:i/>
                <w:i/>
                <w:iCs/>
                <w:color w:val="FF0000"/>
                <w:sz w:val="20"/>
              </w:rPr>
            </w:pPr>
            <w:r>
              <w:rPr>
                <w:rFonts w:cs="Arial" w:ascii="Arial" w:hAnsi="Arial"/>
                <w:b/>
                <w:bCs/>
                <w:i/>
                <w:iCs/>
                <w:color w:val="FF0000"/>
                <w:sz w:val="20"/>
              </w:rPr>
              <w:t>Transfer/sale/disposition of any assets</w:t>
            </w:r>
          </w:p>
          <w:p>
            <w:pPr>
              <w:pStyle w:val="Normal"/>
              <w:numPr>
                <w:ilvl w:val="0"/>
                <w:numId w:val="2"/>
              </w:numPr>
              <w:jc w:val="both"/>
              <w:rPr>
                <w:rFonts w:ascii="Arial" w:hAnsi="Arial" w:cs="Arial"/>
                <w:b/>
                <w:bCs/>
                <w:i/>
                <w:i/>
                <w:iCs/>
                <w:color w:val="FF0000"/>
                <w:sz w:val="20"/>
              </w:rPr>
            </w:pPr>
            <w:r>
              <w:rPr>
                <w:rFonts w:cs="Arial" w:ascii="Arial" w:hAnsi="Arial"/>
                <w:b/>
                <w:bCs/>
                <w:i/>
                <w:iCs/>
                <w:color w:val="FF0000"/>
                <w:sz w:val="20"/>
              </w:rPr>
              <w:t>EGM will participate in Monthly Management Committee meetings</w:t>
            </w:r>
          </w:p>
          <w:p>
            <w:pPr>
              <w:pStyle w:val="Normal"/>
              <w:numPr>
                <w:ilvl w:val="0"/>
                <w:numId w:val="2"/>
              </w:numPr>
              <w:jc w:val="both"/>
              <w:rPr>
                <w:rFonts w:ascii="Arial" w:hAnsi="Arial" w:cs="Arial"/>
                <w:sz w:val="20"/>
              </w:rPr>
            </w:pPr>
            <w:r>
              <w:rPr>
                <w:rFonts w:cs="Arial" w:ascii="Arial" w:hAnsi="Arial"/>
                <w:b/>
                <w:bCs/>
                <w:i/>
                <w:iCs/>
                <w:color w:val="FF0000"/>
                <w:sz w:val="20"/>
              </w:rPr>
              <w:t>Restrictive and negative covenants on stock, collateral, cash flows, etc…</w:t>
            </w:r>
          </w:p>
          <w:p>
            <w:pPr>
              <w:pStyle w:val="Normal"/>
              <w:numPr>
                <w:ilvl w:val="0"/>
                <w:numId w:val="2"/>
              </w:numPr>
              <w:jc w:val="both"/>
              <w:rPr>
                <w:rFonts w:ascii="Arial" w:hAnsi="Arial" w:cs="Arial"/>
                <w:sz w:val="20"/>
              </w:rPr>
            </w:pPr>
            <w:r>
              <w:rPr>
                <w:rFonts w:cs="Arial" w:ascii="Arial" w:hAnsi="Arial"/>
                <w:b/>
                <w:bCs/>
                <w:i/>
                <w:iCs/>
                <w:color w:val="FF0000"/>
                <w:sz w:val="20"/>
              </w:rPr>
              <w:t>The third principal, who will be Pres/CEO of GAF, does have an extensive refining background - over 35 years with Texaco and Farmland (at the target refinery) and has managed projects of this size and larger.  External sources confirmed his prior work history, operational background and character to be excellent.</w:t>
            </w:r>
          </w:p>
          <w:p>
            <w:pPr>
              <w:pStyle w:val="Normal"/>
              <w:numPr>
                <w:ilvl w:val="0"/>
                <w:numId w:val="2"/>
              </w:numPr>
              <w:jc w:val="both"/>
              <w:rPr>
                <w:rFonts w:ascii="Arial" w:hAnsi="Arial" w:cs="Arial"/>
                <w:sz w:val="20"/>
              </w:rPr>
            </w:pPr>
            <w:r>
              <w:rPr>
                <w:rFonts w:cs="Arial" w:ascii="Arial" w:hAnsi="Arial"/>
                <w:b/>
                <w:bCs/>
                <w:i/>
                <w:iCs/>
                <w:color w:val="FF0000"/>
                <w:sz w:val="20"/>
              </w:rPr>
              <w:t>Primary existing refinery personnel will be retained and augmented by reputable third-party contract operators/personnel (PhillipsServices).</w:t>
            </w:r>
            <w:r>
              <w:rPr>
                <w:rFonts w:cs="Arial" w:ascii="Arial" w:hAnsi="Arial"/>
                <w:sz w:val="20"/>
              </w:rPr>
              <w:t xml:space="preserve"> </w:t>
              <w:br/>
            </w:r>
          </w:p>
        </w:tc>
      </w:tr>
      <w:tr>
        <w:trPr/>
        <w:tc>
          <w:tcPr>
            <w:tcW w:w="5310" w:type="dxa"/>
            <w:tcBorders>
              <w:top w:val="single" w:sz="6" w:space="0" w:color="000000"/>
              <w:start w:val="single" w:sz="6" w:space="0" w:color="000000"/>
              <w:bottom w:val="single" w:sz="6" w:space="0" w:color="000000"/>
              <w:end w:val="single" w:sz="6" w:space="0" w:color="000000"/>
            </w:tcBorders>
          </w:tcPr>
          <w:p>
            <w:pPr>
              <w:pStyle w:val="Heading1"/>
              <w:ind w:hanging="0" w:start="0"/>
              <w:rPr>
                <w:rFonts w:ascii="Arial" w:hAnsi="Arial" w:cs="Arial"/>
              </w:rPr>
            </w:pPr>
            <w:r>
              <w:rPr>
                <w:rFonts w:cs="Arial" w:ascii="Arial" w:hAnsi="Arial"/>
              </w:rPr>
              <w:t>Financing Risks</w:t>
            </w:r>
          </w:p>
          <w:p>
            <w:pPr>
              <w:pStyle w:val="Normal"/>
              <w:numPr>
                <w:ilvl w:val="0"/>
                <w:numId w:val="15"/>
              </w:numPr>
              <w:tabs>
                <w:tab w:val="clear" w:pos="720"/>
                <w:tab w:val="left" w:pos="342" w:leader="none"/>
              </w:tabs>
              <w:ind w:hanging="360" w:start="342" w:end="0"/>
              <w:rPr>
                <w:rFonts w:ascii="Arial" w:hAnsi="Arial" w:cs="Arial"/>
                <w:sz w:val="20"/>
              </w:rPr>
            </w:pPr>
            <w:r>
              <w:rPr>
                <w:rFonts w:cs="Arial" w:ascii="Arial" w:hAnsi="Arial"/>
                <w:sz w:val="20"/>
              </w:rPr>
              <w:t>Morgan Stanley may not be successful in issuing 144A securities for GAF.</w:t>
            </w:r>
          </w:p>
          <w:p>
            <w:pPr>
              <w:pStyle w:val="Normal"/>
              <w:numPr>
                <w:ilvl w:val="0"/>
                <w:numId w:val="15"/>
              </w:numPr>
              <w:tabs>
                <w:tab w:val="clear" w:pos="720"/>
                <w:tab w:val="left" w:pos="342" w:leader="none"/>
              </w:tabs>
              <w:ind w:hanging="360" w:start="342" w:end="0"/>
              <w:rPr>
                <w:rFonts w:ascii="Arial" w:hAnsi="Arial" w:cs="Arial"/>
                <w:sz w:val="20"/>
              </w:rPr>
            </w:pPr>
            <w:r>
              <w:rPr>
                <w:rFonts w:cs="Arial" w:ascii="Arial" w:hAnsi="Arial"/>
                <w:sz w:val="20"/>
              </w:rPr>
            </w:r>
          </w:p>
        </w:tc>
        <w:tc>
          <w:tcPr>
            <w:tcW w:w="4680" w:type="dxa"/>
            <w:tcBorders>
              <w:top w:val="single" w:sz="6" w:space="0" w:color="000000"/>
              <w:start w:val="single" w:sz="6" w:space="0" w:color="000000"/>
              <w:bottom w:val="single" w:sz="6" w:space="0" w:color="000000"/>
              <w:end w:val="single" w:sz="6" w:space="0" w:color="000000"/>
            </w:tcBorders>
          </w:tcPr>
          <w:p>
            <w:pPr>
              <w:pStyle w:val="Normal"/>
              <w:numPr>
                <w:ilvl w:val="0"/>
                <w:numId w:val="2"/>
              </w:numPr>
              <w:jc w:val="both"/>
              <w:rPr>
                <w:rFonts w:ascii="Arial" w:hAnsi="Arial" w:cs="Arial"/>
                <w:sz w:val="20"/>
              </w:rPr>
            </w:pPr>
            <w:r>
              <w:rPr>
                <w:rFonts w:cs="Arial" w:ascii="Arial" w:hAnsi="Arial"/>
                <w:sz w:val="20"/>
              </w:rPr>
              <w:t>The Morgan bridge loan will convert to a term facility should the 144A issuance not be successful.</w:t>
            </w:r>
          </w:p>
        </w:tc>
      </w:tr>
      <w:tr>
        <w:trPr/>
        <w:tc>
          <w:tcPr>
            <w:tcW w:w="5310" w:type="dxa"/>
            <w:tcBorders>
              <w:top w:val="single" w:sz="6" w:space="0" w:color="000000"/>
              <w:start w:val="single" w:sz="6" w:space="0" w:color="000000"/>
              <w:bottom w:val="single" w:sz="6" w:space="0" w:color="000000"/>
              <w:end w:val="single" w:sz="6" w:space="0" w:color="000000"/>
            </w:tcBorders>
          </w:tcPr>
          <w:p>
            <w:pPr>
              <w:pStyle w:val="Heading1"/>
              <w:ind w:hanging="0" w:start="0"/>
              <w:rPr/>
            </w:pPr>
            <w:r>
              <w:rPr>
                <w:rFonts w:cs="Arial" w:ascii="Arial" w:hAnsi="Arial"/>
                <w:bCs/>
                <w:szCs w:val="24"/>
              </w:rPr>
              <w:t>Capital Expenditures</w:t>
            </w:r>
            <w:r>
              <w:rPr>
                <w:rFonts w:cs="Arial" w:ascii="Arial" w:hAnsi="Arial"/>
              </w:rPr>
              <w:t xml:space="preserve"> </w:t>
            </w:r>
          </w:p>
          <w:p>
            <w:pPr>
              <w:pStyle w:val="Normal"/>
              <w:numPr>
                <w:ilvl w:val="0"/>
                <w:numId w:val="2"/>
              </w:numPr>
              <w:rPr>
                <w:rFonts w:ascii="Arial" w:hAnsi="Arial" w:cs="Arial"/>
                <w:sz w:val="20"/>
              </w:rPr>
            </w:pPr>
            <w:r>
              <w:rPr>
                <w:rFonts w:cs="Arial" w:ascii="Arial" w:hAnsi="Arial"/>
                <w:b/>
                <w:bCs/>
                <w:i/>
                <w:iCs/>
                <w:color w:val="FF0000"/>
                <w:sz w:val="20"/>
              </w:rPr>
              <w:t>$190 million</w:t>
            </w:r>
            <w:r>
              <w:rPr>
                <w:rFonts w:cs="Arial" w:ascii="Arial" w:hAnsi="Arial"/>
                <w:sz w:val="20"/>
              </w:rPr>
              <w:t xml:space="preserve"> funded from refinery cashflow.</w:t>
            </w:r>
          </w:p>
          <w:p>
            <w:pPr>
              <w:pStyle w:val="Normal"/>
              <w:numPr>
                <w:ilvl w:val="1"/>
                <w:numId w:val="2"/>
              </w:numPr>
              <w:rPr>
                <w:rFonts w:ascii="Arial" w:hAnsi="Arial" w:cs="Arial"/>
                <w:b/>
                <w:bCs/>
                <w:i/>
                <w:i/>
                <w:iCs/>
                <w:color w:val="FF0000"/>
                <w:sz w:val="20"/>
              </w:rPr>
            </w:pPr>
            <w:r>
              <w:rPr>
                <w:rFonts w:cs="Arial" w:ascii="Arial" w:hAnsi="Arial"/>
                <w:b/>
                <w:bCs/>
                <w:i/>
                <w:iCs/>
                <w:color w:val="FF0000"/>
                <w:sz w:val="20"/>
              </w:rPr>
              <w:t>$90 million for Tier 2 (EPA) compliance</w:t>
            </w:r>
          </w:p>
          <w:p>
            <w:pPr>
              <w:pStyle w:val="Normal"/>
              <w:numPr>
                <w:ilvl w:val="1"/>
                <w:numId w:val="2"/>
              </w:numPr>
              <w:rPr>
                <w:rFonts w:ascii="Arial" w:hAnsi="Arial" w:cs="Arial"/>
                <w:b/>
                <w:bCs/>
                <w:i/>
                <w:i/>
                <w:iCs/>
                <w:color w:val="FF0000"/>
                <w:sz w:val="20"/>
              </w:rPr>
            </w:pPr>
            <w:r>
              <w:rPr>
                <w:rFonts w:cs="Arial" w:ascii="Arial" w:hAnsi="Arial"/>
                <w:b/>
                <w:bCs/>
                <w:i/>
                <w:iCs/>
                <w:color w:val="FF0000"/>
                <w:sz w:val="20"/>
              </w:rPr>
              <w:t>$100 million for ongoing (sustaining) capex ($10 MM/yr)</w:t>
            </w:r>
          </w:p>
          <w:p>
            <w:pPr>
              <w:pStyle w:val="Normal"/>
              <w:numPr>
                <w:ilvl w:val="0"/>
                <w:numId w:val="2"/>
              </w:numPr>
              <w:rPr>
                <w:rFonts w:ascii="Arial" w:hAnsi="Arial" w:cs="Arial"/>
                <w:sz w:val="20"/>
              </w:rPr>
            </w:pPr>
            <w:r>
              <w:rPr>
                <w:rFonts w:cs="Arial" w:ascii="Arial" w:hAnsi="Arial"/>
                <w:sz w:val="20"/>
              </w:rPr>
              <w:t>Detailed engineering for the Tier 2 upgrades has not been completed by Famland/GAF.</w:t>
              <w:br/>
              <w:t xml:space="preserve">- Capital expenditures </w:t>
            </w:r>
            <w:r>
              <w:rPr>
                <w:rFonts w:cs="Arial" w:ascii="Arial" w:hAnsi="Arial"/>
                <w:b/>
                <w:bCs/>
                <w:i/>
                <w:iCs/>
                <w:color w:val="FF0000"/>
                <w:sz w:val="20"/>
              </w:rPr>
              <w:t>could</w:t>
            </w:r>
            <w:r>
              <w:rPr>
                <w:rFonts w:cs="Arial" w:ascii="Arial" w:hAnsi="Arial"/>
                <w:sz w:val="20"/>
              </w:rPr>
              <w:t xml:space="preserve"> be underestimated.</w:t>
              <w:br/>
              <w:t xml:space="preserve">- Timing of improvements </w:t>
            </w:r>
            <w:r>
              <w:rPr>
                <w:rFonts w:cs="Arial" w:ascii="Arial" w:hAnsi="Arial"/>
                <w:b/>
                <w:bCs/>
                <w:i/>
                <w:iCs/>
                <w:color w:val="FF0000"/>
                <w:sz w:val="20"/>
              </w:rPr>
              <w:t xml:space="preserve">could </w:t>
            </w:r>
            <w:r>
              <w:rPr>
                <w:rFonts w:cs="Arial" w:ascii="Arial" w:hAnsi="Arial"/>
                <w:sz w:val="20"/>
              </w:rPr>
              <w:t>be optimistic.</w:t>
            </w:r>
          </w:p>
          <w:p>
            <w:pPr>
              <w:pStyle w:val="Normal"/>
              <w:numPr>
                <w:ilvl w:val="0"/>
                <w:numId w:val="2"/>
              </w:numPr>
              <w:rPr>
                <w:rFonts w:ascii="Arial" w:hAnsi="Arial" w:cs="Arial"/>
                <w:sz w:val="20"/>
              </w:rPr>
            </w:pPr>
            <w:r>
              <w:rPr>
                <w:rFonts w:cs="Arial" w:ascii="Arial" w:hAnsi="Arial"/>
                <w:sz w:val="20"/>
              </w:rPr>
              <w:t>The project has limited ability to fund higher capital requirements.</w:t>
            </w:r>
          </w:p>
          <w:p>
            <w:pPr>
              <w:pStyle w:val="Normal"/>
              <w:numPr>
                <w:ilvl w:val="0"/>
                <w:numId w:val="2"/>
              </w:numPr>
              <w:rPr>
                <w:rFonts w:ascii="Arial" w:hAnsi="Arial" w:cs="Arial"/>
                <w:sz w:val="20"/>
              </w:rPr>
            </w:pPr>
            <w:r>
              <w:rPr>
                <w:rFonts w:cs="Arial" w:ascii="Arial" w:hAnsi="Arial"/>
                <w:sz w:val="20"/>
              </w:rPr>
              <w:t>Current personnel</w:t>
            </w:r>
            <w:r>
              <w:rPr>
                <w:rFonts w:cs="Arial" w:ascii="Arial" w:hAnsi="Arial"/>
                <w:b/>
                <w:bCs/>
                <w:i/>
                <w:iCs/>
                <w:color w:val="FF0000"/>
                <w:sz w:val="20"/>
              </w:rPr>
              <w:t>’s</w:t>
            </w:r>
            <w:r>
              <w:rPr>
                <w:rFonts w:cs="Arial" w:ascii="Arial" w:hAnsi="Arial"/>
                <w:sz w:val="20"/>
              </w:rPr>
              <w:t xml:space="preserve"> </w:t>
            </w:r>
            <w:r>
              <w:rPr>
                <w:rFonts w:cs="Arial" w:ascii="Arial" w:hAnsi="Arial"/>
                <w:b/>
                <w:bCs/>
                <w:i/>
                <w:iCs/>
                <w:color w:val="FF0000"/>
                <w:sz w:val="20"/>
              </w:rPr>
              <w:t xml:space="preserve">ability </w:t>
            </w:r>
            <w:r>
              <w:rPr>
                <w:rFonts w:cs="Arial" w:ascii="Arial" w:hAnsi="Arial"/>
                <w:sz w:val="20"/>
              </w:rPr>
              <w:t>to oversee a construction project of this magnitude.</w:t>
            </w:r>
          </w:p>
        </w:tc>
        <w:tc>
          <w:tcPr>
            <w:tcW w:w="4680" w:type="dxa"/>
            <w:tcBorders>
              <w:top w:val="single" w:sz="6" w:space="0" w:color="000000"/>
              <w:start w:val="single" w:sz="6" w:space="0" w:color="000000"/>
              <w:bottom w:val="single" w:sz="6" w:space="0" w:color="000000"/>
              <w:end w:val="single" w:sz="6" w:space="0" w:color="000000"/>
            </w:tcBorders>
          </w:tcPr>
          <w:p>
            <w:pPr>
              <w:pStyle w:val="Normal"/>
              <w:numPr>
                <w:ilvl w:val="0"/>
                <w:numId w:val="2"/>
              </w:numPr>
              <w:jc w:val="both"/>
              <w:rPr>
                <w:rFonts w:ascii="Arial" w:hAnsi="Arial" w:cs="Arial"/>
                <w:sz w:val="20"/>
              </w:rPr>
            </w:pPr>
            <w:r>
              <w:rPr>
                <w:rFonts w:cs="Arial" w:ascii="Arial" w:hAnsi="Arial"/>
                <w:sz w:val="20"/>
              </w:rPr>
              <w:t>Completed engineering will be necessary before bids can be obtained.</w:t>
            </w:r>
          </w:p>
          <w:p>
            <w:pPr>
              <w:pStyle w:val="Normal"/>
              <w:numPr>
                <w:ilvl w:val="0"/>
                <w:numId w:val="2"/>
              </w:numPr>
              <w:jc w:val="both"/>
              <w:rPr>
                <w:rFonts w:ascii="Arial" w:hAnsi="Arial" w:cs="Arial"/>
                <w:b/>
                <w:bCs/>
                <w:i/>
                <w:i/>
                <w:iCs/>
                <w:color w:val="FF0000"/>
                <w:sz w:val="20"/>
              </w:rPr>
            </w:pPr>
            <w:r>
              <w:rPr>
                <w:rFonts w:cs="Arial" w:ascii="Arial" w:hAnsi="Arial"/>
                <w:b/>
                <w:bCs/>
                <w:i/>
                <w:iCs/>
                <w:color w:val="FF0000"/>
                <w:sz w:val="20"/>
              </w:rPr>
              <w:t>UOP has provided independent assessment of the process equipment, capital costs, operating costs, etc… required.</w:t>
            </w:r>
          </w:p>
          <w:p>
            <w:pPr>
              <w:pStyle w:val="Normal"/>
              <w:numPr>
                <w:ilvl w:val="0"/>
                <w:numId w:val="2"/>
              </w:numPr>
              <w:jc w:val="both"/>
              <w:rPr>
                <w:rFonts w:ascii="Arial" w:hAnsi="Arial" w:cs="Arial"/>
                <w:b/>
                <w:bCs/>
                <w:i/>
                <w:i/>
                <w:iCs/>
                <w:color w:val="FF0000"/>
                <w:sz w:val="20"/>
              </w:rPr>
            </w:pPr>
            <w:r>
              <w:rPr>
                <w:rFonts w:cs="Arial" w:ascii="Arial" w:hAnsi="Arial"/>
                <w:b/>
                <w:bCs/>
                <w:i/>
                <w:iCs/>
                <w:color w:val="FF0000"/>
                <w:sz w:val="20"/>
              </w:rPr>
              <w:t>Purvin &amp; Gertz has provided fundamental market analysis as well as industry comparisons on UOP’s recommendations.</w:t>
            </w:r>
          </w:p>
          <w:p>
            <w:pPr>
              <w:pStyle w:val="Normal"/>
              <w:numPr>
                <w:ilvl w:val="0"/>
                <w:numId w:val="2"/>
              </w:numPr>
              <w:jc w:val="both"/>
              <w:rPr>
                <w:rFonts w:ascii="Arial" w:hAnsi="Arial" w:cs="Arial"/>
                <w:sz w:val="20"/>
              </w:rPr>
            </w:pPr>
            <w:r>
              <w:rPr>
                <w:rFonts w:cs="Arial" w:ascii="Arial" w:hAnsi="Arial"/>
                <w:b/>
                <w:bCs/>
                <w:i/>
                <w:iCs/>
                <w:color w:val="FF0000"/>
                <w:sz w:val="20"/>
              </w:rPr>
              <w:t xml:space="preserve">EGM hired </w:t>
            </w:r>
            <w:r>
              <w:rPr>
                <w:rFonts w:cs="Arial" w:ascii="Arial" w:hAnsi="Arial"/>
                <w:sz w:val="20"/>
              </w:rPr>
              <w:t xml:space="preserve">Stancil &amp; Co., a well qualified consultant, to review and recast estimates.  </w:t>
            </w:r>
            <w:r>
              <w:rPr>
                <w:rFonts w:cs="Arial" w:ascii="Arial" w:hAnsi="Arial"/>
                <w:b/>
                <w:bCs/>
                <w:i/>
                <w:iCs/>
                <w:color w:val="FF0000"/>
                <w:sz w:val="20"/>
              </w:rPr>
              <w:t>H</w:t>
            </w:r>
            <w:r>
              <w:rPr>
                <w:rFonts w:cs="Arial" w:ascii="Arial" w:hAnsi="Arial"/>
                <w:sz w:val="20"/>
              </w:rPr>
              <w:t xml:space="preserve">owever, preparing detailed engineering is beyond the scope of their assignment.  </w:t>
            </w:r>
            <w:r>
              <w:rPr>
                <w:rFonts w:cs="Arial" w:ascii="Arial" w:hAnsi="Arial"/>
                <w:b/>
                <w:bCs/>
                <w:i/>
                <w:iCs/>
                <w:color w:val="FF0000"/>
                <w:sz w:val="20"/>
              </w:rPr>
              <w:t>Stancil’s views are basically in agreement with the capex assumptions, operational timelines and product yields provided by UOP and P&amp;G.  However, there is always a possibility of cost overruns in any project of this magnitude and this can not be defined tighter without detailed engineering.</w:t>
            </w:r>
          </w:p>
          <w:p>
            <w:pPr>
              <w:pStyle w:val="Normal"/>
              <w:numPr>
                <w:ilvl w:val="0"/>
                <w:numId w:val="2"/>
              </w:numPr>
              <w:jc w:val="both"/>
              <w:rPr>
                <w:rFonts w:ascii="Arial" w:hAnsi="Arial" w:cs="Arial"/>
                <w:sz w:val="20"/>
              </w:rPr>
            </w:pPr>
            <w:r>
              <w:rPr>
                <w:rFonts w:cs="Arial" w:ascii="Arial" w:hAnsi="Arial"/>
                <w:sz w:val="20"/>
              </w:rPr>
              <w:t xml:space="preserve">EPC management </w:t>
            </w:r>
            <w:r>
              <w:rPr>
                <w:rFonts w:cs="Arial" w:ascii="Arial" w:hAnsi="Arial"/>
                <w:b/>
                <w:bCs/>
                <w:i/>
                <w:iCs/>
                <w:color w:val="FF0000"/>
                <w:sz w:val="20"/>
              </w:rPr>
              <w:t>will</w:t>
            </w:r>
            <w:r>
              <w:rPr>
                <w:rFonts w:cs="Arial" w:ascii="Arial" w:hAnsi="Arial"/>
                <w:sz w:val="20"/>
              </w:rPr>
              <w:t xml:space="preserve"> be contracted to </w:t>
            </w:r>
            <w:r>
              <w:rPr>
                <w:rFonts w:cs="Arial" w:ascii="Arial" w:hAnsi="Arial"/>
                <w:b/>
                <w:bCs/>
                <w:i/>
                <w:iCs/>
                <w:color w:val="FF0000"/>
                <w:sz w:val="20"/>
              </w:rPr>
              <w:t xml:space="preserve">reputable </w:t>
            </w:r>
            <w:r>
              <w:rPr>
                <w:rFonts w:cs="Arial" w:ascii="Arial" w:hAnsi="Arial"/>
                <w:sz w:val="20"/>
              </w:rPr>
              <w:t>independent 3</w:t>
            </w:r>
            <w:r>
              <w:rPr>
                <w:rFonts w:cs="Arial" w:ascii="Arial" w:hAnsi="Arial"/>
                <w:sz w:val="20"/>
                <w:vertAlign w:val="superscript"/>
              </w:rPr>
              <w:t>rd</w:t>
            </w:r>
            <w:r>
              <w:rPr>
                <w:rFonts w:cs="Arial" w:ascii="Arial" w:hAnsi="Arial"/>
                <w:sz w:val="20"/>
              </w:rPr>
              <w:t xml:space="preserve"> parties.</w:t>
            </w:r>
          </w:p>
          <w:p>
            <w:pPr>
              <w:pStyle w:val="Normal"/>
              <w:numPr>
                <w:ilvl w:val="0"/>
                <w:numId w:val="2"/>
              </w:numPr>
              <w:jc w:val="both"/>
              <w:rPr>
                <w:rFonts w:ascii="Arial" w:hAnsi="Arial" w:cs="Arial"/>
                <w:sz w:val="20"/>
              </w:rPr>
            </w:pPr>
            <w:r>
              <w:rPr>
                <w:rFonts w:cs="Arial" w:ascii="Arial" w:hAnsi="Arial"/>
                <w:b/>
                <w:bCs/>
                <w:i/>
                <w:iCs/>
                <w:color w:val="FF0000"/>
                <w:sz w:val="20"/>
              </w:rPr>
              <w:t>Reference comments above in Sponsor Issues re: Pres/CEO experience with both operations and project management &amp; construction.</w:t>
            </w:r>
          </w:p>
        </w:tc>
      </w:tr>
      <w:tr>
        <w:trPr/>
        <w:tc>
          <w:tcPr>
            <w:tcW w:w="5310" w:type="dxa"/>
            <w:tcBorders>
              <w:top w:val="single" w:sz="6" w:space="0" w:color="000000"/>
              <w:start w:val="single" w:sz="6" w:space="0" w:color="000000"/>
              <w:bottom w:val="single" w:sz="6" w:space="0" w:color="000000"/>
              <w:end w:val="single" w:sz="6" w:space="0" w:color="000000"/>
            </w:tcBorders>
          </w:tcPr>
          <w:p>
            <w:pPr>
              <w:pStyle w:val="Heading1"/>
              <w:ind w:hanging="0" w:start="0"/>
              <w:rPr>
                <w:rFonts w:ascii="Arial" w:hAnsi="Arial" w:cs="Arial"/>
              </w:rPr>
            </w:pPr>
            <w:r>
              <w:rPr>
                <w:rFonts w:cs="Arial" w:ascii="Arial" w:hAnsi="Arial"/>
              </w:rPr>
              <w:t>Credit Risk Crack Spread Swap</w:t>
            </w:r>
          </w:p>
          <w:p>
            <w:pPr>
              <w:pStyle w:val="Normal"/>
              <w:numPr>
                <w:ilvl w:val="0"/>
                <w:numId w:val="10"/>
              </w:numPr>
              <w:tabs>
                <w:tab w:val="clear" w:pos="720"/>
                <w:tab w:val="left" w:pos="342" w:leader="none"/>
              </w:tabs>
              <w:ind w:hanging="360" w:start="342" w:end="0"/>
              <w:rPr>
                <w:rFonts w:ascii="Arial" w:hAnsi="Arial" w:cs="Arial"/>
                <w:sz w:val="20"/>
              </w:rPr>
            </w:pPr>
            <w:r>
              <w:rPr>
                <w:rFonts w:cs="Arial" w:ascii="Arial" w:hAnsi="Arial"/>
                <w:sz w:val="20"/>
              </w:rPr>
              <w:t xml:space="preserve">Credit exposure on crude sales </w:t>
            </w:r>
            <w:r>
              <w:rPr>
                <w:rFonts w:cs="Arial" w:ascii="Arial" w:hAnsi="Arial"/>
                <w:b/>
                <w:bCs/>
                <w:i/>
                <w:iCs/>
                <w:color w:val="FF0000"/>
                <w:sz w:val="20"/>
              </w:rPr>
              <w:t>(product sales do NOT have GAF credit risk)</w:t>
            </w:r>
            <w:r>
              <w:rPr>
                <w:rFonts w:cs="Arial" w:ascii="Arial" w:hAnsi="Arial"/>
                <w:sz w:val="20"/>
              </w:rPr>
              <w:t xml:space="preserve"> and crack spread swap.</w:t>
            </w:r>
          </w:p>
          <w:p>
            <w:pPr>
              <w:pStyle w:val="Normal"/>
              <w:numPr>
                <w:ilvl w:val="0"/>
                <w:numId w:val="10"/>
              </w:numPr>
              <w:tabs>
                <w:tab w:val="clear" w:pos="720"/>
                <w:tab w:val="left" w:pos="342" w:leader="none"/>
              </w:tabs>
              <w:ind w:hanging="360" w:start="342" w:end="0"/>
              <w:rPr>
                <w:rFonts w:ascii="Arial" w:hAnsi="Arial" w:cs="Arial"/>
                <w:sz w:val="20"/>
              </w:rPr>
            </w:pPr>
            <w:r>
              <w:rPr>
                <w:rFonts w:cs="Arial" w:ascii="Arial" w:hAnsi="Arial"/>
                <w:sz w:val="20"/>
              </w:rPr>
              <w:t>Credit reserve is calculated to be [$40 million].</w:t>
            </w:r>
          </w:p>
        </w:tc>
        <w:tc>
          <w:tcPr>
            <w:tcW w:w="4680" w:type="dxa"/>
            <w:tcBorders>
              <w:top w:val="single" w:sz="6" w:space="0" w:color="000000"/>
              <w:start w:val="single" w:sz="6" w:space="0" w:color="000000"/>
              <w:bottom w:val="single" w:sz="6" w:space="0" w:color="000000"/>
              <w:end w:val="single" w:sz="6" w:space="0" w:color="000000"/>
            </w:tcBorders>
          </w:tcPr>
          <w:p>
            <w:pPr>
              <w:pStyle w:val="Normal"/>
              <w:numPr>
                <w:ilvl w:val="0"/>
                <w:numId w:val="10"/>
              </w:numPr>
              <w:tabs>
                <w:tab w:val="clear" w:pos="720"/>
              </w:tabs>
              <w:jc w:val="both"/>
              <w:rPr>
                <w:rFonts w:ascii="Arial" w:hAnsi="Arial" w:cs="Arial"/>
                <w:sz w:val="20"/>
              </w:rPr>
            </w:pPr>
            <w:r>
              <w:rPr>
                <w:rFonts w:cs="Arial" w:ascii="Arial" w:hAnsi="Arial"/>
                <w:sz w:val="20"/>
              </w:rPr>
              <w:t>Netting agreements will be required.</w:t>
            </w:r>
          </w:p>
          <w:p>
            <w:pPr>
              <w:pStyle w:val="Normal"/>
              <w:numPr>
                <w:ilvl w:val="0"/>
                <w:numId w:val="10"/>
              </w:numPr>
              <w:tabs>
                <w:tab w:val="clear" w:pos="720"/>
              </w:tabs>
              <w:jc w:val="both"/>
              <w:rPr>
                <w:rFonts w:ascii="Arial" w:hAnsi="Arial" w:cs="Arial"/>
                <w:sz w:val="20"/>
              </w:rPr>
            </w:pPr>
            <w:r>
              <w:rPr>
                <w:rFonts w:cs="Arial" w:ascii="Arial" w:hAnsi="Arial"/>
                <w:sz w:val="20"/>
              </w:rPr>
              <w:t xml:space="preserve">EGM has first position in the cash waterfall </w:t>
            </w:r>
            <w:r>
              <w:rPr>
                <w:rFonts w:cs="Arial" w:ascii="Arial" w:hAnsi="Arial"/>
                <w:b/>
                <w:bCs/>
                <w:i/>
                <w:iCs/>
                <w:color w:val="FF0000"/>
                <w:sz w:val="20"/>
              </w:rPr>
              <w:t>ahead of any debt service</w:t>
            </w:r>
            <w:r>
              <w:rPr>
                <w:rFonts w:cs="Arial" w:ascii="Arial" w:hAnsi="Arial"/>
                <w:sz w:val="20"/>
              </w:rPr>
              <w:t>.</w:t>
            </w:r>
          </w:p>
          <w:p>
            <w:pPr>
              <w:pStyle w:val="Normal"/>
              <w:numPr>
                <w:ilvl w:val="0"/>
                <w:numId w:val="10"/>
              </w:numPr>
              <w:tabs>
                <w:tab w:val="clear" w:pos="720"/>
              </w:tabs>
              <w:jc w:val="both"/>
              <w:rPr>
                <w:rFonts w:ascii="Arial" w:hAnsi="Arial" w:cs="Arial"/>
                <w:sz w:val="20"/>
              </w:rPr>
            </w:pPr>
            <w:r>
              <w:rPr>
                <w:rFonts w:cs="Arial" w:ascii="Arial" w:hAnsi="Arial"/>
                <w:sz w:val="20"/>
              </w:rPr>
              <w:t xml:space="preserve">EGM will be pari passu with the debt holders </w:t>
            </w:r>
            <w:r>
              <w:rPr>
                <w:rFonts w:cs="Arial" w:ascii="Arial" w:hAnsi="Arial"/>
                <w:b/>
                <w:bCs/>
                <w:i/>
                <w:iCs/>
                <w:color w:val="FF0000"/>
                <w:sz w:val="20"/>
              </w:rPr>
              <w:t>on the Coffeyville refinery, the gathering system and the Philipsburg deasphalting plant</w:t>
            </w:r>
            <w:r>
              <w:rPr>
                <w:rFonts w:cs="Arial" w:ascii="Arial" w:hAnsi="Arial"/>
                <w:sz w:val="20"/>
              </w:rPr>
              <w:t xml:space="preserve">. </w:t>
            </w:r>
            <w:r>
              <w:rPr>
                <w:rFonts w:cs="Arial" w:ascii="Arial" w:hAnsi="Arial"/>
                <w:b/>
                <w:bCs/>
                <w:i/>
                <w:iCs/>
                <w:color w:val="FF0000"/>
                <w:sz w:val="20"/>
              </w:rPr>
              <w:t>EGM will also have sole rights to all crude and products inventories.</w:t>
            </w:r>
          </w:p>
          <w:p>
            <w:pPr>
              <w:pStyle w:val="Normal"/>
              <w:numPr>
                <w:ilvl w:val="0"/>
                <w:numId w:val="10"/>
              </w:numPr>
              <w:tabs>
                <w:tab w:val="clear" w:pos="720"/>
              </w:tabs>
              <w:jc w:val="both"/>
              <w:rPr>
                <w:rFonts w:ascii="Arial" w:hAnsi="Arial" w:cs="Arial"/>
                <w:sz w:val="20"/>
              </w:rPr>
            </w:pPr>
            <w:r>
              <w:rPr>
                <w:rFonts w:cs="Arial" w:ascii="Arial" w:hAnsi="Arial"/>
                <w:b/>
                <w:bCs/>
                <w:i/>
                <w:iCs/>
                <w:color w:val="FF0000"/>
                <w:sz w:val="20"/>
              </w:rPr>
              <w:t>GAF will also establish a Swap Payment Reserve Account equal to approximately 6 months vs. the “mark” which should cover any  deductible period under the B.I.</w:t>
            </w:r>
          </w:p>
        </w:tc>
      </w:tr>
      <w:tr>
        <w:trPr/>
        <w:tc>
          <w:tcPr>
            <w:tcW w:w="5310" w:type="dxa"/>
            <w:tcBorders>
              <w:top w:val="single" w:sz="6" w:space="0" w:color="000000"/>
              <w:start w:val="single" w:sz="6" w:space="0" w:color="000000"/>
              <w:bottom w:val="single" w:sz="6" w:space="0" w:color="000000"/>
              <w:end w:val="single" w:sz="6" w:space="0" w:color="000000"/>
            </w:tcBorders>
          </w:tcPr>
          <w:p>
            <w:pPr>
              <w:pStyle w:val="Heading1"/>
              <w:ind w:hanging="0" w:start="0"/>
              <w:rPr>
                <w:rFonts w:ascii="Arial" w:hAnsi="Arial" w:cs="Arial"/>
              </w:rPr>
            </w:pPr>
            <w:r>
              <w:rPr>
                <w:rFonts w:cs="Arial" w:ascii="Arial" w:hAnsi="Arial"/>
              </w:rPr>
              <w:t>Credit Risk – Revolving Credit</w:t>
            </w:r>
          </w:p>
          <w:p>
            <w:pPr>
              <w:pStyle w:val="Normal"/>
              <w:numPr>
                <w:ilvl w:val="0"/>
                <w:numId w:val="10"/>
              </w:numPr>
              <w:tabs>
                <w:tab w:val="clear" w:pos="720"/>
                <w:tab w:val="left" w:pos="342" w:leader="none"/>
              </w:tabs>
              <w:ind w:hanging="360" w:start="342" w:end="0"/>
              <w:rPr>
                <w:rFonts w:ascii="Arial" w:hAnsi="Arial" w:cs="Arial"/>
                <w:sz w:val="20"/>
              </w:rPr>
            </w:pPr>
            <w:r>
              <w:rPr>
                <w:rFonts w:cs="Arial" w:ascii="Arial" w:hAnsi="Arial"/>
                <w:sz w:val="20"/>
              </w:rPr>
              <w:t>Oil and products in the pipelines and refinery would provide collateral, but could not readily be accessed without shutting down the refinery.</w:t>
            </w:r>
          </w:p>
          <w:p>
            <w:pPr>
              <w:pStyle w:val="Heading1"/>
              <w:ind w:hanging="0" w:start="0"/>
              <w:rPr>
                <w:rFonts w:ascii="Arial" w:hAnsi="Arial" w:cs="Arial"/>
                <w:sz w:val="20"/>
              </w:rPr>
            </w:pPr>
            <w:r>
              <w:rPr>
                <w:rFonts w:cs="Arial" w:ascii="Arial" w:hAnsi="Arial"/>
                <w:sz w:val="20"/>
              </w:rPr>
            </w:r>
          </w:p>
        </w:tc>
        <w:tc>
          <w:tcPr>
            <w:tcW w:w="4680" w:type="dxa"/>
            <w:tcBorders>
              <w:top w:val="single" w:sz="6" w:space="0" w:color="000000"/>
              <w:start w:val="single" w:sz="6" w:space="0" w:color="000000"/>
              <w:bottom w:val="single" w:sz="6" w:space="0" w:color="000000"/>
              <w:end w:val="single" w:sz="6" w:space="0" w:color="000000"/>
            </w:tcBorders>
          </w:tcPr>
          <w:p>
            <w:pPr>
              <w:pStyle w:val="Normal"/>
              <w:numPr>
                <w:ilvl w:val="0"/>
                <w:numId w:val="10"/>
              </w:numPr>
              <w:tabs>
                <w:tab w:val="clear" w:pos="720"/>
              </w:tabs>
              <w:jc w:val="both"/>
              <w:rPr>
                <w:rFonts w:ascii="Arial" w:hAnsi="Arial" w:cs="Arial"/>
                <w:sz w:val="20"/>
              </w:rPr>
            </w:pPr>
            <w:r>
              <w:rPr>
                <w:rFonts w:cs="Arial" w:ascii="Arial" w:hAnsi="Arial"/>
                <w:b/>
                <w:bCs/>
                <w:i/>
                <w:iCs/>
                <w:color w:val="FF0000"/>
                <w:sz w:val="20"/>
              </w:rPr>
              <w:t>Reference master netting agreement with physical/financial contracts.</w:t>
            </w:r>
          </w:p>
        </w:tc>
      </w:tr>
      <w:tr>
        <w:trPr/>
        <w:tc>
          <w:tcPr>
            <w:tcW w:w="5310" w:type="dxa"/>
            <w:tcBorders>
              <w:top w:val="single" w:sz="6" w:space="0" w:color="000000"/>
              <w:start w:val="single" w:sz="6" w:space="0" w:color="000000"/>
              <w:bottom w:val="single" w:sz="6" w:space="0" w:color="000000"/>
              <w:end w:val="single" w:sz="6" w:space="0" w:color="000000"/>
            </w:tcBorders>
          </w:tcPr>
          <w:p>
            <w:pPr>
              <w:pStyle w:val="Heading1"/>
              <w:ind w:hanging="0" w:start="0"/>
              <w:rPr>
                <w:rFonts w:ascii="Arial" w:hAnsi="Arial" w:cs="Arial"/>
                <w:bCs/>
                <w:szCs w:val="24"/>
              </w:rPr>
            </w:pPr>
            <w:r>
              <w:rPr>
                <w:rFonts w:cs="Arial" w:ascii="Arial" w:hAnsi="Arial"/>
                <w:bCs/>
                <w:szCs w:val="24"/>
              </w:rPr>
              <w:t>Environmental Risks</w:t>
            </w:r>
          </w:p>
          <w:p>
            <w:pPr>
              <w:pStyle w:val="Normal"/>
              <w:numPr>
                <w:ilvl w:val="0"/>
                <w:numId w:val="5"/>
              </w:numPr>
              <w:rPr>
                <w:rFonts w:ascii="Arial" w:hAnsi="Arial" w:cs="Arial"/>
                <w:sz w:val="20"/>
              </w:rPr>
            </w:pPr>
            <w:r>
              <w:rPr>
                <w:rFonts w:cs="Arial" w:ascii="Arial" w:hAnsi="Arial"/>
                <w:sz w:val="20"/>
              </w:rPr>
              <w:t xml:space="preserve">The Coffeyville site has been used for refinery operations since 1906. </w:t>
            </w:r>
            <w:r>
              <w:rPr>
                <w:rFonts w:cs="Arial" w:ascii="Arial" w:hAnsi="Arial"/>
                <w:b/>
                <w:bCs/>
                <w:i/>
                <w:iCs/>
                <w:color w:val="FF0000"/>
                <w:sz w:val="20"/>
              </w:rPr>
              <w:t>Groundwater</w:t>
            </w:r>
            <w:r>
              <w:rPr>
                <w:rFonts w:cs="Arial" w:ascii="Arial" w:hAnsi="Arial"/>
                <w:sz w:val="20"/>
              </w:rPr>
              <w:t xml:space="preserve"> contamination and pollution are known to </w:t>
            </w:r>
            <w:r>
              <w:rPr>
                <w:rFonts w:cs="Arial" w:ascii="Arial" w:hAnsi="Arial"/>
                <w:b/>
                <w:bCs/>
                <w:i/>
                <w:iCs/>
                <w:color w:val="FF0000"/>
                <w:sz w:val="20"/>
              </w:rPr>
              <w:t>exist</w:t>
            </w:r>
            <w:r>
              <w:rPr>
                <w:rFonts w:cs="Arial" w:ascii="Arial" w:hAnsi="Arial"/>
                <w:sz w:val="20"/>
              </w:rPr>
              <w:t xml:space="preserve"> on site.</w:t>
            </w:r>
          </w:p>
          <w:p>
            <w:pPr>
              <w:pStyle w:val="Normal"/>
              <w:numPr>
                <w:ilvl w:val="0"/>
                <w:numId w:val="5"/>
              </w:numPr>
              <w:rPr>
                <w:rFonts w:ascii="Arial" w:hAnsi="Arial" w:cs="Arial"/>
                <w:sz w:val="20"/>
              </w:rPr>
            </w:pPr>
            <w:r>
              <w:rPr>
                <w:rFonts w:cs="Arial" w:ascii="Arial" w:hAnsi="Arial"/>
                <w:sz w:val="20"/>
              </w:rPr>
              <w:t>Negotiations are ongoing with the EPA to determine what cleanup measures should be taken. The costs are not certain.</w:t>
            </w:r>
          </w:p>
          <w:p>
            <w:pPr>
              <w:pStyle w:val="Normal"/>
              <w:numPr>
                <w:ilvl w:val="0"/>
                <w:numId w:val="7"/>
              </w:numPr>
              <w:tabs>
                <w:tab w:val="clear" w:pos="720"/>
                <w:tab w:val="left" w:pos="432" w:leader="none"/>
              </w:tabs>
              <w:ind w:hanging="432" w:start="432" w:end="0"/>
              <w:jc w:val="both"/>
              <w:rPr>
                <w:rFonts w:ascii="Arial" w:hAnsi="Arial" w:cs="Arial"/>
                <w:color w:val="000000"/>
                <w:sz w:val="20"/>
              </w:rPr>
            </w:pPr>
            <w:r>
              <w:rPr>
                <w:rFonts w:cs="Arial" w:ascii="Arial" w:hAnsi="Arial"/>
                <w:b/>
                <w:bCs/>
                <w:i/>
                <w:iCs/>
                <w:color w:val="FF0000"/>
                <w:sz w:val="20"/>
              </w:rPr>
              <w:t>While EGM is not an owner or operator and therefore NOT liable for any remediation, any significant costs that negatively impact the refinery economics may impact the GAF’s ability to perform under the swap and/or physical contracts with EGM.</w:t>
            </w:r>
          </w:p>
          <w:p>
            <w:pPr>
              <w:pStyle w:val="Normal"/>
              <w:numPr>
                <w:ilvl w:val="0"/>
                <w:numId w:val="5"/>
              </w:numPr>
              <w:rPr>
                <w:rFonts w:ascii="Arial" w:hAnsi="Arial" w:cs="Arial"/>
                <w:b/>
                <w:bCs/>
                <w:i/>
                <w:i/>
                <w:iCs/>
                <w:color w:val="FF0000"/>
                <w:sz w:val="20"/>
              </w:rPr>
            </w:pPr>
            <w:r>
              <w:rPr>
                <w:rFonts w:cs="Arial" w:ascii="Arial" w:hAnsi="Arial"/>
                <w:b/>
                <w:bCs/>
                <w:i/>
                <w:iCs/>
                <w:color w:val="FF0000"/>
                <w:sz w:val="20"/>
              </w:rPr>
              <w:t>Timing of EPA Tier II Specs Compliance – facility will be required to meet new specs for gasoline and diesel in Jan., 2004.</w:t>
            </w:r>
          </w:p>
          <w:p>
            <w:pPr>
              <w:pStyle w:val="Header"/>
              <w:widowControl/>
              <w:tabs>
                <w:tab w:val="clear" w:pos="4320"/>
                <w:tab w:val="clear" w:pos="8640"/>
              </w:tabs>
              <w:rPr>
                <w:rFonts w:ascii="Arial" w:hAnsi="Arial" w:cs="Arial"/>
                <w:b/>
                <w:bCs/>
                <w:i/>
                <w:i/>
                <w:iCs/>
                <w:color w:val="FF0000"/>
                <w:sz w:val="20"/>
                <w:szCs w:val="24"/>
              </w:rPr>
            </w:pPr>
            <w:r>
              <w:rPr>
                <w:rFonts w:cs="Arial" w:ascii="Arial" w:hAnsi="Arial"/>
                <w:b/>
                <w:bCs/>
                <w:i/>
                <w:iCs/>
                <w:color w:val="FF0000"/>
                <w:sz w:val="20"/>
                <w:szCs w:val="24"/>
              </w:rPr>
            </w:r>
          </w:p>
        </w:tc>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ind w:start="360" w:end="0"/>
              <w:jc w:val="both"/>
              <w:rPr>
                <w:rFonts w:ascii="Arial" w:hAnsi="Arial" w:cs="Arial"/>
                <w:color w:val="000000"/>
                <w:sz w:val="20"/>
                <w:szCs w:val="24"/>
              </w:rPr>
            </w:pPr>
            <w:r>
              <w:rPr>
                <w:rFonts w:cs="Arial" w:ascii="Arial" w:hAnsi="Arial"/>
                <w:color w:val="000000"/>
                <w:sz w:val="20"/>
                <w:szCs w:val="24"/>
              </w:rPr>
            </w:r>
          </w:p>
          <w:p>
            <w:pPr>
              <w:pStyle w:val="Normal"/>
              <w:numPr>
                <w:ilvl w:val="0"/>
                <w:numId w:val="7"/>
              </w:numPr>
              <w:tabs>
                <w:tab w:val="clear" w:pos="720"/>
                <w:tab w:val="left" w:pos="432" w:leader="none"/>
              </w:tabs>
              <w:ind w:hanging="432" w:start="432" w:end="0"/>
              <w:jc w:val="both"/>
              <w:rPr>
                <w:rFonts w:ascii="Arial" w:hAnsi="Arial" w:cs="Arial"/>
                <w:color w:val="000000"/>
                <w:sz w:val="20"/>
              </w:rPr>
            </w:pPr>
            <w:r>
              <w:rPr>
                <w:rFonts w:cs="Arial" w:ascii="Arial" w:hAnsi="Arial"/>
                <w:color w:val="000000"/>
                <w:sz w:val="20"/>
              </w:rPr>
              <w:t xml:space="preserve">Farmland is responsible for existing conditions.  </w:t>
            </w:r>
            <w:r>
              <w:rPr>
                <w:rFonts w:cs="Arial" w:ascii="Arial" w:hAnsi="Arial"/>
                <w:b/>
                <w:bCs/>
                <w:i/>
                <w:iCs/>
                <w:color w:val="FF0000"/>
                <w:sz w:val="20"/>
              </w:rPr>
              <w:t>Current groundwater monitoring activities indicate the “plumes” have NOT migrated in the last 8 years.</w:t>
            </w:r>
          </w:p>
          <w:p>
            <w:pPr>
              <w:pStyle w:val="Normal"/>
              <w:numPr>
                <w:ilvl w:val="0"/>
                <w:numId w:val="7"/>
              </w:numPr>
              <w:tabs>
                <w:tab w:val="clear" w:pos="720"/>
                <w:tab w:val="left" w:pos="432" w:leader="none"/>
              </w:tabs>
              <w:ind w:hanging="432" w:start="432" w:end="0"/>
              <w:jc w:val="both"/>
              <w:rPr>
                <w:rFonts w:ascii="Arial" w:hAnsi="Arial" w:cs="Arial"/>
                <w:color w:val="000000"/>
                <w:sz w:val="20"/>
              </w:rPr>
            </w:pPr>
            <w:r>
              <w:rPr>
                <w:rFonts w:cs="Arial" w:ascii="Arial" w:hAnsi="Arial"/>
                <w:b/>
                <w:bCs/>
                <w:i/>
                <w:iCs/>
                <w:color w:val="FF0000"/>
                <w:sz w:val="20"/>
              </w:rPr>
              <w:t>Existing agreement between Farmland and GAF provides for Farmland to cover 100% of remediation costs for events prior to transfer date as well as an amortizing scale for specific items currently in remediation process with the EPA.</w:t>
            </w:r>
          </w:p>
          <w:p>
            <w:pPr>
              <w:pStyle w:val="Normal"/>
              <w:numPr>
                <w:ilvl w:val="0"/>
                <w:numId w:val="7"/>
              </w:numPr>
              <w:tabs>
                <w:tab w:val="clear" w:pos="720"/>
                <w:tab w:val="left" w:pos="432" w:leader="none"/>
              </w:tabs>
              <w:ind w:hanging="432" w:start="432" w:end="0"/>
              <w:jc w:val="both"/>
              <w:rPr>
                <w:rFonts w:ascii="Arial" w:hAnsi="Arial" w:cs="Arial"/>
                <w:color w:val="000000"/>
                <w:sz w:val="20"/>
              </w:rPr>
            </w:pPr>
            <w:r>
              <w:rPr>
                <w:rFonts w:cs="Arial" w:ascii="Arial" w:hAnsi="Arial"/>
                <w:b/>
                <w:bCs/>
                <w:i/>
                <w:iCs/>
                <w:color w:val="FF0000"/>
                <w:sz w:val="20"/>
              </w:rPr>
              <w:t>GAF will provide Environmental Insurance coverage which will cover liabilities in excess of $30MM.</w:t>
            </w:r>
          </w:p>
          <w:p>
            <w:pPr>
              <w:pStyle w:val="Normal"/>
              <w:numPr>
                <w:ilvl w:val="0"/>
                <w:numId w:val="7"/>
              </w:numPr>
              <w:tabs>
                <w:tab w:val="clear" w:pos="720"/>
                <w:tab w:val="left" w:pos="432" w:leader="none"/>
              </w:tabs>
              <w:ind w:hanging="432" w:start="432" w:end="0"/>
              <w:jc w:val="both"/>
              <w:rPr>
                <w:rFonts w:ascii="Arial" w:hAnsi="Arial" w:cs="Arial"/>
                <w:color w:val="000000"/>
                <w:sz w:val="20"/>
              </w:rPr>
            </w:pPr>
            <w:r>
              <w:rPr>
                <w:rFonts w:cs="Arial" w:ascii="Arial" w:hAnsi="Arial"/>
                <w:b/>
                <w:bCs/>
                <w:i/>
                <w:iCs/>
                <w:color w:val="FF0000"/>
                <w:sz w:val="20"/>
              </w:rPr>
              <w:t>Independent consultants, Stancil &amp;Co., believe that if licensing of the technology and permitting process starts in Oct 01, detailed engineering in Jan 02, and equipment purchased in Jun 02, these deadlines can be met.</w:t>
            </w:r>
          </w:p>
          <w:p>
            <w:pPr>
              <w:pStyle w:val="Normal"/>
              <w:numPr>
                <w:ilvl w:val="0"/>
                <w:numId w:val="7"/>
              </w:numPr>
              <w:tabs>
                <w:tab w:val="clear" w:pos="720"/>
                <w:tab w:val="left" w:pos="432" w:leader="none"/>
              </w:tabs>
              <w:ind w:hanging="432" w:start="432" w:end="0"/>
              <w:jc w:val="both"/>
              <w:rPr>
                <w:rFonts w:ascii="Arial" w:hAnsi="Arial" w:cs="Arial"/>
                <w:color w:val="000000"/>
                <w:sz w:val="20"/>
              </w:rPr>
            </w:pPr>
            <w:r>
              <w:rPr>
                <w:rFonts w:cs="Arial" w:ascii="Arial" w:hAnsi="Arial"/>
                <w:b/>
                <w:bCs/>
                <w:i/>
                <w:iCs/>
                <w:color w:val="FF0000"/>
                <w:sz w:val="20"/>
              </w:rPr>
              <w:t>GAF does have the option for requesting “Small Refiner Status” which would delay the requirement for gasoline until 2006 and diesel until 2010.</w:t>
            </w:r>
          </w:p>
        </w:tc>
      </w:tr>
      <w:tr>
        <w:trPr/>
        <w:tc>
          <w:tcPr>
            <w:tcW w:w="5310" w:type="dxa"/>
            <w:tcBorders>
              <w:top w:val="single" w:sz="6" w:space="0" w:color="000000"/>
              <w:start w:val="single" w:sz="6" w:space="0" w:color="000000"/>
              <w:bottom w:val="single" w:sz="6" w:space="0" w:color="000000"/>
              <w:end w:val="single" w:sz="6" w:space="0" w:color="000000"/>
            </w:tcBorders>
          </w:tcPr>
          <w:p>
            <w:pPr>
              <w:pStyle w:val="Heading1"/>
              <w:ind w:hanging="0" w:start="0"/>
              <w:rPr>
                <w:rFonts w:ascii="Arial" w:hAnsi="Arial" w:cs="Arial"/>
                <w:b w:val="false"/>
                <w:bCs/>
                <w:szCs w:val="24"/>
              </w:rPr>
            </w:pPr>
            <w:r>
              <w:rPr>
                <w:rFonts w:cs="Arial" w:ascii="Arial" w:hAnsi="Arial"/>
                <w:bCs/>
                <w:szCs w:val="24"/>
              </w:rPr>
              <w:t>Single Asset Concentration Issues</w:t>
            </w:r>
          </w:p>
          <w:p>
            <w:pPr>
              <w:pStyle w:val="Normal"/>
              <w:numPr>
                <w:ilvl w:val="0"/>
                <w:numId w:val="7"/>
              </w:numPr>
              <w:tabs>
                <w:tab w:val="clear" w:pos="720"/>
                <w:tab w:val="left" w:pos="342" w:leader="none"/>
              </w:tabs>
              <w:ind w:hanging="360" w:start="342" w:end="0"/>
              <w:rPr>
                <w:rFonts w:ascii="Arial" w:hAnsi="Arial" w:cs="Arial"/>
                <w:sz w:val="20"/>
              </w:rPr>
            </w:pPr>
            <w:r>
              <w:rPr>
                <w:rFonts w:eastAsia="Arial" w:cs="Arial" w:ascii="Arial" w:hAnsi="Arial"/>
                <w:sz w:val="20"/>
              </w:rPr>
              <w:t xml:space="preserve"> </w:t>
            </w:r>
            <w:r>
              <w:rPr>
                <w:rFonts w:cs="Arial" w:ascii="Arial" w:hAnsi="Arial"/>
                <w:sz w:val="20"/>
              </w:rPr>
              <w:t xml:space="preserve">Only one refinery will be operated by GAF. </w:t>
            </w:r>
          </w:p>
        </w:tc>
        <w:tc>
          <w:tcPr>
            <w:tcW w:w="4680" w:type="dxa"/>
            <w:tcBorders>
              <w:top w:val="single" w:sz="6" w:space="0" w:color="000000"/>
              <w:start w:val="single" w:sz="6" w:space="0" w:color="000000"/>
              <w:bottom w:val="single" w:sz="6" w:space="0" w:color="000000"/>
              <w:end w:val="single" w:sz="6" w:space="0" w:color="000000"/>
            </w:tcBorders>
          </w:tcPr>
          <w:p>
            <w:pPr>
              <w:pStyle w:val="Normal"/>
              <w:numPr>
                <w:ilvl w:val="0"/>
                <w:numId w:val="7"/>
              </w:numPr>
              <w:ind w:hanging="360" w:start="342" w:end="0"/>
              <w:jc w:val="both"/>
              <w:rPr>
                <w:rFonts w:ascii="Arial" w:hAnsi="Arial" w:cs="Arial"/>
                <w:color w:val="000000"/>
                <w:sz w:val="20"/>
              </w:rPr>
            </w:pPr>
            <w:r>
              <w:rPr>
                <w:rFonts w:cs="Arial" w:ascii="Arial" w:hAnsi="Arial"/>
                <w:b/>
                <w:bCs/>
                <w:i/>
                <w:iCs/>
                <w:color w:val="FF0000"/>
                <w:sz w:val="20"/>
              </w:rPr>
              <w:t>Any cash flow from gathering assets as well as Philipsburg refinery are “callable” if GAF doesn’t maintain certain minimums (working capital, D/E, et al ratios).</w:t>
            </w:r>
          </w:p>
          <w:p>
            <w:pPr>
              <w:pStyle w:val="Normal"/>
              <w:numPr>
                <w:ilvl w:val="0"/>
                <w:numId w:val="7"/>
              </w:numPr>
              <w:ind w:hanging="360" w:start="342" w:end="0"/>
              <w:jc w:val="both"/>
              <w:rPr>
                <w:rFonts w:ascii="Arial" w:hAnsi="Arial" w:cs="Arial"/>
                <w:color w:val="000000"/>
                <w:sz w:val="20"/>
              </w:rPr>
            </w:pPr>
            <w:r>
              <w:rPr>
                <w:rFonts w:cs="Arial" w:ascii="Arial" w:hAnsi="Arial"/>
                <w:b/>
                <w:bCs/>
                <w:i/>
                <w:iCs/>
                <w:color w:val="FF0000"/>
                <w:sz w:val="20"/>
              </w:rPr>
              <w:t xml:space="preserve">EGM is assuming market risk.  GAF will maintain both B.I. and Property Damage insurance to cover operational risk. </w:t>
            </w:r>
          </w:p>
        </w:tc>
      </w:tr>
      <w:tr>
        <w:trPr/>
        <w:tc>
          <w:tcPr>
            <w:tcW w:w="5310" w:type="dxa"/>
            <w:tcBorders>
              <w:top w:val="single" w:sz="6" w:space="0" w:color="000000"/>
              <w:start w:val="single" w:sz="6" w:space="0" w:color="000000"/>
              <w:bottom w:val="single" w:sz="6" w:space="0" w:color="000000"/>
              <w:end w:val="single" w:sz="6" w:space="0" w:color="000000"/>
            </w:tcBorders>
          </w:tcPr>
          <w:p>
            <w:pPr>
              <w:pStyle w:val="Heading1"/>
              <w:ind w:hanging="0" w:start="0"/>
              <w:rPr>
                <w:rFonts w:ascii="Arial" w:hAnsi="Arial" w:cs="Arial"/>
                <w:bCs/>
                <w:szCs w:val="24"/>
                <w:u w:val="single"/>
              </w:rPr>
            </w:pPr>
            <w:r>
              <w:rPr>
                <w:rFonts w:cs="Arial" w:ascii="Arial" w:hAnsi="Arial"/>
                <w:bCs/>
                <w:szCs w:val="24"/>
                <w:u w:val="single"/>
              </w:rPr>
              <w:t>Refinery Yields</w:t>
            </w:r>
          </w:p>
          <w:p>
            <w:pPr>
              <w:pStyle w:val="Heading1"/>
              <w:numPr>
                <w:ilvl w:val="0"/>
                <w:numId w:val="7"/>
              </w:numPr>
              <w:rPr>
                <w:rFonts w:ascii="Arial" w:hAnsi="Arial" w:cs="Arial"/>
                <w:bCs/>
                <w:szCs w:val="24"/>
              </w:rPr>
            </w:pPr>
            <w:r>
              <w:rPr>
                <w:rFonts w:cs="Arial" w:ascii="Arial" w:hAnsi="Arial"/>
                <w:bCs/>
                <w:i/>
                <w:iCs/>
                <w:color w:val="FF0000"/>
                <w:szCs w:val="24"/>
              </w:rPr>
              <w:t>There is a risk the refinery cannot produce enough physical barrels of products (yield) to cover its financial obligations under the swap.</w:t>
            </w:r>
          </w:p>
        </w:tc>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cs="Arial"/>
                <w:bCs/>
                <w:color w:val="000000"/>
                <w:sz w:val="20"/>
                <w:szCs w:val="24"/>
              </w:rPr>
            </w:pPr>
            <w:r>
              <w:rPr>
                <w:rFonts w:cs="Arial" w:ascii="Arial" w:hAnsi="Arial"/>
                <w:bCs/>
                <w:color w:val="000000"/>
                <w:sz w:val="20"/>
                <w:szCs w:val="24"/>
              </w:rPr>
            </w:r>
          </w:p>
          <w:p>
            <w:pPr>
              <w:pStyle w:val="Normal"/>
              <w:numPr>
                <w:ilvl w:val="0"/>
                <w:numId w:val="7"/>
              </w:numPr>
              <w:jc w:val="both"/>
              <w:rPr>
                <w:rFonts w:ascii="Arial" w:hAnsi="Arial" w:cs="Arial"/>
                <w:color w:val="000000"/>
                <w:sz w:val="20"/>
              </w:rPr>
            </w:pPr>
            <w:r>
              <w:rPr>
                <w:rFonts w:cs="Arial" w:ascii="Arial" w:hAnsi="Arial"/>
                <w:b/>
                <w:bCs/>
                <w:i/>
                <w:iCs/>
                <w:color w:val="FF0000"/>
                <w:sz w:val="20"/>
              </w:rPr>
              <w:t>Swap Payment Reserve Account will cover +/- 6 months swap exposure (marked to curve)</w:t>
            </w:r>
          </w:p>
          <w:p>
            <w:pPr>
              <w:pStyle w:val="Normal"/>
              <w:numPr>
                <w:ilvl w:val="0"/>
                <w:numId w:val="7"/>
              </w:numPr>
              <w:jc w:val="both"/>
              <w:rPr>
                <w:rFonts w:ascii="Arial" w:hAnsi="Arial" w:cs="Arial"/>
                <w:color w:val="000000"/>
                <w:sz w:val="20"/>
              </w:rPr>
            </w:pPr>
            <w:r>
              <w:rPr>
                <w:rFonts w:cs="Arial" w:ascii="Arial" w:hAnsi="Arial"/>
                <w:b/>
                <w:bCs/>
                <w:i/>
                <w:iCs/>
                <w:color w:val="FF0000"/>
                <w:sz w:val="20"/>
              </w:rPr>
              <w:t>The swap volumes have been “optimized” to match the best estimate of physical refinery yields according to the reports/studies from UOP, P&amp;G and Stancil.</w:t>
            </w:r>
          </w:p>
          <w:p>
            <w:pPr>
              <w:pStyle w:val="Normal"/>
              <w:numPr>
                <w:ilvl w:val="0"/>
                <w:numId w:val="7"/>
              </w:numPr>
              <w:jc w:val="both"/>
              <w:rPr>
                <w:rFonts w:ascii="Arial" w:hAnsi="Arial" w:cs="Arial"/>
                <w:color w:val="000000"/>
                <w:sz w:val="20"/>
              </w:rPr>
            </w:pPr>
            <w:r>
              <w:rPr>
                <w:rFonts w:eastAsia="Arial" w:cs="Arial" w:ascii="Arial" w:hAnsi="Arial"/>
                <w:b/>
                <w:bCs/>
                <w:i/>
                <w:iCs/>
                <w:color w:val="FF0000"/>
                <w:sz w:val="20"/>
              </w:rPr>
              <w:t xml:space="preserve"> </w:t>
            </w:r>
            <w:r>
              <w:rPr>
                <w:rFonts w:cs="Arial" w:ascii="Arial" w:hAnsi="Arial"/>
                <w:b/>
                <w:bCs/>
                <w:i/>
                <w:iCs/>
                <w:color w:val="FF0000"/>
                <w:sz w:val="20"/>
              </w:rPr>
              <w:t>If the positions have not been hedged, EGM could agree to blend &amp; extend the swap to better match the operational capabilities.</w:t>
            </w:r>
          </w:p>
        </w:tc>
      </w:tr>
      <w:tr>
        <w:trPr/>
        <w:tc>
          <w:tcPr>
            <w:tcW w:w="5310" w:type="dxa"/>
            <w:tcBorders>
              <w:top w:val="single" w:sz="6" w:space="0" w:color="000000"/>
              <w:start w:val="single" w:sz="6" w:space="0" w:color="000000"/>
              <w:bottom w:val="single" w:sz="6" w:space="0" w:color="000000"/>
              <w:end w:val="single" w:sz="6" w:space="0" w:color="000000"/>
            </w:tcBorders>
          </w:tcPr>
          <w:p>
            <w:pPr>
              <w:pStyle w:val="Heading1"/>
              <w:snapToGrid w:val="false"/>
              <w:ind w:hanging="0" w:start="0"/>
              <w:rPr>
                <w:rFonts w:ascii="Arial" w:hAnsi="Arial" w:cs="Arial"/>
                <w:bCs/>
                <w:color w:val="000000"/>
                <w:sz w:val="20"/>
                <w:szCs w:val="24"/>
              </w:rPr>
            </w:pPr>
            <w:r>
              <w:rPr>
                <w:rFonts w:cs="Arial" w:ascii="Arial" w:hAnsi="Arial"/>
                <w:bCs/>
                <w:color w:val="000000"/>
                <w:sz w:val="20"/>
                <w:szCs w:val="24"/>
              </w:rPr>
            </w:r>
          </w:p>
        </w:tc>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ind w:start="360" w:end="0"/>
              <w:jc w:val="both"/>
              <w:rPr>
                <w:rFonts w:ascii="Arial" w:hAnsi="Arial" w:cs="Arial"/>
                <w:bCs/>
                <w:color w:val="000000"/>
                <w:sz w:val="20"/>
                <w:szCs w:val="24"/>
              </w:rPr>
            </w:pPr>
            <w:r>
              <w:rPr>
                <w:rFonts w:cs="Arial" w:ascii="Arial" w:hAnsi="Arial"/>
                <w:bCs/>
                <w:color w:val="000000"/>
                <w:sz w:val="20"/>
                <w:szCs w:val="24"/>
              </w:rPr>
            </w:r>
          </w:p>
        </w:tc>
      </w:tr>
    </w:tbl>
    <w:p>
      <w:pPr>
        <w:pStyle w:val="Header"/>
        <w:widowControl/>
        <w:tabs>
          <w:tab w:val="clear" w:pos="4320"/>
          <w:tab w:val="clear" w:pos="8640"/>
        </w:tabs>
        <w:rPr>
          <w:rFonts w:ascii="Arial" w:hAnsi="Arial" w:cs="Arial"/>
        </w:rPr>
      </w:pPr>
      <w:r>
        <w:rPr>
          <w:rFonts w:cs="Arial" w:ascii="Arial" w:hAnsi="Arial"/>
        </w:rPr>
      </w:r>
    </w:p>
    <w:p>
      <w:pPr>
        <w:pStyle w:val="Header"/>
        <w:widowControl/>
        <w:tabs>
          <w:tab w:val="clear" w:pos="4320"/>
          <w:tab w:val="clear" w:pos="8640"/>
        </w:tabs>
        <w:rPr>
          <w:rFonts w:ascii="Arial" w:hAnsi="Arial" w:cs="Arial"/>
        </w:rPr>
      </w:pPr>
      <w:r>
        <w:rPr>
          <w:rFonts w:cs="Arial" w:ascii="Arial" w:hAnsi="Arial"/>
        </w:rPr>
      </w:r>
    </w:p>
    <w:p>
      <w:pPr>
        <w:pStyle w:val="Heading1"/>
        <w:pBdr>
          <w:top w:val="single" w:sz="8" w:space="1" w:color="000000"/>
        </w:pBdr>
        <w:ind w:hanging="0" w:start="0"/>
        <w:rPr>
          <w:rFonts w:ascii="Arial" w:hAnsi="Arial" w:cs="Arial"/>
          <w:b w:val="false"/>
        </w:rPr>
      </w:pPr>
      <w:r>
        <w:rPr>
          <w:rFonts w:cs="Arial" w:ascii="Arial" w:hAnsi="Arial"/>
        </w:rPr>
        <w:t xml:space="preserve">KEY SUCCESS FACTORS </w:t>
      </w:r>
    </w:p>
    <w:p>
      <w:pPr>
        <w:pStyle w:val="Normal"/>
        <w:rPr>
          <w:rFonts w:ascii="Arial" w:hAnsi="Arial" w:cs="Arial"/>
          <w:b/>
          <w:sz w:val="20"/>
        </w:rPr>
      </w:pPr>
      <w:r>
        <w:rPr>
          <w:rFonts w:cs="Arial" w:ascii="Arial" w:hAnsi="Arial"/>
          <w:b/>
          <w:sz w:val="20"/>
        </w:rPr>
      </w:r>
    </w:p>
    <w:tbl>
      <w:tblPr>
        <w:tblW w:w="9990" w:type="dxa"/>
        <w:jc w:val="start"/>
        <w:tblInd w:w="378" w:type="dxa"/>
        <w:tblLayout w:type="fixed"/>
        <w:tblCellMar>
          <w:top w:w="0" w:type="dxa"/>
          <w:start w:w="108" w:type="dxa"/>
          <w:bottom w:w="0" w:type="dxa"/>
          <w:end w:w="108" w:type="dxa"/>
        </w:tblCellMar>
      </w:tblPr>
      <w:tblGrid>
        <w:gridCol w:w="4050"/>
        <w:gridCol w:w="720"/>
        <w:gridCol w:w="2700"/>
        <w:gridCol w:w="2520"/>
      </w:tblGrid>
      <w:tr>
        <w:trPr/>
        <w:tc>
          <w:tcPr>
            <w:tcW w:w="405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NA</w:t>
            </w:r>
          </w:p>
        </w:tc>
        <w:tc>
          <w:tcPr>
            <w:tcW w:w="2700" w:type="dxa"/>
            <w:tcBorders>
              <w:top w:val="single" w:sz="4" w:space="0" w:color="000000"/>
              <w:start w:val="single" w:sz="4" w:space="0" w:color="000000"/>
              <w:bottom w:val="single" w:sz="4" w:space="0" w:color="000000"/>
            </w:tcBorders>
          </w:tcPr>
          <w:p>
            <w:pPr>
              <w:pStyle w:val="Heading1"/>
              <w:ind w:hanging="0" w:start="0"/>
              <w:rPr>
                <w:rFonts w:ascii="Arial" w:hAnsi="Arial" w:cs="Arial"/>
              </w:rPr>
            </w:pPr>
            <w:r>
              <w:rPr>
                <w:rFonts w:cs="Arial" w:ascii="Arial" w:hAnsi="Arial"/>
              </w:rPr>
              <w:t>Poor</w:t>
            </w:r>
          </w:p>
        </w:tc>
        <w:tc>
          <w:tcPr>
            <w:tcW w:w="2520" w:type="dxa"/>
            <w:tcBorders>
              <w:top w:val="single" w:sz="4" w:space="0" w:color="000000"/>
              <w:bottom w:val="single" w:sz="4" w:space="0" w:color="000000"/>
              <w:end w:val="single" w:sz="4" w:space="0" w:color="000000"/>
            </w:tcBorders>
          </w:tcPr>
          <w:p>
            <w:pPr>
              <w:pStyle w:val="Heading1"/>
              <w:ind w:hanging="0" w:start="0"/>
              <w:jc w:val="end"/>
              <w:rPr>
                <w:rFonts w:ascii="Arial" w:hAnsi="Arial" w:cs="Arial"/>
              </w:rPr>
            </w:pPr>
            <w:r>
              <w:rPr>
                <w:rFonts w:cs="Arial" w:ascii="Arial" w:hAnsi="Arial"/>
              </w:rPr>
              <w:t>Excellent</w:t>
            </w:r>
          </w:p>
        </w:tc>
      </w:tr>
      <w:tr>
        <w:trPr/>
        <w:tc>
          <w:tcPr>
            <w:tcW w:w="405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rFonts w:ascii="Arial" w:hAnsi="Arial" w:cs="Arial"/>
              </w:rPr>
            </w:pPr>
            <w:r>
              <w:rPr>
                <w:rFonts w:cs="Arial" w:ascii="Arial" w:hAnsi="Arial"/>
              </w:rPr>
              <w:t>Core Business</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5220"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0"/>
              </w:rPr>
            </w:pPr>
            <w:r>
              <w:rPr>
                <w:rFonts w:eastAsia="Arial" w:cs="Arial" w:ascii="Arial" w:hAnsi="Arial"/>
                <w:b/>
                <w:sz w:val="20"/>
              </w:rPr>
              <w:t xml:space="preserve">                                   </w:t>
            </w:r>
            <w:r>
              <w:rPr>
                <w:rFonts w:cs="Arial" w:ascii="Arial" w:hAnsi="Arial"/>
                <w:b/>
                <w:sz w:val="20"/>
              </w:rPr>
              <w:t>X – 1</w:t>
            </w:r>
          </w:p>
        </w:tc>
      </w:tr>
      <w:tr>
        <w:trPr/>
        <w:tc>
          <w:tcPr>
            <w:tcW w:w="40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Strategic Fit</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5220"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0"/>
              </w:rPr>
            </w:pPr>
            <w:r>
              <w:rPr>
                <w:rFonts w:eastAsia="Arial" w:cs="Arial" w:ascii="Arial" w:hAnsi="Arial"/>
                <w:b/>
                <w:sz w:val="20"/>
              </w:rPr>
              <w:t xml:space="preserve">                                  </w:t>
            </w:r>
            <w:r>
              <w:rPr>
                <w:rFonts w:cs="Arial" w:ascii="Arial" w:hAnsi="Arial"/>
                <w:b/>
                <w:sz w:val="20"/>
              </w:rPr>
              <w:t>X - 1</w:t>
            </w:r>
          </w:p>
        </w:tc>
      </w:tr>
      <w:tr>
        <w:trPr/>
        <w:tc>
          <w:tcPr>
            <w:tcW w:w="40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Upside Potential</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5220" w:type="dxa"/>
            <w:gridSpan w:val="2"/>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0"/>
              </w:rPr>
            </w:pPr>
            <w:r>
              <w:rPr>
                <w:rFonts w:eastAsia="Arial" w:cs="Arial" w:ascii="Arial" w:hAnsi="Arial"/>
                <w:b/>
                <w:sz w:val="20"/>
              </w:rPr>
              <w:t xml:space="preserve">                                                                </w:t>
            </w:r>
            <w:r>
              <w:rPr>
                <w:rFonts w:cs="Arial" w:ascii="Arial" w:hAnsi="Arial"/>
                <w:b/>
                <w:sz w:val="20"/>
              </w:rPr>
              <w:t>X</w:t>
            </w:r>
          </w:p>
        </w:tc>
      </w:tr>
      <w:tr>
        <w:trPr/>
        <w:tc>
          <w:tcPr>
            <w:tcW w:w="40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Management</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5220" w:type="dxa"/>
            <w:gridSpan w:val="2"/>
            <w:tcBorders>
              <w:top w:val="single" w:sz="4" w:space="0" w:color="000000"/>
              <w:start w:val="single" w:sz="4" w:space="0" w:color="000000"/>
              <w:bottom w:val="single" w:sz="4" w:space="0" w:color="000000"/>
              <w:end w:val="single" w:sz="4" w:space="0" w:color="000000"/>
            </w:tcBorders>
          </w:tcPr>
          <w:p>
            <w:pPr>
              <w:pStyle w:val="Normal"/>
              <w:rPr/>
            </w:pPr>
            <w:r>
              <w:rPr>
                <w:rFonts w:eastAsia="Arial" w:cs="Arial" w:ascii="Arial" w:hAnsi="Arial"/>
                <w:b/>
                <w:sz w:val="20"/>
              </w:rPr>
              <w:t xml:space="preserve">                                                          </w:t>
            </w:r>
            <w:r>
              <w:rPr>
                <w:rFonts w:cs="Arial" w:ascii="Arial" w:hAnsi="Arial"/>
                <w:b/>
                <w:i/>
                <w:iCs/>
                <w:color w:val="FF0000"/>
                <w:sz w:val="20"/>
              </w:rPr>
              <w:t>X - 2</w:t>
            </w:r>
          </w:p>
        </w:tc>
      </w:tr>
      <w:tr>
        <w:trPr/>
        <w:tc>
          <w:tcPr>
            <w:tcW w:w="40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Risk Mitigation</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5220" w:type="dxa"/>
            <w:gridSpan w:val="2"/>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0"/>
              </w:rPr>
            </w:pPr>
            <w:r>
              <w:rPr>
                <w:rFonts w:eastAsia="Arial" w:cs="Arial" w:ascii="Arial" w:hAnsi="Arial"/>
                <w:b/>
                <w:sz w:val="20"/>
              </w:rPr>
              <w:t xml:space="preserve">         </w:t>
            </w:r>
            <w:r>
              <w:rPr>
                <w:rFonts w:cs="Arial" w:ascii="Arial" w:hAnsi="Arial"/>
                <w:b/>
                <w:sz w:val="20"/>
              </w:rPr>
              <w:t>X</w:t>
            </w:r>
          </w:p>
        </w:tc>
      </w:tr>
      <w:tr>
        <w:trPr/>
        <w:tc>
          <w:tcPr>
            <w:tcW w:w="405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0"/>
              </w:rPr>
            </w:pPr>
            <w:r>
              <w:rPr>
                <w:rFonts w:cs="Arial" w:ascii="Arial" w:hAnsi="Arial"/>
                <w:b/>
                <w:sz w:val="20"/>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5220"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sz w:val="20"/>
              </w:rPr>
            </w:pPr>
            <w:r>
              <w:rPr>
                <w:rFonts w:cs="Arial" w:ascii="Arial" w:hAnsi="Arial"/>
                <w:b/>
                <w:sz w:val="20"/>
              </w:rPr>
            </w:r>
          </w:p>
        </w:tc>
      </w:tr>
    </w:tbl>
    <w:p>
      <w:pPr>
        <w:pStyle w:val="Normal"/>
        <w:rPr>
          <w:rFonts w:ascii="Arial" w:hAnsi="Arial" w:cs="Arial"/>
          <w:sz w:val="20"/>
        </w:rPr>
      </w:pPr>
      <w:r>
        <w:rPr>
          <w:rFonts w:cs="Arial" w:ascii="Arial" w:hAnsi="Arial"/>
          <w:sz w:val="20"/>
        </w:rPr>
      </w:r>
    </w:p>
    <w:p>
      <w:pPr>
        <w:pStyle w:val="Normal"/>
        <w:numPr>
          <w:ilvl w:val="0"/>
          <w:numId w:val="11"/>
        </w:numPr>
        <w:rPr>
          <w:rFonts w:ascii="Arial" w:hAnsi="Arial" w:cs="Arial"/>
          <w:sz w:val="20"/>
        </w:rPr>
      </w:pPr>
      <w:r>
        <w:rPr>
          <w:rFonts w:cs="Arial" w:ascii="Arial" w:hAnsi="Arial"/>
          <w:sz w:val="20"/>
        </w:rPr>
        <w:t>with respect to how this investment would support the liquids trading/marketing operations of EWS and not relating to the base business of refining</w:t>
      </w:r>
    </w:p>
    <w:p>
      <w:pPr>
        <w:pStyle w:val="Normal"/>
        <w:ind w:start="360" w:end="0"/>
        <w:rPr/>
      </w:pPr>
      <w:r>
        <w:rPr>
          <w:rFonts w:cs="Arial" w:ascii="Arial" w:hAnsi="Arial"/>
          <w:b/>
          <w:i/>
          <w:iCs/>
          <w:color w:val="FF0000"/>
          <w:sz w:val="20"/>
        </w:rPr>
        <w:t xml:space="preserve">2 - </w:t>
      </w:r>
      <w:r>
        <w:rPr>
          <w:b/>
          <w:bCs/>
          <w:i/>
          <w:iCs/>
          <w:color w:val="FF0000"/>
        </w:rPr>
        <w:t xml:space="preserve">Quality of Management:  since the “questionable” principals will not be on the board or on any </w:t>
      </w:r>
    </w:p>
    <w:p>
      <w:pPr>
        <w:pStyle w:val="Normal"/>
        <w:ind w:start="360" w:end="0"/>
        <w:rPr/>
      </w:pPr>
      <w:r>
        <w:rPr>
          <w:rFonts w:eastAsia="Arial" w:cs="Arial" w:ascii="Arial" w:hAnsi="Arial"/>
          <w:b/>
          <w:i/>
          <w:iCs/>
          <w:color w:val="FF0000"/>
          <w:sz w:val="20"/>
        </w:rPr>
        <w:t xml:space="preserve">    </w:t>
      </w:r>
      <w:r>
        <w:rPr>
          <w:b/>
          <w:bCs/>
          <w:i/>
          <w:iCs/>
          <w:color w:val="FF0000"/>
        </w:rPr>
        <w:t xml:space="preserve">management committees, my evaluation is based on the Pres/CEO, CFO and other </w:t>
      </w:r>
    </w:p>
    <w:p>
      <w:pPr>
        <w:pStyle w:val="Normal"/>
        <w:ind w:start="360" w:end="0"/>
        <w:rPr>
          <w:b/>
          <w:bCs/>
          <w:i/>
          <w:i/>
          <w:iCs/>
          <w:color w:val="FF0000"/>
        </w:rPr>
      </w:pPr>
      <w:r>
        <w:rPr>
          <w:b/>
          <w:bCs/>
          <w:i/>
          <w:iCs/>
          <w:color w:val="FF0000"/>
        </w:rPr>
        <w:t xml:space="preserve">    </w:t>
      </w:r>
      <w:r>
        <w:rPr>
          <w:b/>
          <w:bCs/>
          <w:i/>
          <w:iCs/>
          <w:color w:val="FF0000"/>
        </w:rPr>
        <w:t>officers/employees of GAF.</w:t>
      </w:r>
      <w:r>
        <w:br w:type="page"/>
      </w:r>
    </w:p>
    <w:p>
      <w:pPr>
        <w:pStyle w:val="Normal"/>
        <w:ind w:start="360" w:end="0"/>
        <w:rPr>
          <w:rFonts w:ascii="Arial" w:hAnsi="Arial" w:cs="Arial"/>
          <w:b/>
          <w:sz w:val="20"/>
        </w:rPr>
      </w:pPr>
      <w:r>
        <w:rPr>
          <w:rFonts w:cs="Arial" w:ascii="Arial" w:hAnsi="Arial"/>
          <w:b/>
          <w:sz w:val="20"/>
        </w:rPr>
      </w:r>
    </w:p>
    <w:p>
      <w:pPr>
        <w:pStyle w:val="Normal"/>
        <w:pBdr>
          <w:top w:val="single" w:sz="8" w:space="5" w:color="000000"/>
        </w:pBdr>
        <w:rPr>
          <w:rFonts w:ascii="Arial" w:hAnsi="Arial" w:cs="Arial"/>
          <w:b/>
          <w:sz w:val="20"/>
        </w:rPr>
      </w:pPr>
      <w:r>
        <w:rPr>
          <w:rFonts w:cs="Arial" w:ascii="Arial" w:hAnsi="Arial"/>
          <w:b/>
          <w:sz w:val="20"/>
        </w:rPr>
        <w:t>MILESTONES</w:t>
      </w:r>
    </w:p>
    <w:p>
      <w:pPr>
        <w:pStyle w:val="Normal"/>
        <w:tabs>
          <w:tab w:val="clear" w:pos="720"/>
          <w:tab w:val="left" w:pos="7380" w:leader="none"/>
        </w:tabs>
        <w:rPr>
          <w:rFonts w:ascii="Arial" w:hAnsi="Arial" w:cs="Arial"/>
          <w:b/>
          <w:sz w:val="20"/>
        </w:rPr>
      </w:pPr>
      <w:r>
        <w:rPr>
          <w:rFonts w:cs="Arial" w:ascii="Arial" w:hAnsi="Arial"/>
          <w:b/>
          <w:sz w:val="20"/>
        </w:rPr>
      </w:r>
    </w:p>
    <w:p>
      <w:pPr>
        <w:pStyle w:val="Normal"/>
        <w:tabs>
          <w:tab w:val="clear" w:pos="720"/>
          <w:tab w:val="left" w:pos="7380" w:leader="none"/>
        </w:tabs>
        <w:rPr>
          <w:rFonts w:ascii="Arial" w:hAnsi="Arial" w:cs="Arial"/>
          <w:sz w:val="20"/>
        </w:rPr>
      </w:pPr>
      <w:r>
        <w:rPr>
          <w:rFonts w:cs="Arial" w:ascii="Arial" w:hAnsi="Arial"/>
          <w:sz w:val="20"/>
        </w:rPr>
      </w:r>
    </w:p>
    <w:p>
      <w:pPr>
        <w:pStyle w:val="Normal"/>
        <w:pBdr>
          <w:top w:val="single" w:sz="8" w:space="5" w:color="000000"/>
        </w:pBdr>
        <w:rPr>
          <w:rFonts w:ascii="Arial" w:hAnsi="Arial" w:cs="Arial"/>
          <w:b/>
          <w:sz w:val="20"/>
        </w:rPr>
      </w:pPr>
      <w:r>
        <w:rPr>
          <w:rFonts w:cs="Arial" w:ascii="Arial" w:hAnsi="Arial"/>
          <w:b/>
          <w:sz w:val="20"/>
        </w:rPr>
      </w:r>
    </w:p>
    <w:p>
      <w:pPr>
        <w:pStyle w:val="Normal"/>
        <w:rPr>
          <w:rFonts w:ascii="Arial" w:hAnsi="Arial" w:cs="Arial"/>
          <w:sz w:val="20"/>
        </w:rPr>
      </w:pPr>
      <w:r>
        <w:rPr>
          <w:rFonts w:cs="Arial" w:ascii="Arial" w:hAnsi="Arial"/>
          <w:b/>
          <w:sz w:val="20"/>
        </w:rPr>
        <w:t>OTHER RAC COMMENTS</w:t>
      </w:r>
    </w:p>
    <w:p>
      <w:pPr>
        <w:pStyle w:val="BodyTextIndent"/>
        <w:ind w:start="0" w:end="0"/>
        <w:rPr>
          <w:rFonts w:ascii="Arial" w:hAnsi="Arial" w:cs="Arial"/>
          <w:sz w:val="20"/>
        </w:rPr>
      </w:pPr>
      <w:r>
        <w:rPr>
          <w:rFonts w:cs="Arial"/>
          <w:sz w:val="20"/>
        </w:rPr>
      </w:r>
    </w:p>
    <w:p>
      <w:pPr>
        <w:pStyle w:val="BodyTextIndent"/>
        <w:ind w:start="0" w:end="0"/>
        <w:rPr/>
      </w:pPr>
      <w:r>
        <w:rPr/>
      </w:r>
    </w:p>
    <w:p>
      <w:pPr>
        <w:pStyle w:val="BodyTextIndent"/>
        <w:ind w:start="0" w:end="0"/>
        <w:rPr/>
      </w:pPr>
      <w:r>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tbl>
      <w:tblPr>
        <w:tblW w:w="10548" w:type="dxa"/>
        <w:jc w:val="start"/>
        <w:tblInd w:w="0" w:type="dxa"/>
        <w:tblLayout w:type="fixed"/>
        <w:tblCellMar>
          <w:top w:w="0" w:type="dxa"/>
          <w:start w:w="108" w:type="dxa"/>
          <w:bottom w:w="0" w:type="dxa"/>
          <w:end w:w="108" w:type="dxa"/>
        </w:tblCellMar>
      </w:tblPr>
      <w:tblGrid>
        <w:gridCol w:w="2628"/>
        <w:gridCol w:w="360"/>
        <w:gridCol w:w="2932"/>
        <w:gridCol w:w="354"/>
        <w:gridCol w:w="2924"/>
        <w:gridCol w:w="293"/>
        <w:gridCol w:w="1057"/>
      </w:tblGrid>
      <w:tr>
        <w:trPr>
          <w:trHeight w:val="405" w:hRule="atLeast"/>
        </w:trPr>
        <w:tc>
          <w:tcPr>
            <w:tcW w:w="2628" w:type="dxa"/>
            <w:tcBorders>
              <w:top w:val="single" w:sz="4" w:space="0" w:color="000000"/>
            </w:tcBorders>
            <w:vAlign w:val="bottom"/>
          </w:tcPr>
          <w:p>
            <w:pPr>
              <w:pStyle w:val="Heading1"/>
              <w:ind w:hanging="0" w:start="0"/>
              <w:rPr>
                <w:rFonts w:ascii="Arial" w:hAnsi="Arial" w:cs="Arial"/>
                <w:i/>
                <w:i/>
              </w:rPr>
            </w:pPr>
            <w:r>
              <w:rPr>
                <w:rFonts w:cs="Arial" w:ascii="Arial" w:hAnsi="Arial"/>
              </w:rPr>
              <w:t>APPROVALS</w:t>
            </w:r>
          </w:p>
        </w:tc>
        <w:tc>
          <w:tcPr>
            <w:tcW w:w="360" w:type="dxa"/>
            <w:tcBorders>
              <w:top w:val="single" w:sz="4" w:space="0" w:color="000000"/>
            </w:tcBorders>
            <w:vAlign w:val="bottom"/>
          </w:tcPr>
          <w:p>
            <w:pPr>
              <w:pStyle w:val="Normal"/>
              <w:keepNext w:val="true"/>
              <w:snapToGrid w:val="false"/>
              <w:rPr>
                <w:rFonts w:ascii="Arial" w:hAnsi="Arial" w:cs="Arial"/>
                <w:b/>
                <w:i/>
                <w:i/>
                <w:sz w:val="20"/>
              </w:rPr>
            </w:pPr>
            <w:r>
              <w:rPr>
                <w:rFonts w:cs="Arial" w:ascii="Arial" w:hAnsi="Arial"/>
                <w:b/>
                <w:i/>
                <w:sz w:val="20"/>
              </w:rPr>
            </w:r>
          </w:p>
        </w:tc>
        <w:tc>
          <w:tcPr>
            <w:tcW w:w="2932"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Name</w:t>
            </w:r>
          </w:p>
        </w:tc>
        <w:tc>
          <w:tcPr>
            <w:tcW w:w="354" w:type="dxa"/>
            <w:tcBorders>
              <w:top w:val="single" w:sz="4" w:space="0" w:color="000000"/>
            </w:tcBorders>
            <w:vAlign w:val="bottom"/>
          </w:tcPr>
          <w:p>
            <w:pPr>
              <w:pStyle w:val="Normal"/>
              <w:keepNext w:val="true"/>
              <w:snapToGrid w:val="false"/>
              <w:jc w:val="center"/>
              <w:rPr>
                <w:rFonts w:ascii="Arial" w:hAnsi="Arial" w:cs="Arial"/>
                <w:b/>
                <w:sz w:val="20"/>
              </w:rPr>
            </w:pPr>
            <w:r>
              <w:rPr>
                <w:rFonts w:cs="Arial" w:ascii="Arial" w:hAnsi="Arial"/>
                <w:b/>
                <w:sz w:val="20"/>
              </w:rPr>
            </w:r>
          </w:p>
        </w:tc>
        <w:tc>
          <w:tcPr>
            <w:tcW w:w="2924"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Signature</w:t>
            </w:r>
          </w:p>
        </w:tc>
        <w:tc>
          <w:tcPr>
            <w:tcW w:w="293" w:type="dxa"/>
            <w:tcBorders>
              <w:top w:val="single" w:sz="4" w:space="0" w:color="000000"/>
            </w:tcBorders>
            <w:vAlign w:val="bottom"/>
          </w:tcPr>
          <w:p>
            <w:pPr>
              <w:pStyle w:val="Normal"/>
              <w:keepNext w:val="true"/>
              <w:snapToGrid w:val="false"/>
              <w:jc w:val="center"/>
              <w:rPr>
                <w:rFonts w:ascii="Arial" w:hAnsi="Arial" w:cs="Arial"/>
                <w:b/>
                <w:sz w:val="20"/>
              </w:rPr>
            </w:pPr>
            <w:r>
              <w:rPr>
                <w:rFonts w:cs="Arial" w:ascii="Arial" w:hAnsi="Arial"/>
                <w:b/>
                <w:sz w:val="20"/>
              </w:rPr>
            </w:r>
          </w:p>
        </w:tc>
        <w:tc>
          <w:tcPr>
            <w:tcW w:w="1057"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Date</w:t>
            </w:r>
          </w:p>
        </w:tc>
      </w:tr>
      <w:tr>
        <w:trPr/>
        <w:tc>
          <w:tcPr>
            <w:tcW w:w="2628" w:type="dxa"/>
            <w:tcBorders/>
          </w:tcPr>
          <w:p>
            <w:pPr>
              <w:pStyle w:val="Normal"/>
              <w:spacing w:before="120" w:after="0"/>
              <w:rPr>
                <w:rFonts w:ascii="Arial" w:hAnsi="Arial" w:cs="Arial"/>
                <w:sz w:val="20"/>
              </w:rPr>
            </w:pPr>
            <w:r>
              <w:rPr>
                <w:rFonts w:cs="Arial" w:ascii="Arial" w:hAnsi="Arial"/>
                <w:sz w:val="20"/>
              </w:rPr>
              <w:t>Business Unit Originator</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tcBorders>
          </w:tcPr>
          <w:p>
            <w:pPr>
              <w:pStyle w:val="Normal"/>
              <w:spacing w:before="120" w:after="0"/>
              <w:rPr/>
            </w:pPr>
            <w:r>
              <w:rPr>
                <w:rFonts w:cs="Arial" w:ascii="Arial" w:hAnsi="Arial"/>
                <w:sz w:val="20"/>
              </w:rPr>
              <w:t>Randy O’Conn</w:t>
            </w:r>
            <w:r>
              <w:rPr>
                <w:rFonts w:cs="Arial" w:ascii="Arial" w:hAnsi="Arial"/>
                <w:color w:val="FF0000"/>
                <w:sz w:val="20"/>
                <w:highlight w:val="yellow"/>
              </w:rPr>
              <w:t>o</w:t>
            </w:r>
            <w:r>
              <w:rPr>
                <w:rFonts w:cs="Arial" w:ascii="Arial" w:hAnsi="Arial"/>
                <w:sz w:val="20"/>
              </w:rPr>
              <w:t>r</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628" w:type="dxa"/>
            <w:tcBorders/>
          </w:tcPr>
          <w:p>
            <w:pPr>
              <w:pStyle w:val="Normal"/>
              <w:spacing w:before="120" w:after="0"/>
              <w:ind w:end="-648"/>
              <w:rPr>
                <w:rFonts w:ascii="Arial" w:hAnsi="Arial" w:cs="Arial"/>
                <w:sz w:val="20"/>
              </w:rPr>
            </w:pPr>
            <w:r>
              <w:rPr>
                <w:rFonts w:cs="Arial" w:ascii="Arial" w:hAnsi="Arial"/>
                <w:sz w:val="20"/>
              </w:rPr>
              <w:t>Business Unit Management</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Randy Maffett</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628" w:type="dxa"/>
            <w:tcBorders/>
          </w:tcPr>
          <w:p>
            <w:pPr>
              <w:pStyle w:val="Normal"/>
              <w:spacing w:before="120" w:after="0"/>
              <w:rPr>
                <w:rFonts w:ascii="Arial" w:hAnsi="Arial" w:cs="Arial"/>
                <w:sz w:val="20"/>
              </w:rPr>
            </w:pPr>
            <w:r>
              <w:rPr>
                <w:rFonts w:cs="Arial" w:ascii="Arial" w:hAnsi="Arial"/>
                <w:sz w:val="20"/>
              </w:rPr>
              <w:t>EGM Management</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bottom w:val="single" w:sz="6" w:space="0" w:color="000000"/>
            </w:tcBorders>
          </w:tcPr>
          <w:p>
            <w:pPr>
              <w:pStyle w:val="Normal"/>
              <w:spacing w:before="120" w:after="0"/>
              <w:ind w:end="-236"/>
              <w:rPr>
                <w:rFonts w:ascii="Arial" w:hAnsi="Arial" w:cs="Arial"/>
                <w:sz w:val="20"/>
              </w:rPr>
            </w:pPr>
            <w:r>
              <w:rPr>
                <w:rFonts w:cs="Arial" w:ascii="Arial" w:hAnsi="Arial"/>
                <w:sz w:val="20"/>
              </w:rPr>
              <w:t>Mike McConnell/Jeff Shankman</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628" w:type="dxa"/>
            <w:tcBorders/>
          </w:tcPr>
          <w:p>
            <w:pPr>
              <w:pStyle w:val="Normal"/>
              <w:spacing w:before="120" w:after="0"/>
              <w:rPr>
                <w:rFonts w:ascii="Arial" w:hAnsi="Arial" w:cs="Arial"/>
                <w:sz w:val="20"/>
              </w:rPr>
            </w:pPr>
            <w:r>
              <w:rPr>
                <w:rFonts w:cs="Arial" w:ascii="Arial" w:hAnsi="Arial"/>
                <w:sz w:val="20"/>
              </w:rPr>
              <w:t>EWS Legal</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Mark Haedicke</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628" w:type="dxa"/>
            <w:tcBorders/>
          </w:tcPr>
          <w:p>
            <w:pPr>
              <w:pStyle w:val="Normal"/>
              <w:spacing w:before="120" w:after="0"/>
              <w:rPr>
                <w:rFonts w:ascii="Arial" w:hAnsi="Arial" w:cs="Arial"/>
                <w:sz w:val="20"/>
              </w:rPr>
            </w:pPr>
            <w:r>
              <w:rPr>
                <w:rFonts w:cs="Arial" w:ascii="Arial" w:hAnsi="Arial"/>
                <w:sz w:val="20"/>
              </w:rPr>
              <w:t>RAC Management</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Rick Buy/Dave Gorte</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628" w:type="dxa"/>
            <w:tcBorders/>
          </w:tcPr>
          <w:p>
            <w:pPr>
              <w:pStyle w:val="Normal"/>
              <w:spacing w:before="120" w:after="0"/>
              <w:rPr>
                <w:rFonts w:ascii="Arial" w:hAnsi="Arial" w:cs="Arial"/>
                <w:sz w:val="20"/>
              </w:rPr>
            </w:pPr>
            <w:r>
              <w:rPr>
                <w:rFonts w:cs="Arial" w:ascii="Arial" w:hAnsi="Arial"/>
                <w:sz w:val="20"/>
              </w:rPr>
              <w:t>Enron Global Finance</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Andy Fastow/Ben Glisan</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628" w:type="dxa"/>
            <w:tcBorders/>
          </w:tcPr>
          <w:p>
            <w:pPr>
              <w:pStyle w:val="Normal"/>
              <w:spacing w:before="120" w:after="0"/>
              <w:rPr>
                <w:rFonts w:ascii="Arial" w:hAnsi="Arial" w:cs="Arial"/>
                <w:sz w:val="20"/>
              </w:rPr>
            </w:pPr>
            <w:r>
              <w:rPr>
                <w:rFonts w:cs="Arial" w:ascii="Arial" w:hAnsi="Arial"/>
                <w:sz w:val="20"/>
              </w:rPr>
              <w:t>ENE  OOC</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tcBorders>
          </w:tcPr>
          <w:p>
            <w:pPr>
              <w:pStyle w:val="Normal"/>
              <w:spacing w:before="120" w:after="0"/>
              <w:rPr>
                <w:rFonts w:ascii="Arial" w:hAnsi="Arial" w:cs="Arial"/>
                <w:sz w:val="20"/>
              </w:rPr>
            </w:pPr>
            <w:r>
              <w:rPr>
                <w:rFonts w:cs="Arial" w:ascii="Arial" w:hAnsi="Arial"/>
                <w:sz w:val="20"/>
              </w:rPr>
              <w:t>Mark Frevert/Greg Whalley</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tcBorders>
          </w:tcPr>
          <w:p>
            <w:pPr>
              <w:pStyle w:val="Normal"/>
              <w:snapToGrid w:val="false"/>
              <w:spacing w:before="120" w:after="0"/>
              <w:jc w:val="center"/>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628" w:type="dxa"/>
            <w:tcBorders/>
          </w:tcPr>
          <w:p>
            <w:pPr>
              <w:pStyle w:val="Normal"/>
              <w:spacing w:before="120" w:after="0"/>
              <w:rPr>
                <w:rFonts w:ascii="Arial" w:hAnsi="Arial" w:cs="Arial"/>
                <w:sz w:val="20"/>
              </w:rPr>
            </w:pPr>
            <w:r>
              <w:rPr>
                <w:rFonts w:cs="Arial" w:ascii="Arial" w:hAnsi="Arial"/>
                <w:sz w:val="20"/>
              </w:rPr>
              <w:t>ENE  Chairman</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Ken Lay</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628" w:type="dxa"/>
            <w:tcBorders/>
          </w:tcPr>
          <w:p>
            <w:pPr>
              <w:pStyle w:val="Normal"/>
              <w:snapToGrid w:val="false"/>
              <w:spacing w:before="120" w:after="0"/>
              <w:rPr>
                <w:rFonts w:ascii="Arial" w:hAnsi="Arial" w:cs="Arial"/>
                <w:sz w:val="20"/>
              </w:rPr>
            </w:pPr>
            <w:r>
              <w:rPr>
                <w:rFonts w:cs="Arial" w:ascii="Arial" w:hAnsi="Arial"/>
                <w:sz w:val="20"/>
              </w:rPr>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bottom w:val="single" w:sz="4" w:space="0" w:color="000000"/>
            </w:tcBorders>
          </w:tcPr>
          <w:p>
            <w:pPr>
              <w:pStyle w:val="Normal"/>
              <w:snapToGrid w:val="false"/>
              <w:spacing w:before="120" w:after="0"/>
              <w:rPr>
                <w:rFonts w:ascii="Arial" w:hAnsi="Arial" w:cs="Arial"/>
                <w:sz w:val="20"/>
              </w:rPr>
            </w:pPr>
            <w:r>
              <w:rPr>
                <w:rFonts w:cs="Arial" w:ascii="Arial" w:hAnsi="Arial"/>
                <w:sz w:val="20"/>
              </w:rPr>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4"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bl>
    <w:p>
      <w:pPr>
        <w:pStyle w:val="Normal"/>
        <w:rPr>
          <w:rFonts w:ascii="Arial" w:hAnsi="Arial" w:cs="Arial"/>
          <w:b/>
          <w:sz w:val="20"/>
          <w:u w:val="single"/>
        </w:rPr>
      </w:pPr>
      <w:r>
        <w:br w:type="page"/>
      </w:r>
      <w:r>
        <w:rPr>
          <w:rFonts w:cs="Arial" w:ascii="Arial" w:hAnsi="Arial"/>
          <w:b/>
          <w:sz w:val="20"/>
          <w:u w:val="single"/>
        </w:rPr>
      </w:r>
    </w:p>
    <w:p>
      <w:pPr>
        <w:pStyle w:val="Normal"/>
        <w:rPr>
          <w:rFonts w:ascii="Arial" w:hAnsi="Arial" w:cs="Arial"/>
          <w:b/>
          <w:sz w:val="20"/>
          <w:u w:val="single"/>
        </w:rPr>
      </w:pPr>
      <w:r>
        <w:rPr>
          <w:rFonts w:cs="Arial" w:ascii="Arial" w:hAnsi="Arial"/>
          <w:b/>
          <w:sz w:val="20"/>
          <w:u w:val="single"/>
        </w:rPr>
        <w:t>Global Finance Summary (addendum to DASH)</w:t>
      </w:r>
    </w:p>
    <w:p>
      <w:pPr>
        <w:pStyle w:val="Normal"/>
        <w:jc w:val="end"/>
        <w:rPr>
          <w:rFonts w:ascii="Arial" w:hAnsi="Arial" w:cs="Arial"/>
          <w:b/>
          <w:sz w:val="20"/>
          <w:u w:val="single"/>
        </w:rPr>
      </w:pPr>
      <w:r>
        <w:rPr>
          <w:rFonts w:cs="Arial" w:ascii="Arial" w:hAnsi="Arial"/>
          <w:b/>
          <w:sz w:val="20"/>
          <w:u w:val="single"/>
        </w:rPr>
      </w:r>
    </w:p>
    <w:p>
      <w:pPr>
        <w:pStyle w:val="Normal"/>
        <w:numPr>
          <w:ilvl w:val="0"/>
          <w:numId w:val="3"/>
        </w:numPr>
        <w:rPr>
          <w:rFonts w:ascii="Arial" w:hAnsi="Arial" w:cs="Arial"/>
          <w:b/>
          <w:sz w:val="20"/>
        </w:rPr>
      </w:pPr>
      <w:r>
        <w:rPr/>
        <w:t>Transaction Summary</w:t>
        <w:br/>
      </w:r>
    </w:p>
    <w:tbl>
      <w:tblPr>
        <w:tblW w:w="9900" w:type="dxa"/>
        <w:jc w:val="start"/>
        <w:tblInd w:w="378" w:type="dxa"/>
        <w:tblLayout w:type="fixed"/>
        <w:tblCellMar>
          <w:top w:w="0" w:type="dxa"/>
          <w:start w:w="108" w:type="dxa"/>
          <w:bottom w:w="0" w:type="dxa"/>
          <w:end w:w="108" w:type="dxa"/>
        </w:tblCellMar>
      </w:tblPr>
      <w:tblGrid>
        <w:gridCol w:w="7650"/>
        <w:gridCol w:w="2250"/>
      </w:tblGrid>
      <w:tr>
        <w:trPr/>
        <w:tc>
          <w:tcPr>
            <w:tcW w:w="7650" w:type="dxa"/>
            <w:tcBorders/>
          </w:tcPr>
          <w:p>
            <w:pPr>
              <w:pStyle w:val="Normal"/>
              <w:snapToGrid w:val="false"/>
              <w:rPr>
                <w:rFonts w:ascii="Arial" w:hAnsi="Arial" w:cs="Arial"/>
                <w:sz w:val="20"/>
              </w:rPr>
            </w:pPr>
            <w:r>
              <w:rPr>
                <w:rFonts w:cs="Arial" w:ascii="Arial" w:hAnsi="Arial"/>
                <w:sz w:val="20"/>
              </w:rPr>
            </w:r>
          </w:p>
        </w:tc>
        <w:tc>
          <w:tcPr>
            <w:tcW w:w="2250" w:type="dxa"/>
            <w:tcBorders>
              <w:bottom w:val="single" w:sz="4" w:space="0" w:color="000000"/>
            </w:tcBorders>
          </w:tcPr>
          <w:p>
            <w:pPr>
              <w:pStyle w:val="Normal"/>
              <w:jc w:val="end"/>
              <w:rPr>
                <w:rFonts w:ascii="Arial" w:hAnsi="Arial" w:cs="Arial"/>
                <w:sz w:val="20"/>
              </w:rPr>
            </w:pPr>
            <w:r>
              <w:rPr>
                <w:rFonts w:cs="Arial" w:ascii="Arial" w:hAnsi="Arial"/>
                <w:sz w:val="20"/>
              </w:rPr>
              <w:t>Amount ($000s)</w:t>
            </w:r>
          </w:p>
        </w:tc>
      </w:tr>
      <w:tr>
        <w:trPr/>
        <w:tc>
          <w:tcPr>
            <w:tcW w:w="7650" w:type="dxa"/>
            <w:tcBorders/>
          </w:tcPr>
          <w:p>
            <w:pPr>
              <w:pStyle w:val="Normal"/>
              <w:rPr>
                <w:rFonts w:ascii="Arial" w:hAnsi="Arial" w:cs="Arial"/>
                <w:sz w:val="20"/>
              </w:rPr>
            </w:pPr>
            <w:r>
              <w:rPr>
                <w:rFonts w:cs="Arial" w:ascii="Arial" w:hAnsi="Arial"/>
                <w:sz w:val="20"/>
              </w:rPr>
              <w:t>Total Deal/Project Capital Commitment</w:t>
            </w:r>
          </w:p>
        </w:tc>
        <w:tc>
          <w:tcPr>
            <w:tcW w:w="2250" w:type="dxa"/>
            <w:tcBorders/>
          </w:tcPr>
          <w:p>
            <w:pPr>
              <w:pStyle w:val="Normal"/>
              <w:snapToGrid w:val="false"/>
              <w:jc w:val="end"/>
              <w:rPr>
                <w:rFonts w:ascii="Arial" w:hAnsi="Arial" w:cs="Arial"/>
                <w:sz w:val="20"/>
              </w:rPr>
            </w:pPr>
            <w:r>
              <w:rPr>
                <w:rFonts w:cs="Arial" w:ascii="Arial" w:hAnsi="Arial"/>
                <w:sz w:val="20"/>
              </w:rPr>
            </w:r>
          </w:p>
        </w:tc>
      </w:tr>
      <w:tr>
        <w:trPr/>
        <w:tc>
          <w:tcPr>
            <w:tcW w:w="7650" w:type="dxa"/>
            <w:tcBorders/>
          </w:tcPr>
          <w:p>
            <w:pPr>
              <w:pStyle w:val="Normal"/>
              <w:rPr>
                <w:rFonts w:ascii="Arial" w:hAnsi="Arial" w:cs="Arial"/>
                <w:sz w:val="20"/>
              </w:rPr>
            </w:pPr>
            <w:r>
              <w:rPr>
                <w:rFonts w:cs="Arial" w:ascii="Arial" w:hAnsi="Arial"/>
                <w:sz w:val="20"/>
              </w:rPr>
              <w:t>Less: Financing</w:t>
            </w:r>
          </w:p>
        </w:tc>
        <w:tc>
          <w:tcPr>
            <w:tcW w:w="2250" w:type="dxa"/>
            <w:tcBorders/>
          </w:tcPr>
          <w:p>
            <w:pPr>
              <w:pStyle w:val="Normal"/>
              <w:snapToGrid w:val="false"/>
              <w:jc w:val="end"/>
              <w:rPr>
                <w:rFonts w:ascii="Arial" w:hAnsi="Arial" w:cs="Arial"/>
                <w:sz w:val="20"/>
              </w:rPr>
            </w:pPr>
            <w:r>
              <w:rPr>
                <w:rFonts w:cs="Arial" w:ascii="Arial" w:hAnsi="Arial"/>
                <w:sz w:val="20"/>
              </w:rPr>
            </w:r>
          </w:p>
        </w:tc>
      </w:tr>
      <w:tr>
        <w:trPr/>
        <w:tc>
          <w:tcPr>
            <w:tcW w:w="7650" w:type="dxa"/>
            <w:tcBorders/>
          </w:tcPr>
          <w:p>
            <w:pPr>
              <w:pStyle w:val="Normal"/>
              <w:rPr>
                <w:rFonts w:ascii="Arial" w:hAnsi="Arial" w:cs="Arial"/>
                <w:sz w:val="20"/>
              </w:rPr>
            </w:pPr>
            <w:r>
              <w:rPr>
                <w:rFonts w:cs="Arial" w:ascii="Arial" w:hAnsi="Arial"/>
                <w:sz w:val="20"/>
              </w:rPr>
              <w:t>Less: Syndications</w:t>
            </w:r>
          </w:p>
        </w:tc>
        <w:tc>
          <w:tcPr>
            <w:tcW w:w="2250" w:type="dxa"/>
            <w:tcBorders/>
          </w:tcPr>
          <w:p>
            <w:pPr>
              <w:pStyle w:val="Normal"/>
              <w:snapToGrid w:val="false"/>
              <w:jc w:val="end"/>
              <w:rPr>
                <w:rFonts w:ascii="Arial" w:hAnsi="Arial" w:cs="Arial"/>
                <w:sz w:val="20"/>
              </w:rPr>
            </w:pPr>
            <w:r>
              <w:rPr>
                <w:rFonts w:cs="Arial" w:ascii="Arial" w:hAnsi="Arial"/>
                <w:sz w:val="20"/>
              </w:rPr>
            </w:r>
          </w:p>
        </w:tc>
      </w:tr>
      <w:tr>
        <w:trPr>
          <w:trHeight w:val="23" w:hRule="exact"/>
        </w:trPr>
        <w:tc>
          <w:tcPr>
            <w:tcW w:w="7650" w:type="dxa"/>
            <w:tcBorders/>
          </w:tcPr>
          <w:p>
            <w:pPr>
              <w:pStyle w:val="Normal"/>
              <w:rPr>
                <w:rFonts w:ascii="Arial" w:hAnsi="Arial" w:cs="Arial"/>
                <w:sz w:val="20"/>
              </w:rPr>
            </w:pPr>
            <w:r>
              <w:rPr>
                <w:rFonts w:cs="Arial" w:ascii="Arial" w:hAnsi="Arial"/>
                <w:sz w:val="20"/>
              </w:rPr>
              <w:t>Net Enron Investment</w:t>
            </w:r>
          </w:p>
        </w:tc>
        <w:tc>
          <w:tcPr>
            <w:tcW w:w="2250" w:type="dxa"/>
            <w:tcBorders/>
          </w:tcPr>
          <w:p>
            <w:pPr>
              <w:pStyle w:val="Normal"/>
              <w:rPr>
                <w:rFonts w:ascii="Arial" w:hAnsi="Arial" w:cs="Arial"/>
                <w:sz w:val="20"/>
                <w:lang w:val="en-CA" w:eastAsia="en-CA"/>
              </w:rPr>
            </w:pPr>
            <w:r>
              <w:fldChar w:fldCharType="begin"/>
            </w:r>
            <w:r>
              <w:rPr>
                <w:sz w:val="20"/>
                <w:rFonts w:cs="Arial" w:ascii="Arial" w:hAnsi="Arial"/>
                <w:lang w:val="en-CA" w:eastAsia="en-CA"/>
              </w:rPr>
              <w:instrText xml:space="preserve"> =SUM(ABOVE) \# "$#,##0;($#,##0)"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   0</w:t>
            </w:r>
            <w:r/>
            <w:r>
              <w:rPr>
                <w:sz w:val="20"/>
                <w:rFonts w:cs="Arial" w:ascii="Arial" w:hAnsi="Arial"/>
                <w:lang w:val="en-CA" w:eastAsia="en-CA"/>
              </w:rPr>
              <w:fldChar w:fldCharType="end"/>
            </w:r>
            <w:r>
              <w:rPr>
                <w:rFonts w:cs="Arial" w:ascii="Arial" w:hAnsi="Arial"/>
                <w:sz w:val="20"/>
                <w:lang w:val="en-CA" w:eastAsia="en-CA"/>
              </w:rPr>
            </w:r>
          </w:p>
        </w:tc>
      </w:tr>
    </w:tbl>
    <w:p>
      <w:pPr>
        <w:pStyle w:val="Normal"/>
        <w:rPr>
          <w:rFonts w:ascii="Arial" w:hAnsi="Arial" w:cs="Arial"/>
          <w:sz w:val="20"/>
        </w:rPr>
      </w:pPr>
      <w:r>
        <w:rPr>
          <w:rFonts w:cs="Arial" w:ascii="Arial" w:hAnsi="Arial"/>
          <w:sz w:val="20"/>
        </w:rPr>
      </w:r>
    </w:p>
    <w:p>
      <w:pPr>
        <w:pStyle w:val="Normal"/>
        <w:numPr>
          <w:ilvl w:val="0"/>
          <w:numId w:val="12"/>
        </w:numPr>
        <w:rPr>
          <w:rFonts w:ascii="Arial" w:hAnsi="Arial" w:cs="Arial"/>
          <w:sz w:val="20"/>
        </w:rPr>
      </w:pPr>
      <w:r>
        <w:rPr>
          <w:rFonts w:cs="Arial" w:ascii="Arial" w:hAnsi="Arial"/>
          <w:b/>
          <w:sz w:val="20"/>
        </w:rPr>
        <w:t>Investment terms and pricing:</w:t>
      </w:r>
      <w:r>
        <w:rPr>
          <w:rFonts w:cs="Arial" w:ascii="Arial" w:hAnsi="Arial"/>
          <w:sz w:val="20"/>
        </w:rPr>
        <w:tab/>
        <w:tab/>
      </w:r>
      <w:r>
        <w:rPr>
          <w:rFonts w:cs="Arial" w:ascii="Arial" w:hAnsi="Arial"/>
          <w:b/>
          <w:bCs/>
          <w:sz w:val="20"/>
        </w:rPr>
        <w:t>Market</w:t>
      </w:r>
      <w:r>
        <w:rPr>
          <w:rFonts w:cs="Arial" w:ascii="Arial" w:hAnsi="Arial"/>
          <w:sz w:val="20"/>
        </w:rPr>
        <w:t>,</w:t>
      </w:r>
      <w:r>
        <w:rPr>
          <w:rFonts w:cs="Arial" w:ascii="Arial" w:hAnsi="Arial"/>
          <w:b/>
          <w:bCs/>
          <w:sz w:val="20"/>
        </w:rPr>
        <w:t xml:space="preserve"> Above Market </w:t>
      </w:r>
      <w:r>
        <w:rPr>
          <w:rFonts w:cs="Arial" w:ascii="Arial" w:hAnsi="Arial"/>
          <w:sz w:val="20"/>
        </w:rPr>
        <w:t>or</w:t>
      </w:r>
      <w:r>
        <w:rPr>
          <w:rFonts w:cs="Arial" w:ascii="Arial" w:hAnsi="Arial"/>
          <w:b/>
          <w:bCs/>
          <w:sz w:val="20"/>
        </w:rPr>
        <w:t xml:space="preserve"> Below Market</w:t>
      </w:r>
      <w:r>
        <w:rPr>
          <w:rFonts w:cs="Arial" w:ascii="Arial" w:hAnsi="Arial"/>
          <w:sz w:val="20"/>
        </w:rPr>
        <w:br/>
        <w:br/>
        <w:t>Describe (if necessary):</w:t>
        <w:br/>
        <w:br/>
        <w:br/>
      </w:r>
    </w:p>
    <w:p>
      <w:pPr>
        <w:pStyle w:val="Normal"/>
        <w:numPr>
          <w:ilvl w:val="0"/>
          <w:numId w:val="12"/>
        </w:numPr>
        <w:rPr>
          <w:rFonts w:ascii="Arial" w:hAnsi="Arial" w:cs="Arial"/>
          <w:sz w:val="20"/>
        </w:rPr>
      </w:pPr>
      <w:r>
        <w:rPr>
          <w:rFonts w:cs="Arial" w:ascii="Arial" w:hAnsi="Arial"/>
          <w:b/>
          <w:sz w:val="20"/>
        </w:rPr>
        <w:t>Financing terms and pricing:</w:t>
      </w:r>
      <w:r>
        <w:rPr>
          <w:rFonts w:cs="Arial" w:ascii="Arial" w:hAnsi="Arial"/>
          <w:sz w:val="20"/>
        </w:rPr>
        <w:tab/>
        <w:tab/>
      </w:r>
      <w:r>
        <w:rPr>
          <w:rFonts w:cs="Arial" w:ascii="Arial" w:hAnsi="Arial"/>
          <w:b/>
          <w:bCs/>
          <w:sz w:val="20"/>
        </w:rPr>
        <w:t>Market</w:t>
      </w:r>
      <w:r>
        <w:rPr>
          <w:rFonts w:cs="Arial" w:ascii="Arial" w:hAnsi="Arial"/>
          <w:sz w:val="20"/>
        </w:rPr>
        <w:t>,</w:t>
      </w:r>
      <w:r>
        <w:rPr>
          <w:rFonts w:cs="Arial" w:ascii="Arial" w:hAnsi="Arial"/>
          <w:b/>
          <w:bCs/>
          <w:sz w:val="20"/>
        </w:rPr>
        <w:t xml:space="preserve"> Above Market </w:t>
      </w:r>
      <w:r>
        <w:rPr>
          <w:rFonts w:cs="Arial" w:ascii="Arial" w:hAnsi="Arial"/>
          <w:sz w:val="20"/>
        </w:rPr>
        <w:t>or</w:t>
      </w:r>
      <w:r>
        <w:rPr>
          <w:rFonts w:cs="Arial" w:ascii="Arial" w:hAnsi="Arial"/>
          <w:b/>
          <w:bCs/>
          <w:sz w:val="20"/>
        </w:rPr>
        <w:t xml:space="preserve"> Below Market</w:t>
      </w:r>
      <w:r>
        <w:rPr>
          <w:rFonts w:cs="Arial" w:ascii="Arial" w:hAnsi="Arial"/>
          <w:sz w:val="20"/>
        </w:rPr>
        <w:br/>
        <w:br/>
        <w:t>Describe (if necessary):</w:t>
        <w:br/>
        <w:br/>
        <w:br/>
      </w:r>
    </w:p>
    <w:p>
      <w:pPr>
        <w:pStyle w:val="Normal"/>
        <w:numPr>
          <w:ilvl w:val="0"/>
          <w:numId w:val="12"/>
        </w:numPr>
        <w:rPr>
          <w:rFonts w:ascii="Arial" w:hAnsi="Arial" w:cs="Arial"/>
          <w:sz w:val="20"/>
        </w:rPr>
      </w:pPr>
      <w:r>
        <w:rPr>
          <w:rFonts w:cs="Arial" w:ascii="Arial" w:hAnsi="Arial"/>
          <w:b/>
          <w:sz w:val="20"/>
        </w:rPr>
        <w:t>Legal or practical liquidity restrictions:</w:t>
      </w:r>
      <w:r>
        <w:rPr>
          <w:rFonts w:cs="Arial" w:ascii="Arial" w:hAnsi="Arial"/>
          <w:sz w:val="20"/>
        </w:rPr>
        <w:tab/>
      </w:r>
      <w:r>
        <w:rPr>
          <w:rFonts w:cs="Arial" w:ascii="Arial" w:hAnsi="Arial"/>
          <w:b/>
          <w:bCs/>
          <w:sz w:val="20"/>
        </w:rPr>
        <w:t>Unrestricted</w:t>
      </w:r>
      <w:r>
        <w:rPr>
          <w:rFonts w:cs="Arial" w:ascii="Arial" w:hAnsi="Arial"/>
          <w:sz w:val="20"/>
        </w:rPr>
        <w:t>,</w:t>
      </w:r>
      <w:r>
        <w:rPr>
          <w:rFonts w:cs="Arial" w:ascii="Arial" w:hAnsi="Arial"/>
          <w:b/>
          <w:bCs/>
          <w:sz w:val="20"/>
        </w:rPr>
        <w:t xml:space="preserve"> Legally Restricted </w:t>
      </w:r>
      <w:r>
        <w:rPr>
          <w:rFonts w:cs="Arial" w:ascii="Arial" w:hAnsi="Arial"/>
          <w:sz w:val="20"/>
        </w:rPr>
        <w:t>or</w:t>
      </w:r>
      <w:r>
        <w:rPr>
          <w:rFonts w:cs="Arial" w:ascii="Arial" w:hAnsi="Arial"/>
          <w:b/>
          <w:bCs/>
          <w:sz w:val="20"/>
        </w:rPr>
        <w:t xml:space="preserve"> Practically Restricted</w:t>
      </w:r>
      <w:r>
        <w:rPr>
          <w:rFonts w:cs="Arial" w:ascii="Arial" w:hAnsi="Arial"/>
          <w:sz w:val="20"/>
        </w:rPr>
        <w:br/>
      </w:r>
    </w:p>
    <w:p>
      <w:pPr>
        <w:pStyle w:val="Normal"/>
        <w:ind w:firstLine="360" w:end="0"/>
        <w:rPr>
          <w:rFonts w:ascii="Arial" w:hAnsi="Arial" w:cs="Arial"/>
          <w:sz w:val="20"/>
        </w:rPr>
      </w:pPr>
      <w:r>
        <w:rPr>
          <w:rFonts w:cs="Arial" w:ascii="Arial" w:hAnsi="Arial"/>
          <w:sz w:val="20"/>
        </w:rPr>
        <w:t>Describe (if necessary):</w:t>
        <w:br/>
        <w:br/>
        <w:br/>
      </w:r>
    </w:p>
    <w:p>
      <w:pPr>
        <w:pStyle w:val="Normal"/>
        <w:numPr>
          <w:ilvl w:val="0"/>
          <w:numId w:val="12"/>
        </w:numPr>
        <w:rPr>
          <w:rFonts w:ascii="Arial" w:hAnsi="Arial" w:cs="Arial"/>
          <w:sz w:val="20"/>
        </w:rPr>
      </w:pPr>
      <w:r>
        <w:rPr>
          <w:rFonts w:cs="Arial" w:ascii="Arial" w:hAnsi="Arial"/>
          <w:b/>
          <w:sz w:val="20"/>
        </w:rPr>
        <w:t>Any recourse to Enron (other than investment):</w:t>
      </w:r>
      <w:r>
        <w:rPr>
          <w:rFonts w:cs="Arial" w:ascii="Arial" w:hAnsi="Arial"/>
          <w:sz w:val="20"/>
        </w:rPr>
        <w:tab/>
        <w:tab/>
      </w:r>
      <w:r>
        <w:rPr>
          <w:rFonts w:cs="Arial" w:ascii="Arial" w:hAnsi="Arial"/>
          <w:b/>
          <w:bCs/>
          <w:sz w:val="20"/>
        </w:rPr>
        <w:t xml:space="preserve">Recourse </w:t>
      </w:r>
      <w:r>
        <w:rPr>
          <w:rFonts w:cs="Arial" w:ascii="Arial" w:hAnsi="Arial"/>
          <w:sz w:val="20"/>
        </w:rPr>
        <w:t>or</w:t>
      </w:r>
      <w:r>
        <w:rPr>
          <w:rFonts w:cs="Arial" w:ascii="Arial" w:hAnsi="Arial"/>
          <w:b/>
          <w:bCs/>
          <w:sz w:val="20"/>
        </w:rPr>
        <w:t xml:space="preserve"> No Recourse</w:t>
      </w:r>
      <w:r>
        <w:rPr>
          <w:rFonts w:cs="Arial" w:ascii="Arial" w:hAnsi="Arial"/>
          <w:sz w:val="20"/>
        </w:rPr>
        <w:br/>
        <w:br/>
        <w:t>Describe (if any):</w:t>
        <w:br/>
        <w:br/>
        <w:br/>
      </w:r>
    </w:p>
    <w:p>
      <w:pPr>
        <w:pStyle w:val="Normal"/>
        <w:numPr>
          <w:ilvl w:val="0"/>
          <w:numId w:val="8"/>
        </w:numPr>
        <w:rPr>
          <w:rFonts w:ascii="Arial" w:hAnsi="Arial" w:cs="Arial"/>
          <w:sz w:val="20"/>
        </w:rPr>
      </w:pPr>
      <w:r>
        <w:rPr>
          <w:rFonts w:cs="Arial" w:ascii="Arial" w:hAnsi="Arial"/>
          <w:b/>
          <w:sz w:val="20"/>
        </w:rPr>
        <w:t>Business unit intent to syndicate:</w:t>
      </w:r>
      <w:r>
        <w:rPr>
          <w:rFonts w:cs="Arial" w:ascii="Arial" w:hAnsi="Arial"/>
          <w:sz w:val="20"/>
        </w:rPr>
        <w:tab/>
        <w:tab/>
      </w:r>
      <w:r>
        <w:rPr>
          <w:rFonts w:cs="Arial" w:ascii="Arial" w:hAnsi="Arial"/>
          <w:b/>
          <w:bCs/>
          <w:sz w:val="20"/>
        </w:rPr>
        <w:t>None</w:t>
      </w:r>
      <w:r>
        <w:rPr>
          <w:rFonts w:cs="Arial" w:ascii="Arial" w:hAnsi="Arial"/>
          <w:sz w:val="20"/>
        </w:rPr>
        <w:t>,</w:t>
      </w:r>
      <w:r>
        <w:rPr>
          <w:rFonts w:cs="Arial" w:ascii="Arial" w:hAnsi="Arial"/>
          <w:b/>
          <w:bCs/>
          <w:sz w:val="20"/>
        </w:rPr>
        <w:t xml:space="preserve"> Partial </w:t>
      </w:r>
      <w:r>
        <w:rPr>
          <w:rFonts w:cs="Arial" w:ascii="Arial" w:hAnsi="Arial"/>
          <w:sz w:val="20"/>
        </w:rPr>
        <w:t>or</w:t>
      </w:r>
      <w:r>
        <w:rPr>
          <w:rFonts w:cs="Arial" w:ascii="Arial" w:hAnsi="Arial"/>
          <w:b/>
          <w:bCs/>
          <w:sz w:val="20"/>
        </w:rPr>
        <w:t xml:space="preserve"> All</w:t>
      </w:r>
      <w:r>
        <w:rPr>
          <w:rFonts w:cs="Arial" w:ascii="Arial" w:hAnsi="Arial"/>
          <w:sz w:val="20"/>
        </w:rPr>
        <w:br/>
        <w:br/>
        <w:t>Describe (if necessary):</w:t>
        <w:br/>
        <w:br/>
      </w:r>
    </w:p>
    <w:p>
      <w:pPr>
        <w:pStyle w:val="Normal"/>
        <w:numPr>
          <w:ilvl w:val="0"/>
          <w:numId w:val="13"/>
        </w:numPr>
        <w:rPr>
          <w:rFonts w:ascii="Arial" w:hAnsi="Arial" w:cs="Arial"/>
          <w:sz w:val="20"/>
        </w:rPr>
      </w:pPr>
      <w:r>
        <w:rPr>
          <w:rFonts w:cs="Arial" w:ascii="Arial" w:hAnsi="Arial"/>
          <w:b/>
          <w:sz w:val="20"/>
        </w:rPr>
        <w:t>Intended Enron hold period:</w:t>
        <w:tab/>
        <w:tab/>
        <w:tab/>
      </w:r>
    </w:p>
    <w:p>
      <w:pPr>
        <w:pStyle w:val="Normal"/>
        <w:rPr>
          <w:rFonts w:ascii="Arial" w:hAnsi="Arial" w:cs="Arial"/>
          <w:sz w:val="20"/>
        </w:rPr>
      </w:pPr>
      <w:r>
        <w:rPr>
          <w:rFonts w:cs="Arial" w:ascii="Arial" w:hAnsi="Arial"/>
          <w:sz w:val="20"/>
        </w:rPr>
        <w:br/>
      </w:r>
    </w:p>
    <w:p>
      <w:pPr>
        <w:pStyle w:val="Normal"/>
        <w:numPr>
          <w:ilvl w:val="0"/>
          <w:numId w:val="4"/>
        </w:numPr>
        <w:rPr>
          <w:rFonts w:ascii="Arial" w:hAnsi="Arial" w:cs="Arial"/>
          <w:sz w:val="20"/>
        </w:rPr>
      </w:pPr>
      <w:r>
        <w:rPr>
          <w:rFonts w:cs="Arial" w:ascii="Arial" w:hAnsi="Arial"/>
          <w:b/>
          <w:sz w:val="20"/>
        </w:rPr>
        <w:t>Likely Syndication Market:</w:t>
      </w:r>
      <w:r>
        <w:rPr/>
        <w:tab/>
      </w:r>
    </w:p>
    <w:tbl>
      <w:tblPr>
        <w:tblW w:w="6559" w:type="dxa"/>
        <w:jc w:val="center"/>
        <w:tblInd w:w="0" w:type="dxa"/>
        <w:tblLayout w:type="fixed"/>
        <w:tblCellMar>
          <w:top w:w="0" w:type="dxa"/>
          <w:start w:w="108" w:type="dxa"/>
          <w:bottom w:w="0" w:type="dxa"/>
          <w:end w:w="108" w:type="dxa"/>
        </w:tblCellMar>
      </w:tblPr>
      <w:tblGrid>
        <w:gridCol w:w="533"/>
        <w:gridCol w:w="2750"/>
        <w:gridCol w:w="526"/>
        <w:gridCol w:w="2750"/>
      </w:tblGrid>
      <w:tr>
        <w:trPr/>
        <w:tc>
          <w:tcPr>
            <w:tcW w:w="533" w:type="dxa"/>
            <w:tcBorders>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Industry/Strategic Partner</w:t>
            </w:r>
          </w:p>
        </w:tc>
        <w:tc>
          <w:tcPr>
            <w:tcW w:w="526" w:type="dxa"/>
            <w:tcBorders>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Direct Private Equity</w:t>
            </w:r>
          </w:p>
        </w:tc>
      </w:tr>
      <w:tr>
        <w:trPr/>
        <w:tc>
          <w:tcPr>
            <w:tcW w:w="533" w:type="dxa"/>
            <w:tcBorders>
              <w:top w:val="single" w:sz="4" w:space="0" w:color="000000"/>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Capital Markets</w:t>
            </w:r>
          </w:p>
        </w:tc>
        <w:tc>
          <w:tcPr>
            <w:tcW w:w="526" w:type="dxa"/>
            <w:tcBorders>
              <w:top w:val="single" w:sz="4" w:space="0" w:color="000000"/>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JEDI 1</w:t>
            </w:r>
          </w:p>
        </w:tc>
      </w:tr>
      <w:tr>
        <w:trPr/>
        <w:tc>
          <w:tcPr>
            <w:tcW w:w="533" w:type="dxa"/>
            <w:tcBorders>
              <w:top w:val="single" w:sz="4" w:space="0" w:color="000000"/>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JEDI 2</w:t>
            </w:r>
          </w:p>
        </w:tc>
        <w:tc>
          <w:tcPr>
            <w:tcW w:w="526" w:type="dxa"/>
            <w:tcBorders>
              <w:top w:val="single" w:sz="4" w:space="0" w:color="000000"/>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EnSerCo</w:t>
            </w:r>
          </w:p>
        </w:tc>
      </w:tr>
      <w:tr>
        <w:trPr/>
        <w:tc>
          <w:tcPr>
            <w:tcW w:w="533" w:type="dxa"/>
            <w:tcBorders>
              <w:top w:val="single" w:sz="4" w:space="0" w:color="000000"/>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LJM 1 or 2</w:t>
            </w:r>
          </w:p>
        </w:tc>
        <w:tc>
          <w:tcPr>
            <w:tcW w:w="526" w:type="dxa"/>
            <w:tcBorders>
              <w:top w:val="single" w:sz="4" w:space="0" w:color="000000"/>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Condor</w:t>
            </w:r>
          </w:p>
        </w:tc>
      </w:tr>
      <w:tr>
        <w:trPr/>
        <w:tc>
          <w:tcPr>
            <w:tcW w:w="533" w:type="dxa"/>
            <w:tcBorders>
              <w:top w:val="single" w:sz="4" w:space="0" w:color="000000"/>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Other:</w:t>
            </w:r>
          </w:p>
        </w:tc>
        <w:tc>
          <w:tcPr>
            <w:tcW w:w="526" w:type="dxa"/>
            <w:tcBorders>
              <w:top w:val="single" w:sz="4" w:space="0" w:color="000000"/>
              <w:bottom w:val="single" w:sz="4" w:space="0" w:color="000000"/>
            </w:tcBorders>
          </w:tcPr>
          <w:p>
            <w:pPr>
              <w:pStyle w:val="Normal"/>
              <w:snapToGrid w:val="false"/>
              <w:jc w:val="center"/>
              <w:rPr>
                <w:rFonts w:ascii="Arial" w:hAnsi="Arial" w:cs="Arial"/>
                <w:b/>
                <w:bCs/>
                <w:sz w:val="20"/>
              </w:rPr>
            </w:pPr>
            <w:r>
              <w:rPr>
                <w:rFonts w:cs="Arial" w:ascii="Arial" w:hAnsi="Arial"/>
                <w:b/>
                <w:bCs/>
                <w:sz w:val="20"/>
              </w:rPr>
            </w:r>
          </w:p>
        </w:tc>
        <w:tc>
          <w:tcPr>
            <w:tcW w:w="2750" w:type="dxa"/>
            <w:tcBorders/>
          </w:tcPr>
          <w:p>
            <w:pPr>
              <w:pStyle w:val="Normal"/>
              <w:rPr>
                <w:rFonts w:ascii="Arial" w:hAnsi="Arial" w:cs="Arial"/>
                <w:sz w:val="20"/>
              </w:rPr>
            </w:pPr>
            <w:r>
              <w:rPr>
                <w:rFonts w:cs="Arial" w:ascii="Arial" w:hAnsi="Arial"/>
                <w:b/>
                <w:bCs/>
                <w:sz w:val="20"/>
              </w:rPr>
              <w:t>M</w:t>
            </w:r>
            <w:r>
              <w:rPr>
                <w:rFonts w:cs="Arial" w:ascii="Arial" w:hAnsi="Arial"/>
                <w:b/>
                <w:sz w:val="20"/>
              </w:rPr>
              <w:t>argaux</w:t>
            </w:r>
          </w:p>
        </w:tc>
      </w:tr>
    </w:tbl>
    <w:p>
      <w:pPr>
        <w:pStyle w:val="Normal"/>
        <w:tabs>
          <w:tab w:val="left" w:pos="720" w:leader="none"/>
        </w:tabs>
        <w:ind w:start="360" w:end="0"/>
        <w:rPr/>
      </w:pPr>
      <w:r>
        <w:rPr>
          <w:rFonts w:cs="Arial" w:ascii="Arial" w:hAnsi="Arial"/>
          <w:sz w:val="20"/>
        </w:rPr>
        <w:tab/>
        <w:tab/>
      </w:r>
      <w:r>
        <w:rPr>
          <w:rFonts w:cs="Arial" w:ascii="Arial" w:hAnsi="Arial"/>
          <w:b/>
          <w:sz w:val="20"/>
        </w:rPr>
        <w:tab/>
        <w:tab/>
      </w:r>
    </w:p>
    <w:p>
      <w:pPr>
        <w:pStyle w:val="Normal"/>
        <w:tabs>
          <w:tab w:val="clear" w:pos="720"/>
          <w:tab w:val="left" w:pos="4320" w:leader="none"/>
        </w:tabs>
        <w:rPr/>
      </w:pPr>
      <w:r>
        <w:rPr>
          <w:rFonts w:cs="Arial" w:ascii="Arial" w:hAnsi="Arial"/>
          <w:sz w:val="20"/>
        </w:rPr>
        <w:tab/>
      </w:r>
      <w:r>
        <w:rPr>
          <w:rFonts w:cs="Arial" w:ascii="Arial" w:hAnsi="Arial"/>
          <w:b/>
          <w:sz w:val="20"/>
        </w:rPr>
        <w:tab/>
        <w:tab/>
        <w:tab/>
      </w:r>
    </w:p>
    <w:p>
      <w:pPr>
        <w:pStyle w:val="Normal"/>
        <w:numPr>
          <w:ilvl w:val="0"/>
          <w:numId w:val="9"/>
        </w:numPr>
        <w:rPr>
          <w:rFonts w:ascii="Arial" w:hAnsi="Arial" w:cs="Arial"/>
          <w:sz w:val="20"/>
        </w:rPr>
      </w:pPr>
      <w:r>
        <w:rPr>
          <w:rFonts w:cs="Arial" w:ascii="Arial" w:hAnsi="Arial"/>
          <w:b/>
          <w:sz w:val="20"/>
        </w:rPr>
        <w:t>Is this a JEDI 2 “Qualified Investment”?</w:t>
      </w:r>
      <w:r>
        <w:rPr>
          <w:rFonts w:cs="Arial" w:ascii="Arial" w:hAnsi="Arial"/>
          <w:sz w:val="20"/>
        </w:rPr>
        <w:tab/>
        <w:tab/>
      </w:r>
      <w:r>
        <w:rPr>
          <w:rFonts w:cs="Arial" w:ascii="Arial" w:hAnsi="Arial"/>
          <w:b/>
          <w:bCs/>
          <w:sz w:val="20"/>
        </w:rPr>
        <w:t xml:space="preserve">Yes </w:t>
      </w:r>
      <w:r>
        <w:rPr>
          <w:rFonts w:cs="Arial" w:ascii="Arial" w:hAnsi="Arial"/>
          <w:sz w:val="20"/>
        </w:rPr>
        <w:t>or</w:t>
      </w:r>
      <w:r>
        <w:rPr>
          <w:rFonts w:cs="Arial" w:ascii="Arial" w:hAnsi="Arial"/>
          <w:b/>
          <w:bCs/>
          <w:sz w:val="20"/>
        </w:rPr>
        <w:t xml:space="preserve"> No</w:t>
      </w:r>
    </w:p>
    <w:p>
      <w:pPr>
        <w:pStyle w:val="Normal"/>
        <w:ind w:start="360" w:end="0"/>
        <w:rPr>
          <w:rFonts w:ascii="Arial" w:hAnsi="Arial" w:cs="Arial"/>
          <w:sz w:val="20"/>
        </w:rPr>
      </w:pPr>
      <w:r>
        <w:rPr>
          <w:rFonts w:cs="Arial" w:ascii="Arial" w:hAnsi="Arial"/>
          <w:sz w:val="20"/>
        </w:rPr>
      </w:r>
    </w:p>
    <w:tbl>
      <w:tblPr>
        <w:tblW w:w="10440" w:type="dxa"/>
        <w:jc w:val="start"/>
        <w:tblInd w:w="0" w:type="dxa"/>
        <w:tblLayout w:type="fixed"/>
        <w:tblCellMar>
          <w:top w:w="0" w:type="dxa"/>
          <w:start w:w="108" w:type="dxa"/>
          <w:bottom w:w="0" w:type="dxa"/>
          <w:end w:w="108" w:type="dxa"/>
        </w:tblCellMar>
      </w:tblPr>
      <w:tblGrid>
        <w:gridCol w:w="3078"/>
        <w:gridCol w:w="2970"/>
        <w:gridCol w:w="2880"/>
        <w:gridCol w:w="1512"/>
      </w:tblGrid>
      <w:tr>
        <w:trPr/>
        <w:tc>
          <w:tcPr>
            <w:tcW w:w="3078" w:type="dxa"/>
            <w:tcBorders>
              <w:top w:val="single" w:sz="4" w:space="0" w:color="000000"/>
              <w:start w:val="single" w:sz="4" w:space="0" w:color="000000"/>
              <w:bottom w:val="single" w:sz="4" w:space="0" w:color="000000"/>
              <w:end w:val="single" w:sz="4" w:space="0" w:color="000000"/>
            </w:tcBorders>
          </w:tcPr>
          <w:p>
            <w:pPr>
              <w:pStyle w:val="Heading6"/>
              <w:ind w:hanging="0" w:start="0"/>
              <w:rPr>
                <w:rFonts w:ascii="Arial" w:hAnsi="Arial" w:cs="Arial"/>
              </w:rPr>
            </w:pPr>
            <w:r>
              <w:rPr>
                <w:rFonts w:cs="Arial" w:ascii="Arial" w:hAnsi="Arial"/>
              </w:rPr>
              <w:t>Function</w:t>
            </w:r>
          </w:p>
        </w:tc>
        <w:tc>
          <w:tcPr>
            <w:tcW w:w="29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Signature</w:t>
            </w:r>
          </w:p>
        </w:tc>
        <w:tc>
          <w:tcPr>
            <w:tcW w:w="28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Name</w:t>
            </w:r>
          </w:p>
        </w:tc>
        <w:tc>
          <w:tcPr>
            <w:tcW w:w="1512"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Date</w:t>
            </w:r>
          </w:p>
        </w:tc>
      </w:tr>
      <w:tr>
        <w:trPr>
          <w:trHeight w:val="314" w:hRule="atLeast"/>
        </w:trPr>
        <w:tc>
          <w:tcPr>
            <w:tcW w:w="30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0"/>
              </w:rPr>
            </w:pPr>
            <w:r>
              <w:rPr>
                <w:rFonts w:cs="Arial" w:ascii="Arial" w:hAnsi="Arial"/>
                <w:b/>
                <w:sz w:val="20"/>
              </w:rPr>
              <w:t>Global Finance Representative</w:t>
            </w:r>
          </w:p>
        </w:tc>
        <w:tc>
          <w:tcPr>
            <w:tcW w:w="297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0"/>
              </w:rPr>
            </w:pPr>
            <w:r>
              <w:rPr>
                <w:rFonts w:cs="Arial" w:ascii="Arial" w:hAnsi="Arial"/>
                <w:b/>
                <w:sz w:val="20"/>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0"/>
              </w:rPr>
            </w:pPr>
            <w:r>
              <w:rPr>
                <w:rFonts w:cs="Arial" w:ascii="Arial" w:hAnsi="Arial"/>
                <w:b/>
                <w:sz w:val="20"/>
              </w:rPr>
            </w:r>
          </w:p>
        </w:tc>
        <w:tc>
          <w:tcPr>
            <w:tcW w:w="15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0"/>
              </w:rPr>
            </w:pPr>
            <w:r>
              <w:rPr>
                <w:rFonts w:cs="Arial" w:ascii="Arial" w:hAnsi="Arial"/>
                <w:b/>
                <w:sz w:val="20"/>
              </w:rPr>
            </w:r>
          </w:p>
        </w:tc>
      </w:tr>
      <w:tr>
        <w:trPr>
          <w:trHeight w:val="350" w:hRule="atLeast"/>
        </w:trPr>
        <w:tc>
          <w:tcPr>
            <w:tcW w:w="30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0"/>
              </w:rPr>
            </w:pPr>
            <w:r>
              <w:rPr>
                <w:rFonts w:cs="Arial" w:ascii="Arial" w:hAnsi="Arial"/>
                <w:b/>
                <w:sz w:val="20"/>
              </w:rPr>
              <w:t>Global Finance Legal</w:t>
            </w:r>
          </w:p>
        </w:tc>
        <w:tc>
          <w:tcPr>
            <w:tcW w:w="297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0"/>
              </w:rPr>
            </w:pPr>
            <w:r>
              <w:rPr>
                <w:rFonts w:cs="Arial" w:ascii="Arial" w:hAnsi="Arial"/>
                <w:b/>
                <w:sz w:val="20"/>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0"/>
              </w:rPr>
            </w:pPr>
            <w:r>
              <w:rPr>
                <w:rFonts w:cs="Arial" w:ascii="Arial" w:hAnsi="Arial"/>
                <w:b/>
                <w:sz w:val="20"/>
              </w:rPr>
            </w:r>
          </w:p>
        </w:tc>
        <w:tc>
          <w:tcPr>
            <w:tcW w:w="15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0"/>
              </w:rPr>
            </w:pPr>
            <w:r>
              <w:rPr>
                <w:rFonts w:cs="Arial" w:ascii="Arial" w:hAnsi="Arial"/>
                <w:b/>
                <w:sz w:val="20"/>
              </w:rPr>
            </w:r>
          </w:p>
        </w:tc>
      </w:tr>
    </w:tbl>
    <w:p>
      <w:pPr>
        <w:pStyle w:val="Normal"/>
        <w:rPr/>
      </w:pPr>
      <w:r>
        <w:rPr/>
      </w:r>
    </w:p>
    <w:sectPr>
      <w:type w:val="continuous"/>
      <w:pgSz w:w="12240" w:h="15840"/>
      <w:pgMar w:left="1008" w:right="1008" w:gutter="0" w:header="720" w:top="776" w:footer="720" w:bottom="776"/>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Arial Unicode MS">
    <w:charset w:val="80"/>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sz w:val="16"/>
      </w:rPr>
      <w:tab/>
      <w:tab/>
      <w:t xml:space="preserve">Page </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9</w:t>
    </w:r>
    <w:r>
      <w:rPr>
        <w:rStyle w:val="PageNumber"/>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440" w:type="dxa"/>
      <w:jc w:val="start"/>
      <w:tblInd w:w="0" w:type="dxa"/>
      <w:tblLayout w:type="fixed"/>
      <w:tblCellMar>
        <w:top w:w="0" w:type="dxa"/>
        <w:start w:w="108" w:type="dxa"/>
        <w:bottom w:w="0" w:type="dxa"/>
        <w:end w:w="108" w:type="dxa"/>
      </w:tblCellMar>
    </w:tblPr>
    <w:tblGrid>
      <w:gridCol w:w="4068"/>
      <w:gridCol w:w="6372"/>
    </w:tblGrid>
    <w:tr>
      <w:trPr/>
      <w:tc>
        <w:tcPr>
          <w:tcW w:w="4068" w:type="dxa"/>
          <w:tcBorders/>
        </w:tcPr>
        <w:p>
          <w:pPr>
            <w:pStyle w:val="Header"/>
            <w:widowControl/>
            <w:tabs>
              <w:tab w:val="clear" w:pos="4320"/>
              <w:tab w:val="clear" w:pos="8640"/>
              <w:tab w:val="right" w:pos="7920" w:leader="none"/>
            </w:tabs>
            <w:rPr>
              <w:rFonts w:ascii="Arial" w:hAnsi="Arial" w:cs="Arial"/>
              <w:b/>
            </w:rPr>
          </w:pPr>
          <w:r>
            <w:rPr>
              <w:rFonts w:cs="Arial" w:ascii="Arial" w:hAnsi="Arial"/>
              <w:b/>
            </w:rPr>
            <w:t>RAC Deal Approval Sheet</w:t>
            <w:tab/>
            <w:t xml:space="preserve">                   </w:t>
          </w:r>
        </w:p>
      </w:tc>
      <w:tc>
        <w:tcPr>
          <w:tcW w:w="6372" w:type="dxa"/>
          <w:tcBorders/>
        </w:tcPr>
        <w:p>
          <w:pPr>
            <w:pStyle w:val="Header"/>
            <w:jc w:val="end"/>
            <w:rPr/>
          </w:pPr>
          <w:r>
            <w:rPr>
              <w:rFonts w:cs="Arial" w:ascii="Arial" w:hAnsi="Arial"/>
              <w:b/>
            </w:rPr>
            <w:t xml:space="preserve">Deal Name: </w:t>
          </w:r>
          <w:r>
            <w:rPr>
              <w:rFonts w:cs="Arial" w:ascii="Arial" w:hAnsi="Arial"/>
              <w:b/>
            </w:rPr>
            <w:fldChar w:fldCharType="begin"/>
          </w:r>
          <w:r>
            <w:rPr>
              <w:b/>
              <w:rFonts w:cs="Arial" w:ascii="Arial" w:hAnsi="Arial"/>
            </w:rPr>
            <w:instrText xml:space="preserve"> FILENAME </w:instrText>
          </w:r>
          <w:r>
            <w:rPr>
              <w:b/>
              <w:rFonts w:cs="Arial" w:ascii="Arial" w:hAnsi="Arial"/>
            </w:rPr>
            <w:fldChar w:fldCharType="separate"/>
          </w:r>
          <w:r>
            <w:rPr>
              <w:b/>
              <w:rFonts w:cs="Arial" w:ascii="Arial" w:hAnsi="Arial"/>
            </w:rPr>
            <w:t>DASH_Draft_9_19_01.doc</w:t>
          </w:r>
          <w:r>
            <w:rPr>
              <w:b/>
              <w:rFonts w:cs="Arial" w:ascii="Arial" w:hAnsi="Arial"/>
            </w:rPr>
            <w:fldChar w:fldCharType="end"/>
          </w:r>
        </w:p>
      </w:tc>
    </w:tr>
  </w:tbl>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___________</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bullet"/>
      <w:lvlText w:val="o"/>
      <w:lvlJc w:val="start"/>
      <w:pPr>
        <w:tabs>
          <w:tab w:val="num" w:pos="1080"/>
        </w:tabs>
        <w:ind w:start="1080" w:hanging="360"/>
      </w:pPr>
      <w:rPr>
        <w:rFonts w:ascii="Courier New" w:hAnsi="Courier New" w:cs="Courier New" w:hint="default"/>
      </w:rPr>
    </w:lvl>
    <w:lvl w:ilvl="2">
      <w:start w:val="1"/>
      <w:numFmt w:val="bullet"/>
      <w:lvlText w:val=""/>
      <w:lvlJc w:val="start"/>
      <w:pPr>
        <w:tabs>
          <w:tab w:val="num" w:pos="1800"/>
        </w:tabs>
        <w:ind w:start="1800" w:hanging="360"/>
      </w:pPr>
      <w:rPr>
        <w:rFonts w:ascii="Wingdings" w:hAnsi="Wingdings" w:cs="Wingdings"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abstractNum w:abstractNumId="3">
    <w:lvl w:ilvl="0">
      <w:start w:val="1"/>
      <w:numFmt w:val="decimal"/>
      <w:lvlText w:val="%1."/>
      <w:lvlJc w:val="start"/>
      <w:pPr>
        <w:tabs>
          <w:tab w:val="num" w:pos="735"/>
        </w:tabs>
        <w:ind w:start="735" w:hanging="735"/>
      </w:pPr>
      <w:rPr>
        <w:i w:val="false"/>
        <w:b w:val="false"/>
      </w:rPr>
    </w:lvl>
  </w:abstractNum>
  <w:abstractNum w:abstractNumId="4">
    <w:lvl w:ilvl="0">
      <w:start w:val="6"/>
      <w:numFmt w:val="decimal"/>
      <w:lvlText w:val="%1c."/>
      <w:lvlJc w:val="start"/>
      <w:pPr>
        <w:tabs>
          <w:tab w:val="num" w:pos="360"/>
        </w:tabs>
        <w:ind w:start="360" w:hanging="360"/>
      </w:pPr>
      <w:rPr>
        <w:i w:val="false"/>
        <w:b w:val="false"/>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720"/>
        </w:tabs>
        <w:ind w:start="720" w:hanging="360"/>
      </w:pPr>
      <w:rPr>
        <w:rFonts w:ascii="Symbol" w:hAnsi="Symbol" w:cs="Symbol" w:hint="default"/>
      </w:rPr>
    </w:lvl>
  </w:abstractNum>
  <w:abstractNum w:abstractNumId="8">
    <w:lvl w:ilvl="0">
      <w:start w:val="6"/>
      <w:numFmt w:val="decimal"/>
      <w:lvlText w:val="%1a."/>
      <w:lvlJc w:val="start"/>
      <w:pPr>
        <w:tabs>
          <w:tab w:val="num" w:pos="360"/>
        </w:tabs>
        <w:ind w:start="360" w:hanging="360"/>
      </w:pPr>
    </w:lvl>
  </w:abstractNum>
  <w:abstractNum w:abstractNumId="9">
    <w:lvl w:ilvl="0">
      <w:start w:val="6"/>
      <w:numFmt w:val="decimal"/>
      <w:lvlText w:val="%1d."/>
      <w:lvlJc w:val="start"/>
      <w:pPr>
        <w:tabs>
          <w:tab w:val="num" w:pos="360"/>
        </w:tabs>
        <w:ind w:start="360" w:hanging="360"/>
      </w:pPr>
    </w:lvl>
  </w:abstractNum>
  <w:abstractNum w:abstractNumId="10">
    <w:lvl w:ilvl="0">
      <w:start w:val="1"/>
      <w:numFmt w:val="bullet"/>
      <w:lvlText w:val=""/>
      <w:lvlJc w:val="start"/>
      <w:pPr>
        <w:tabs>
          <w:tab w:val="num" w:pos="720"/>
        </w:tabs>
        <w:ind w:start="720" w:hanging="360"/>
      </w:pPr>
      <w:rPr>
        <w:rFonts w:ascii="Symbol" w:hAnsi="Symbol" w:cs="Symbol" w:hint="default"/>
      </w:rPr>
    </w:lvl>
  </w:abstractNum>
  <w:abstractNum w:abstractNumId="11">
    <w:lvl w:ilvl="0">
      <w:start w:val="1"/>
      <w:numFmt w:val="decimal"/>
      <w:lvlText w:val="%1-"/>
      <w:lvlJc w:val="start"/>
      <w:pPr>
        <w:tabs>
          <w:tab w:val="num" w:pos="720"/>
        </w:tabs>
        <w:ind w:start="720" w:hanging="360"/>
      </w:pPr>
      <w:rPr/>
    </w:lvl>
  </w:abstractNum>
  <w:abstractNum w:abstractNumId="12">
    <w:lvl w:ilvl="0">
      <w:start w:val="2"/>
      <w:numFmt w:val="decimal"/>
      <w:lvlText w:val="%1."/>
      <w:lvlJc w:val="start"/>
      <w:pPr>
        <w:tabs>
          <w:tab w:val="num" w:pos="360"/>
        </w:tabs>
        <w:ind w:start="360" w:hanging="360"/>
      </w:pPr>
    </w:lvl>
  </w:abstractNum>
  <w:abstractNum w:abstractNumId="13">
    <w:lvl w:ilvl="0">
      <w:start w:val="6"/>
      <w:numFmt w:val="decimal"/>
      <w:lvlText w:val="%1b."/>
      <w:lvlJc w:val="start"/>
      <w:pPr>
        <w:tabs>
          <w:tab w:val="num" w:pos="360"/>
        </w:tabs>
        <w:ind w:start="360" w:hanging="360"/>
      </w:pPr>
    </w:lvl>
  </w:abstractNum>
  <w:abstractNum w:abstractNumId="14">
    <w:lvl w:ilvl="0">
      <w:start w:val="1"/>
      <w:numFmt w:val="decimal"/>
      <w:lvlText w:val="%1)"/>
      <w:lvlJc w:val="start"/>
      <w:pPr>
        <w:tabs>
          <w:tab w:val="num" w:pos="1080"/>
        </w:tabs>
        <w:ind w:start="1080" w:hanging="360"/>
      </w:pPr>
      <w:rPr/>
    </w:lvl>
  </w:abstractNum>
  <w:abstractNum w:abstractNumId="15">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sz w:val="20"/>
      <w:szCs w:val="20"/>
    </w:rPr>
  </w:style>
  <w:style w:type="paragraph" w:styleId="Heading2">
    <w:name w:val="heading 2"/>
    <w:basedOn w:val="Normal"/>
    <w:next w:val="Normal"/>
    <w:qFormat/>
    <w:pPr>
      <w:keepNext w:val="true"/>
      <w:widowControl w:val="false"/>
      <w:numPr>
        <w:ilvl w:val="1"/>
        <w:numId w:val="1"/>
      </w:numPr>
      <w:outlineLvl w:val="1"/>
    </w:pPr>
    <w:rPr>
      <w:b/>
      <w:i/>
      <w:sz w:val="20"/>
      <w:szCs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szCs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sz w:val="20"/>
      <w:szCs w:val="20"/>
    </w:rPr>
  </w:style>
  <w:style w:type="paragraph" w:styleId="Heading5">
    <w:name w:val="heading 5"/>
    <w:basedOn w:val="Normal"/>
    <w:next w:val="Normal"/>
    <w:qFormat/>
    <w:pPr>
      <w:keepNext w:val="true"/>
      <w:numPr>
        <w:ilvl w:val="4"/>
        <w:numId w:val="1"/>
      </w:numPr>
      <w:jc w:val="end"/>
      <w:outlineLvl w:val="4"/>
    </w:pPr>
    <w:rPr>
      <w:b/>
      <w:sz w:val="20"/>
      <w:szCs w:val="20"/>
    </w:rPr>
  </w:style>
  <w:style w:type="paragraph" w:styleId="Heading6">
    <w:name w:val="heading 6"/>
    <w:basedOn w:val="Normal"/>
    <w:next w:val="Normal"/>
    <w:qFormat/>
    <w:pPr>
      <w:keepNext w:val="true"/>
      <w:numPr>
        <w:ilvl w:val="5"/>
        <w:numId w:val="1"/>
      </w:numPr>
      <w:jc w:val="center"/>
      <w:outlineLvl w:val="5"/>
    </w:pPr>
    <w:rPr>
      <w:b/>
      <w:sz w:val="20"/>
      <w:szCs w:val="20"/>
    </w:rPr>
  </w:style>
  <w:style w:type="paragraph" w:styleId="Heading7">
    <w:name w:val="heading 7"/>
    <w:basedOn w:val="Normal"/>
    <w:next w:val="Normal"/>
    <w:qFormat/>
    <w:pPr>
      <w:keepNext w:val="true"/>
      <w:numPr>
        <w:ilvl w:val="6"/>
        <w:numId w:val="1"/>
      </w:numPr>
      <w:jc w:val="center"/>
      <w:outlineLvl w:val="6"/>
    </w:pPr>
    <w:rPr>
      <w:rFonts w:ascii="Arial" w:hAnsi="Arial" w:cs="Arial"/>
      <w:sz w:val="20"/>
      <w:u w:val="single"/>
    </w:rPr>
  </w:style>
  <w:style w:type="paragraph" w:styleId="Heading8">
    <w:name w:val="heading 8"/>
    <w:basedOn w:val="Normal"/>
    <w:next w:val="Normal"/>
    <w:qFormat/>
    <w:pPr>
      <w:keepNext w:val="true"/>
      <w:numPr>
        <w:ilvl w:val="7"/>
        <w:numId w:val="1"/>
      </w:numPr>
      <w:jc w:val="center"/>
      <w:outlineLvl w:val="7"/>
    </w:pPr>
    <w:rPr>
      <w:b/>
      <w:sz w:val="32"/>
      <w:szCs w:val="20"/>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szCs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b w:val="false"/>
      <w:i w:val="false"/>
    </w:rPr>
  </w:style>
  <w:style w:type="character" w:styleId="WW8Num7z0">
    <w:name w:val="WW8Num7z0"/>
    <w:qFormat/>
    <w:rPr>
      <w:b w:val="false"/>
      <w:i w:val="false"/>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style>
  <w:style w:type="character" w:styleId="WW8Num10z0">
    <w:name w:val="WW8Num10z0"/>
    <w:qFormat/>
    <w:rPr>
      <w:rFonts w:ascii="Wingdings" w:hAnsi="Wingdings" w:cs="Wingdings"/>
      <w:sz w:val="16"/>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style>
  <w:style w:type="character" w:styleId="WW8Num14z0">
    <w:name w:val="WW8Num14z0"/>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style>
  <w:style w:type="character" w:styleId="WW8Num22z0">
    <w:name w:val="WW8Num22z0"/>
    <w:qFormat/>
    <w:rPr/>
  </w:style>
  <w:style w:type="character" w:styleId="WW8Num23z0">
    <w:name w:val="WW8Num23z0"/>
    <w:qFormat/>
    <w:rPr/>
  </w:style>
  <w:style w:type="character" w:styleId="WW8Num24z0">
    <w:name w:val="WW8Num24z0"/>
    <w:qFormat/>
    <w:rPr>
      <w:rFonts w:ascii="Wingdings" w:hAnsi="Wingdings" w:cs="Wingdings"/>
      <w:sz w:val="16"/>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rFonts w:ascii="Courier New" w:hAnsi="Courier New" w:cs="Courier New"/>
    </w:rPr>
  </w:style>
  <w:style w:type="character" w:styleId="WW8Num29z2">
    <w:name w:val="WW8Num29z2"/>
    <w:qFormat/>
    <w:rPr>
      <w:rFonts w:ascii="Wingdings" w:hAnsi="Wingdings" w:cs="Wingdings"/>
    </w:rPr>
  </w:style>
  <w:style w:type="character" w:styleId="WW8Num29z3">
    <w:name w:val="WW8Num29z3"/>
    <w:qFormat/>
    <w:rPr>
      <w:rFonts w:ascii="Symbol" w:hAnsi="Symbol" w:cs="Symbol"/>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2z0">
    <w:name w:val="WW8Num32z0"/>
    <w:qFormat/>
    <w:rPr>
      <w:rFonts w:ascii="Wingdings" w:hAnsi="Wingdings" w:cs="Wingdings"/>
      <w:sz w:val="16"/>
    </w:rPr>
  </w:style>
  <w:style w:type="character" w:styleId="DefaultParagraphFont">
    <w:name w:val="Default Paragraph Font"/>
    <w:qFormat/>
    <w:rPr/>
  </w:style>
  <w:style w:type="character" w:styleId="PageNumber">
    <w:name w:val="page number"/>
    <w:basedOn w:val="DefaultParagraphFont"/>
    <w:rPr>
      <w:sz w:val="20"/>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rFonts w:ascii="Arial" w:hAnsi="Arial" w:cs="Arial"/>
      <w:b/>
      <w:sz w:val="32"/>
    </w:rPr>
  </w:style>
  <w:style w:type="paragraph" w:styleId="BodyText">
    <w:name w:val="Body Text"/>
    <w:basedOn w:val="Normal"/>
    <w:pPr>
      <w:jc w:val="both"/>
    </w:pPr>
    <w:rPr>
      <w:rFonts w:ascii="Arial" w:hAnsi="Arial" w:cs="Arial"/>
      <w:bCs/>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szCs w:val="20"/>
    </w:rPr>
  </w:style>
  <w:style w:type="paragraph" w:styleId="Footer">
    <w:name w:val="footer"/>
    <w:basedOn w:val="Normal"/>
    <w:pPr>
      <w:widowControl w:val="false"/>
      <w:tabs>
        <w:tab w:val="clear" w:pos="720"/>
        <w:tab w:val="center" w:pos="4320" w:leader="none"/>
        <w:tab w:val="right" w:pos="8640" w:leader="none"/>
      </w:tabs>
    </w:pPr>
    <w:rPr>
      <w:sz w:val="20"/>
      <w:szCs w:val="20"/>
    </w:rPr>
  </w:style>
  <w:style w:type="paragraph" w:styleId="BodyText2">
    <w:name w:val="Body Text 2"/>
    <w:basedOn w:val="Normal"/>
    <w:qFormat/>
    <w:pPr/>
    <w:rPr>
      <w:rFonts w:ascii="Arial" w:hAnsi="Arial" w:cs="Arial"/>
      <w:b/>
      <w:bCs/>
      <w:iCs/>
      <w:sz w:val="20"/>
    </w:rPr>
  </w:style>
  <w:style w:type="paragraph" w:styleId="BodyTextIndent">
    <w:name w:val="Body Text Indent"/>
    <w:basedOn w:val="Normal"/>
    <w:pPr>
      <w:ind w:hanging="0" w:start="360" w:end="0"/>
      <w:jc w:val="both"/>
    </w:pPr>
    <w:rPr>
      <w:rFonts w:ascii="Arial" w:hAnsi="Arial" w:cs="Arial"/>
      <w:sz w:val="20"/>
    </w:rPr>
  </w:style>
  <w:style w:type="paragraph" w:styleId="BodyTextIndent2">
    <w:name w:val="Body Text Indent 2"/>
    <w:basedOn w:val="Normal"/>
    <w:qFormat/>
    <w:pPr>
      <w:ind w:firstLine="360" w:start="0" w:end="0"/>
      <w:jc w:val="both"/>
    </w:pPr>
    <w:rPr>
      <w:rFonts w:ascii="Arial" w:hAnsi="Arial" w:cs="Arial"/>
      <w:sz w:val="20"/>
    </w:rPr>
  </w:style>
  <w:style w:type="paragraph" w:styleId="BodyText3">
    <w:name w:val="Body Text 3"/>
    <w:basedOn w:val="Normal"/>
    <w:qFormat/>
    <w:pPr>
      <w:jc w:val="both"/>
    </w:pPr>
    <w:rPr/>
  </w:style>
  <w:style w:type="paragraph" w:styleId="BodyTextIndent3">
    <w:name w:val="Body Text Indent 3"/>
    <w:basedOn w:val="Normal"/>
    <w:qFormat/>
    <w:pPr>
      <w:ind w:hanging="180" w:start="900" w:end="0"/>
      <w:jc w:val="both"/>
    </w:pPr>
    <w:rPr>
      <w:rFonts w:ascii="Arial" w:hAnsi="Arial" w:cs="Arial"/>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yperlink" Target="mailto:V@R"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2001-09-21T11:17:00Z</dcterms:created>
  <dc:creator>kjolly</dc:creator>
  <dc:description>V3.3
Updated to add filename to headers
</dc:description>
  <dc:language>en-CA</dc:language>
  <cp:lastModifiedBy>rmaffet</cp:lastModifiedBy>
  <cp:lastPrinted>2001-09-19T06:58:00Z</cp:lastPrinted>
  <dcterms:modified xsi:type="dcterms:W3CDTF">2001-09-21T11:17:00Z</dcterms:modified>
  <cp:revision>2</cp:revision>
  <dc:subject/>
  <dc:title>ENRON RISK ASSESSMENT AND CONTROL</dc:title>
</cp:coreProperties>
</file>