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5112" w:leader="none"/>
          <w:tab w:val="left" w:pos="9210" w:leader="none"/>
          <w:tab w:val="left" w:pos="9480" w:leader="none"/>
        </w:tabs>
        <w:jc w:val="start"/>
        <w:rPr/>
      </w:pPr>
      <w:r>
        <w:rPr/>
        <w:tab/>
      </w:r>
    </w:p>
    <w:p>
      <w:pPr>
        <w:pStyle w:val="Heading"/>
        <w:tabs>
          <w:tab w:val="clear" w:pos="720"/>
          <w:tab w:val="center" w:pos="5112" w:leader="none"/>
          <w:tab w:val="left" w:pos="9210" w:leader="none"/>
          <w:tab w:val="left" w:pos="9480" w:leader="none"/>
        </w:tabs>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Project Dodger</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Edison Mission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David Marks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July 27,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Vegalara / Soo</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Signing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3,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September 17,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1 Copy 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_Copy_1"/>
            <w:bookmarkStart w:id="21" w:name="Check1_Copy_1"/>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 Copy 2"/>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_Copy_2"/>
            <w:bookmarkStart w:id="23" w:name="Check1_Copy_2"/>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0"/>
                    <w:listEntry w:val="Pending     "/>
                    <w:listEntry w:val="SELECT BOARD APPROVAL STATUS"/>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Purchase Price</w:t>
            </w:r>
          </w:p>
        </w:tc>
        <w:tc>
          <w:tcPr>
            <w:tcW w:w="1332" w:type="dxa"/>
            <w:tcBorders/>
          </w:tcPr>
          <w:p>
            <w:pPr>
              <w:pStyle w:val="Normal"/>
              <w:ind w:end="-36"/>
              <w:jc w:val="end"/>
              <w:rPr>
                <w:rFonts w:ascii="Arial" w:hAnsi="Arial" w:cs="Arial"/>
                <w:sz w:val="20"/>
              </w:rPr>
            </w:pPr>
            <w:r>
              <w:rPr>
                <w:rFonts w:cs="Arial" w:ascii="Arial" w:hAnsi="Arial"/>
                <w:sz w:val="20"/>
              </w:rPr>
              <w:t>125,000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Commitment to Expand Project</w:t>
            </w:r>
          </w:p>
        </w:tc>
        <w:tc>
          <w:tcPr>
            <w:tcW w:w="1332" w:type="dxa"/>
            <w:tcBorders/>
          </w:tcPr>
          <w:p>
            <w:pPr>
              <w:pStyle w:val="Normal"/>
              <w:ind w:end="-36"/>
              <w:jc w:val="end"/>
              <w:rPr>
                <w:rFonts w:ascii="Arial" w:hAnsi="Arial" w:cs="Arial"/>
                <w:sz w:val="20"/>
              </w:rPr>
            </w:pPr>
            <w:r>
              <w:rPr>
                <w:rFonts w:cs="Arial" w:ascii="Arial" w:hAnsi="Arial"/>
                <w:sz w:val="20"/>
              </w:rPr>
              <w:t>15,000</w:t>
            </w:r>
          </w:p>
        </w:tc>
        <w:tc>
          <w:tcPr>
            <w:tcW w:w="4338" w:type="dxa"/>
            <w:tcBorders/>
          </w:tcPr>
          <w:p>
            <w:pPr>
              <w:pStyle w:val="Normal"/>
              <w:ind w:end="-36"/>
              <w:rPr>
                <w:rFonts w:ascii="Arial" w:hAnsi="Arial" w:cs="Arial"/>
                <w:sz w:val="20"/>
              </w:rPr>
            </w:pPr>
            <w:r>
              <w:rPr>
                <w:rFonts w:cs="Arial" w:ascii="Arial" w:hAnsi="Arial"/>
                <w:sz w:val="20"/>
              </w:rPr>
              <w:t>Boiler/Chiller Expansion</w:t>
            </w:r>
          </w:p>
        </w:tc>
      </w:tr>
      <w:tr>
        <w:trPr/>
        <w:tc>
          <w:tcPr>
            <w:tcW w:w="4428" w:type="dxa"/>
            <w:tcBorders/>
          </w:tcPr>
          <w:p>
            <w:pPr>
              <w:pStyle w:val="Normal"/>
              <w:ind w:end="-36"/>
              <w:rPr>
                <w:rFonts w:ascii="Arial" w:hAnsi="Arial" w:cs="Arial"/>
                <w:sz w:val="20"/>
              </w:rPr>
            </w:pPr>
            <w:r>
              <w:rPr>
                <w:rFonts w:cs="Arial" w:ascii="Arial" w:hAnsi="Arial"/>
                <w:sz w:val="20"/>
              </w:rPr>
              <w:t>Edison Mission Energy Credit Reserve</w:t>
            </w:r>
          </w:p>
        </w:tc>
        <w:tc>
          <w:tcPr>
            <w:tcW w:w="1332" w:type="dxa"/>
            <w:tcBorders/>
          </w:tcPr>
          <w:p>
            <w:pPr>
              <w:pStyle w:val="Normal"/>
              <w:ind w:end="-36"/>
              <w:jc w:val="end"/>
              <w:rPr>
                <w:rFonts w:ascii="Arial" w:hAnsi="Arial" w:cs="Arial"/>
                <w:sz w:val="20"/>
              </w:rPr>
            </w:pPr>
            <w:r>
              <w:rPr>
                <w:rFonts w:cs="Arial" w:ascii="Arial" w:hAnsi="Arial"/>
                <w:sz w:val="20"/>
              </w:rPr>
              <w:t>5,300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$145,300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145,300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$145,300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jc w:val="both"/>
        <w:rPr>
          <w:rFonts w:ascii="Arial" w:hAnsi="Arial" w:cs="Arial"/>
          <w:sz w:val="20"/>
        </w:rPr>
      </w:pPr>
      <w:r>
        <w:rPr>
          <w:rFonts w:cs="Arial" w:ascii="Arial" w:hAnsi="Arial"/>
          <w:sz w:val="20"/>
        </w:rPr>
        <w:t xml:space="preserve">Enron EAE East (“EAE”), through its designee, proposes to acquire from Edision Mission Energy (“Mission”) all of the stock in Mission Energy of New York, Inc. (“MENY”).  MENY owns a 5% managing GP interest and a 45% LP interest in the Brooklyn Navy Yard Cogeneration Partnership (“BNYCP”) and holds a subordinated note from BNYCP (balance as of March 31, 2001 was $110MM).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EAE submitted an indicative bid on March 27 and a final bid on June 22, subject to ENE board approval and further specific due diligence, for the acquisition of the above referenced interest in BNYCP.  If EAE is successful in its bid efforts, documentation for the transaction will be finalized with financial settlement to follow on or prior to September 17, 2001.  Credit Suisse First Boston (“CSFB”) is representing Mission in the sale.</w:t>
      </w:r>
    </w:p>
    <w:p>
      <w:pPr>
        <w:pStyle w:val="Normal"/>
        <w:rPr>
          <w:rFonts w:ascii="Arial" w:hAnsi="Arial" w:cs="Arial"/>
          <w:sz w:val="20"/>
        </w:rPr>
      </w:pPr>
      <w:r>
        <w:rPr>
          <w:rFonts w:cs="Arial" w:ascii="Arial" w:hAnsi="Arial"/>
          <w:sz w:val="20"/>
        </w:rPr>
      </w:r>
    </w:p>
    <w:p>
      <w:pPr>
        <w:pStyle w:val="BodyText2"/>
        <w:rPr/>
      </w:pPr>
      <w:r>
        <w:rPr/>
        <w:t>The Brooklyn Navy Yard Cogeneration Partnership (BNYCP) owns and operates a two-train, 286 MW gas fired cogeneration plant located in Brooklyn, NY.  The plant has a dual configuration of one Siemens V84.2 combustion turbine one Siemens auto extraction steam turbine and one ABB HRSG.  The project presently maintains dual status as a QF under the Public Utilities Regulatory Act of 1978 (“PURPA”) and as an Exempt Wholesale Generator (“EWG”).  BNYCP supplies electricity and steam under existing Energy Sales Agreements (“ESAs”) that fully commit the generation capacity of the entire plant.  The agreements have termination dates in year 2036, with Consolidated Edison (A+/A1) and the thermal host Brooklyn Navy Yard Development Corporation (“BNYDC”).</w:t>
      </w:r>
    </w:p>
    <w:p>
      <w:pPr>
        <w:pStyle w:val="Normal"/>
        <w:tabs>
          <w:tab w:val="left" w:pos="720" w:leader="none"/>
          <w:tab w:val="center" w:pos="3600" w:leader="none"/>
          <w:tab w:val="center" w:pos="5040" w:leader="none"/>
          <w:tab w:val="center" w:pos="6480" w:leader="none"/>
          <w:tab w:val="center" w:pos="7920" w:leader="none"/>
        </w:tabs>
        <w:rPr>
          <w:rFonts w:ascii="Arial" w:hAnsi="Arial" w:cs="Arial"/>
          <w:sz w:val="20"/>
        </w:rPr>
      </w:pPr>
      <w:r>
        <w:rPr>
          <w:rFonts w:cs="Arial" w:ascii="Arial" w:hAnsi="Arial"/>
          <w:sz w:val="20"/>
        </w:rPr>
      </w:r>
    </w:p>
    <w:p>
      <w:pPr>
        <w:pStyle w:val="Normal"/>
        <w:tabs>
          <w:tab w:val="left" w:pos="720" w:leader="none"/>
          <w:tab w:val="center" w:pos="3600" w:leader="none"/>
          <w:tab w:val="center" w:pos="5040" w:leader="none"/>
          <w:tab w:val="center" w:pos="6480" w:leader="none"/>
          <w:tab w:val="center" w:pos="7920" w:leader="none"/>
        </w:tabs>
        <w:jc w:val="both"/>
        <w:rPr>
          <w:rFonts w:ascii="Arial" w:hAnsi="Arial" w:cs="Arial"/>
          <w:sz w:val="20"/>
        </w:rPr>
      </w:pPr>
      <w:r>
        <w:rPr>
          <w:rFonts w:cs="Arial" w:ascii="Arial" w:hAnsi="Arial"/>
          <w:color w:val="000000"/>
          <w:sz w:val="20"/>
          <w:szCs w:val="20"/>
        </w:rPr>
        <w:t>For ownership purposes, it is anticipated that an off-balance sheet-on credit structure will be utilized.</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882" w:type="dxa"/>
        <w:jc w:val="start"/>
        <w:tblInd w:w="378" w:type="dxa"/>
        <w:tblLayout w:type="fixed"/>
        <w:tblCellMar>
          <w:top w:w="0" w:type="dxa"/>
          <w:start w:w="108" w:type="dxa"/>
          <w:bottom w:w="0" w:type="dxa"/>
          <w:end w:w="108" w:type="dxa"/>
        </w:tblCellMar>
      </w:tblPr>
      <w:tblGrid>
        <w:gridCol w:w="3510"/>
        <w:gridCol w:w="1080"/>
        <w:gridCol w:w="540"/>
        <w:gridCol w:w="3600"/>
        <w:gridCol w:w="1152"/>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600" w:type="dxa"/>
            <w:tcBorders/>
          </w:tcPr>
          <w:p>
            <w:pPr>
              <w:pStyle w:val="Normal"/>
              <w:snapToGrid w:val="false"/>
              <w:jc w:val="end"/>
              <w:rPr>
                <w:rFonts w:ascii="Arial" w:hAnsi="Arial" w:cs="Arial"/>
                <w:sz w:val="20"/>
                <w:u w:val="single"/>
              </w:rPr>
            </w:pPr>
            <w:r>
              <w:rPr>
                <w:rFonts w:cs="Arial" w:ascii="Arial" w:hAnsi="Arial"/>
                <w:sz w:val="20"/>
                <w:u w:val="single"/>
              </w:rPr>
            </w:r>
          </w:p>
        </w:tc>
        <w:tc>
          <w:tcPr>
            <w:tcW w:w="1152"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 xml:space="preserve">Off-Balance Sheet </w:t>
            </w:r>
          </w:p>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return swap equity (3%)</w:t>
            </w:r>
          </w:p>
        </w:tc>
        <w:tc>
          <w:tcPr>
            <w:tcW w:w="1080" w:type="dxa"/>
            <w:tcBorders/>
          </w:tcPr>
          <w:p>
            <w:pPr>
              <w:pStyle w:val="Normal"/>
              <w:snapToGrid w:val="false"/>
              <w:jc w:val="end"/>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t>$    3,750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50% Interest and Subordinated Note (Base Value)</w:t>
            </w:r>
          </w:p>
        </w:tc>
        <w:tc>
          <w:tcPr>
            <w:tcW w:w="1152"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return swap debt (97%)</w:t>
            </w:r>
          </w:p>
        </w:tc>
        <w:tc>
          <w:tcPr>
            <w:tcW w:w="1080" w:type="dxa"/>
            <w:tcBorders/>
          </w:tcPr>
          <w:p>
            <w:pPr>
              <w:pStyle w:val="Normal"/>
              <w:jc w:val="end"/>
              <w:rPr>
                <w:rFonts w:ascii="Arial" w:hAnsi="Arial" w:cs="Arial"/>
                <w:sz w:val="20"/>
              </w:rPr>
            </w:pPr>
            <w:r>
              <w:rPr>
                <w:rFonts w:cs="Arial" w:ascii="Arial" w:hAnsi="Arial"/>
                <w:sz w:val="20"/>
              </w:rPr>
              <w:t>$121,250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Fair Value Adjustment</w:t>
            </w:r>
          </w:p>
        </w:tc>
        <w:tc>
          <w:tcPr>
            <w:tcW w:w="1152" w:type="dxa"/>
            <w:tcBorders/>
          </w:tcPr>
          <w:p>
            <w:pPr>
              <w:pStyle w:val="Normal"/>
              <w:snapToGrid w:val="false"/>
              <w:jc w:val="end"/>
              <w:rPr>
                <w:rFonts w:ascii="Arial" w:hAnsi="Arial" w:cs="Arial"/>
                <w:b/>
                <w:bCs/>
                <w:i/>
                <w:i/>
                <w:iCs/>
                <w:sz w:val="20"/>
              </w:rPr>
            </w:pPr>
            <w:r>
              <w:rPr>
                <w:rFonts w:cs="Arial" w:ascii="Arial" w:hAnsi="Arial"/>
                <w:b/>
                <w:bCs/>
                <w:i/>
                <w:iCs/>
                <w:sz w:val="20"/>
              </w:rPr>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rPr>
                <w:rFonts w:cs="Arial" w:ascii="Arial" w:hAnsi="Arial"/>
                <w:sz w:val="20"/>
              </w:rPr>
              <w:t>$125,000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Normal"/>
              <w:snapToGrid w:val="false"/>
              <w:jc w:val="end"/>
              <w:rPr>
                <w:rFonts w:ascii="Arial" w:hAnsi="Arial" w:cs="Arial"/>
                <w:sz w:val="20"/>
              </w:rPr>
            </w:pPr>
            <w:r>
              <w:rPr>
                <w:rFonts w:cs="Arial" w:ascii="Arial" w:hAnsi="Arial"/>
                <w:sz w:val="20"/>
              </w:rPr>
            </w:r>
          </w:p>
        </w:tc>
        <w:tc>
          <w:tcPr>
            <w:tcW w:w="1152" w:type="dxa"/>
            <w:tcBorders>
              <w:top w:val="single" w:sz="6" w:space="0" w:color="000000"/>
            </w:tcBorders>
          </w:tcPr>
          <w:p>
            <w:pPr>
              <w:pStyle w:val="Normal"/>
              <w:jc w:val="end"/>
              <w:rPr>
                <w:rFonts w:ascii="Arial" w:hAnsi="Arial" w:cs="Arial"/>
                <w:sz w:val="20"/>
              </w:rPr>
            </w:pPr>
            <w:r>
              <w:rPr>
                <w:rFonts w:cs="Arial" w:ascii="Arial" w:hAnsi="Arial"/>
                <w:sz w:val="20"/>
              </w:rPr>
              <w:t>$125,000</w:t>
            </w:r>
          </w:p>
        </w:tc>
      </w:tr>
    </w:tbl>
    <w:p>
      <w:pPr>
        <w:pStyle w:val="Normal"/>
        <w:pBdr>
          <w:bottom w:val="single" w:sz="8" w:space="1" w:color="000000"/>
        </w:pBdr>
        <w:rPr>
          <w:rFonts w:ascii="Arial" w:hAnsi="Arial" w:cs="Arial"/>
          <w:sz w:val="20"/>
        </w:rPr>
      </w:pPr>
      <w:r>
        <w:rPr>
          <w:rFonts w:cs="Arial" w:ascii="Arial" w:hAnsi="Arial"/>
          <w:sz w:val="20"/>
        </w:rPr>
      </w:r>
    </w:p>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270"/>
        <w:gridCol w:w="2160"/>
        <w:gridCol w:w="1260"/>
        <w:gridCol w:w="1170"/>
        <w:gridCol w:w="540"/>
        <w:gridCol w:w="3060"/>
        <w:gridCol w:w="990"/>
        <w:gridCol w:w="364"/>
      </w:tblGrid>
      <w:tr>
        <w:trPr>
          <w:trHeight w:val="342" w:hRule="atLeast"/>
        </w:trPr>
        <w:tc>
          <w:tcPr>
            <w:tcW w:w="5400" w:type="dxa"/>
            <w:gridSpan w:val="5"/>
            <w:tcBorders/>
          </w:tcPr>
          <w:p>
            <w:pPr>
              <w:pStyle w:val="Normal"/>
              <w:rPr>
                <w:rFonts w:ascii="Arial" w:hAnsi="Arial" w:cs="Arial"/>
                <w:b/>
                <w:bCs/>
                <w:iCs/>
                <w:sz w:val="20"/>
              </w:rPr>
            </w:pPr>
            <w:r>
              <w:rPr>
                <w:rFonts w:cs="Arial" w:ascii="Arial" w:hAnsi="Arial"/>
                <w:b/>
                <w:bCs/>
                <w:iCs/>
                <w:sz w:val="20"/>
              </w:rPr>
              <w:t>RETURN SUMMARY (Levered/Limited Recourse Debt)</w:t>
            </w:r>
          </w:p>
        </w:tc>
        <w:tc>
          <w:tcPr>
            <w:tcW w:w="4414" w:type="dxa"/>
            <w:gridSpan w:val="3"/>
            <w:tcBorders/>
          </w:tcPr>
          <w:p>
            <w:pPr>
              <w:pStyle w:val="Normal"/>
              <w:snapToGrid w:val="false"/>
              <w:jc w:val="end"/>
              <w:rPr>
                <w:rFonts w:ascii="Arial" w:hAnsi="Arial" w:cs="Arial"/>
                <w:b/>
                <w:bCs/>
                <w:iCs/>
                <w:sz w:val="20"/>
              </w:rPr>
            </w:pPr>
            <w:r>
              <w:rPr>
                <w:rFonts w:cs="Arial" w:ascii="Arial" w:hAnsi="Arial"/>
                <w:b/>
                <w:bCs/>
                <w:iCs/>
                <w:sz w:val="20"/>
              </w:rPr>
            </w:r>
          </w:p>
        </w:tc>
      </w:tr>
      <w:tr>
        <w:trPr>
          <w:trHeight w:val="360" w:hRule="atLeast"/>
        </w:trPr>
        <w:tc>
          <w:tcPr>
            <w:tcW w:w="270" w:type="dxa"/>
            <w:tcBorders/>
            <w:tcMar>
              <w:start w:w="0" w:type="dxa"/>
              <w:end w:w="0" w:type="dxa"/>
            </w:tcMar>
          </w:tcPr>
          <w:p>
            <w:pPr>
              <w:pStyle w:val="Normal"/>
              <w:rPr>
                <w:rFonts w:ascii="Arial" w:hAnsi="Arial" w:cs="Arial"/>
                <w:sz w:val="20"/>
              </w:rPr>
            </w:pPr>
            <w:r>
              <w:rPr>
                <w:rFonts w:cs="Arial" w:ascii="Arial" w:hAnsi="Arial"/>
                <w:sz w:val="20"/>
              </w:rPr>
            </w:r>
          </w:p>
        </w:tc>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306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90" w:type="dxa"/>
            <w:tcBorders/>
          </w:tcPr>
          <w:p>
            <w:pPr>
              <w:pStyle w:val="Normal"/>
              <w:snapToGrid w:val="false"/>
              <w:ind w:end="-63"/>
              <w:rPr>
                <w:rFonts w:ascii="Arial" w:hAnsi="Arial" w:cs="Arial"/>
                <w:sz w:val="20"/>
              </w:rPr>
            </w:pPr>
            <w:r>
              <w:rPr>
                <w:rFonts w:cs="Arial" w:ascii="Arial" w:hAnsi="Arial"/>
                <w:sz w:val="20"/>
              </w:rPr>
            </w:r>
          </w:p>
        </w:tc>
        <w:tc>
          <w:tcPr>
            <w:tcW w:w="364" w:type="dxa"/>
            <w:tcBorders/>
            <w:tcMar>
              <w:start w:w="0" w:type="dxa"/>
              <w:end w:w="0" w:type="dxa"/>
            </w:tcMar>
          </w:tcPr>
          <w:p>
            <w:pPr>
              <w:pStyle w:val="Normal"/>
              <w:snapToGrid w:val="false"/>
              <w:rPr>
                <w:rFonts w:ascii="Arial" w:hAnsi="Arial" w:cs="Arial"/>
                <w:b/>
                <w:sz w:val="20"/>
              </w:rPr>
            </w:pPr>
            <w:r>
              <w:rPr>
                <w:rFonts w:cs="Arial" w:ascii="Arial" w:hAnsi="Arial"/>
                <w:b/>
                <w:sz w:val="20"/>
              </w:rPr>
            </w:r>
          </w:p>
        </w:tc>
      </w:tr>
      <w:tr>
        <w:trPr>
          <w:trHeight w:val="162" w:hRule="atLeast"/>
        </w:trPr>
        <w:tc>
          <w:tcPr>
            <w:tcW w:w="270" w:type="dxa"/>
            <w:tcBorders/>
            <w:tcMar>
              <w:start w:w="0" w:type="dxa"/>
              <w:end w:w="0" w:type="dxa"/>
            </w:tcMar>
          </w:tcPr>
          <w:p>
            <w:pPr>
              <w:pStyle w:val="TableContents"/>
              <w:rPr>
                <w:rFonts w:ascii="Arial" w:hAnsi="Arial" w:cs="Arial"/>
                <w:b/>
                <w:sz w:val="20"/>
              </w:rPr>
            </w:pPr>
            <w:r>
              <w:rPr>
                <w:rFonts w:cs="Arial" w:ascii="Arial" w:hAnsi="Arial"/>
                <w:b/>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jc w:val="end"/>
              <w:rPr>
                <w:rFonts w:ascii="Arial" w:hAnsi="Arial" w:cs="Arial"/>
                <w:sz w:val="20"/>
              </w:rPr>
            </w:pPr>
            <w:r>
              <w:rPr>
                <w:rFonts w:cs="Arial" w:ascii="Arial" w:hAnsi="Arial"/>
                <w:sz w:val="20"/>
              </w:rPr>
              <w:t>(124,905)</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N/A</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Risk free rate (%):</w:t>
            </w:r>
          </w:p>
        </w:tc>
        <w:tc>
          <w:tcPr>
            <w:tcW w:w="990" w:type="dxa"/>
            <w:tcBorders/>
          </w:tcPr>
          <w:p>
            <w:pPr>
              <w:pStyle w:val="Normal"/>
              <w:ind w:end="-69"/>
              <w:jc w:val="end"/>
              <w:rPr>
                <w:rFonts w:ascii="Arial" w:hAnsi="Arial" w:cs="Arial"/>
                <w:bCs/>
                <w:sz w:val="20"/>
              </w:rPr>
            </w:pPr>
            <w:r>
              <w:rPr>
                <w:rFonts w:cs="Arial" w:ascii="Arial" w:hAnsi="Arial"/>
                <w:bCs/>
                <w:sz w:val="20"/>
              </w:rPr>
              <w:t>4.54%</w:t>
            </w:r>
          </w:p>
        </w:tc>
        <w:tc>
          <w:tcPr>
            <w:tcW w:w="36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189" w:hRule="atLeast"/>
        </w:trPr>
        <w:tc>
          <w:tcPr>
            <w:tcW w:w="270" w:type="dxa"/>
            <w:tcBorders/>
            <w:tcMar>
              <w:start w:w="0" w:type="dxa"/>
              <w:end w:w="0" w:type="dxa"/>
            </w:tcMar>
          </w:tcPr>
          <w:p>
            <w:pPr>
              <w:pStyle w:val="TableContents"/>
              <w:rPr>
                <w:rFonts w:ascii="Arial" w:hAnsi="Arial" w:cs="Arial"/>
                <w:b/>
                <w:sz w:val="20"/>
              </w:rPr>
            </w:pPr>
            <w:r>
              <w:rPr>
                <w:rFonts w:cs="Arial" w:ascii="Arial" w:hAnsi="Arial"/>
                <w:b/>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Sub Debt Cash Flows</w:t>
            </w:r>
          </w:p>
        </w:tc>
        <w:tc>
          <w:tcPr>
            <w:tcW w:w="1260" w:type="dxa"/>
            <w:tcBorders/>
          </w:tcPr>
          <w:p>
            <w:pPr>
              <w:pStyle w:val="Normal"/>
              <w:jc w:val="end"/>
              <w:rPr>
                <w:rFonts w:ascii="Arial" w:hAnsi="Arial" w:cs="Arial"/>
                <w:sz w:val="20"/>
              </w:rPr>
            </w:pPr>
            <w:r>
              <w:rPr>
                <w:rFonts w:cs="Arial" w:ascii="Arial" w:hAnsi="Arial"/>
                <w:sz w:val="20"/>
              </w:rPr>
              <w:t>84,173</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- 5.28%</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Equity Premium (%):</w:t>
            </w:r>
          </w:p>
        </w:tc>
        <w:tc>
          <w:tcPr>
            <w:tcW w:w="990" w:type="dxa"/>
            <w:tcBorders/>
          </w:tcPr>
          <w:p>
            <w:pPr>
              <w:pStyle w:val="Normal"/>
              <w:ind w:end="-69"/>
              <w:jc w:val="end"/>
              <w:rPr>
                <w:rFonts w:ascii="Arial" w:hAnsi="Arial" w:cs="Arial"/>
                <w:bCs/>
                <w:sz w:val="20"/>
              </w:rPr>
            </w:pPr>
            <w:r>
              <w:rPr>
                <w:rFonts w:cs="Arial" w:ascii="Arial" w:hAnsi="Arial"/>
                <w:bCs/>
                <w:sz w:val="20"/>
              </w:rPr>
              <w:t>3.50%</w:t>
            </w:r>
          </w:p>
        </w:tc>
        <w:tc>
          <w:tcPr>
            <w:tcW w:w="36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207" w:hRule="atLeast"/>
        </w:trPr>
        <w:tc>
          <w:tcPr>
            <w:tcW w:w="270" w:type="dxa"/>
            <w:tcBorders/>
            <w:tcMar>
              <w:start w:w="0" w:type="dxa"/>
              <w:end w:w="0" w:type="dxa"/>
            </w:tcMar>
          </w:tcPr>
          <w:p>
            <w:pPr>
              <w:pStyle w:val="TableContents"/>
              <w:rPr>
                <w:rFonts w:ascii="Arial" w:hAnsi="Arial" w:cs="Arial"/>
                <w:b/>
                <w:sz w:val="20"/>
              </w:rPr>
            </w:pPr>
            <w:r>
              <w:rPr>
                <w:rFonts w:cs="Arial" w:ascii="Arial" w:hAnsi="Arial"/>
                <w:b/>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cs="Arial"/>
                <w:sz w:val="20"/>
              </w:rPr>
            </w:pPr>
            <w:r>
              <w:rPr>
                <w:rFonts w:cs="Arial" w:ascii="Arial" w:hAnsi="Arial"/>
                <w:sz w:val="20"/>
              </w:rPr>
              <w:t>22,046</w:t>
            </w:r>
          </w:p>
        </w:tc>
        <w:tc>
          <w:tcPr>
            <w:tcW w:w="1170" w:type="dxa"/>
            <w:tcBorders/>
          </w:tcPr>
          <w:p>
            <w:pPr>
              <w:pStyle w:val="Heading9"/>
              <w:widowControl/>
              <w:tabs>
                <w:tab w:val="decimal" w:pos="792" w:leader="none"/>
                <w:tab w:val="left" w:pos="2870" w:leader="none"/>
                <w:tab w:val="left" w:pos="3617" w:leader="none"/>
              </w:tabs>
              <w:ind w:start="0" w:end="-63"/>
              <w:rPr>
                <w:rFonts w:ascii="Arial" w:hAnsi="Arial" w:cs="Arial"/>
                <w:b w:val="false"/>
              </w:rPr>
            </w:pPr>
            <w:r>
              <w:rPr>
                <w:rFonts w:eastAsia="Arial" w:cs="Arial" w:ascii="Arial" w:hAnsi="Arial"/>
                <w:b w:val="false"/>
              </w:rPr>
              <w:t xml:space="preserve">     </w:t>
            </w:r>
            <w:r>
              <w:rPr>
                <w:rFonts w:cs="Arial" w:ascii="Arial" w:hAnsi="Arial"/>
                <w:b w:val="false"/>
              </w:rPr>
              <w:t>3.77%</w:t>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3060" w:type="dxa"/>
            <w:tcBorders/>
          </w:tcPr>
          <w:p>
            <w:pPr>
              <w:pStyle w:val="Normal"/>
              <w:ind w:end="-63"/>
              <w:rPr>
                <w:rFonts w:ascii="Arial" w:hAnsi="Arial" w:cs="Arial"/>
                <w:bCs/>
                <w:sz w:val="20"/>
              </w:rPr>
            </w:pPr>
            <w:r>
              <w:rPr>
                <w:rFonts w:cs="Arial" w:ascii="Arial" w:hAnsi="Arial"/>
                <w:bCs/>
                <w:sz w:val="20"/>
              </w:rPr>
              <w:t>Credit Premium (%):</w:t>
            </w:r>
          </w:p>
        </w:tc>
        <w:tc>
          <w:tcPr>
            <w:tcW w:w="990" w:type="dxa"/>
            <w:tcBorders/>
          </w:tcPr>
          <w:p>
            <w:pPr>
              <w:pStyle w:val="Normal"/>
              <w:snapToGrid w:val="false"/>
              <w:ind w:end="-63"/>
              <w:jc w:val="end"/>
              <w:rPr>
                <w:rFonts w:ascii="Arial" w:hAnsi="Arial" w:cs="Arial"/>
                <w:bCs/>
                <w:sz w:val="20"/>
              </w:rPr>
            </w:pPr>
            <w:r>
              <w:rPr>
                <w:rFonts w:cs="Arial" w:ascii="Arial" w:hAnsi="Arial"/>
                <w:bCs/>
                <w:sz w:val="20"/>
              </w:rPr>
            </w:r>
          </w:p>
        </w:tc>
        <w:tc>
          <w:tcPr>
            <w:tcW w:w="36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202" w:hRule="atLeast"/>
        </w:trPr>
        <w:tc>
          <w:tcPr>
            <w:tcW w:w="270" w:type="dxa"/>
            <w:tcBorders/>
            <w:tcMar>
              <w:start w:w="0" w:type="dxa"/>
              <w:end w:w="0" w:type="dxa"/>
            </w:tcMar>
          </w:tcPr>
          <w:p>
            <w:pPr>
              <w:pStyle w:val="TableContents"/>
              <w:rPr>
                <w:rFonts w:ascii="Arial" w:hAnsi="Arial" w:cs="Arial"/>
                <w:b/>
                <w:sz w:val="20"/>
              </w:rPr>
            </w:pPr>
            <w:r>
              <w:rPr>
                <w:rFonts w:cs="Arial" w:ascii="Arial" w:hAnsi="Arial"/>
                <w:b/>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jc w:val="end"/>
              <w:rPr>
                <w:rFonts w:ascii="Arial" w:hAnsi="Arial" w:cs="Arial"/>
                <w:sz w:val="20"/>
              </w:rPr>
            </w:pPr>
            <w:r>
              <w:rPr>
                <w:rFonts w:cs="Arial" w:ascii="Arial" w:hAnsi="Arial"/>
                <w:sz w:val="20"/>
              </w:rPr>
              <w:t>3,807</w:t>
            </w:r>
          </w:p>
        </w:tc>
        <w:tc>
          <w:tcPr>
            <w:tcW w:w="1170" w:type="dxa"/>
            <w:tcBorders/>
          </w:tcPr>
          <w:p>
            <w:pPr>
              <w:pStyle w:val="Heading9"/>
              <w:widowControl/>
              <w:tabs>
                <w:tab w:val="decimal" w:pos="792" w:leader="none"/>
                <w:tab w:val="left" w:pos="2870" w:leader="none"/>
                <w:tab w:val="left" w:pos="3617" w:leader="none"/>
              </w:tabs>
              <w:ind w:start="0" w:end="-63"/>
              <w:rPr>
                <w:rFonts w:ascii="Arial" w:hAnsi="Arial" w:cs="Arial"/>
                <w:b w:val="false"/>
              </w:rPr>
            </w:pPr>
            <w:r>
              <w:rPr>
                <w:rFonts w:eastAsia="Arial" w:cs="Arial" w:ascii="Arial" w:hAnsi="Arial"/>
                <w:b w:val="false"/>
              </w:rPr>
              <w:t xml:space="preserve">     </w:t>
            </w:r>
            <w:r>
              <w:rPr>
                <w:rFonts w:cs="Arial" w:ascii="Arial" w:hAnsi="Arial"/>
                <w:b w:val="false"/>
              </w:rPr>
              <w:t>5.24%</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99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c>
          <w:tcPr>
            <w:tcW w:w="36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202" w:hRule="atLeast"/>
        </w:trPr>
        <w:tc>
          <w:tcPr>
            <w:tcW w:w="270" w:type="dxa"/>
            <w:tcBorders/>
            <w:tcMar>
              <w:start w:w="0" w:type="dxa"/>
              <w:end w:w="0" w:type="dxa"/>
            </w:tcMar>
          </w:tcPr>
          <w:p>
            <w:pPr>
              <w:pStyle w:val="TableContents"/>
              <w:rPr>
                <w:rFonts w:ascii="Arial" w:hAnsi="Arial" w:cs="Arial"/>
                <w:b/>
                <w:sz w:val="20"/>
              </w:rPr>
            </w:pPr>
            <w:r>
              <w:rPr>
                <w:rFonts w:cs="Arial" w:ascii="Arial" w:hAnsi="Arial"/>
                <w:b/>
                <w:sz w:val="20"/>
              </w:rPr>
            </w:r>
          </w:p>
        </w:tc>
        <w:tc>
          <w:tcPr>
            <w:tcW w:w="2160" w:type="dxa"/>
            <w:tcBorders>
              <w:bottom w:val="single" w:sz="4"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bottom w:val="single" w:sz="4"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bottom w:val="single" w:sz="4" w:space="0" w:color="000000"/>
            </w:tcBorders>
          </w:tcPr>
          <w:p>
            <w:pPr>
              <w:pStyle w:val="Heading9"/>
              <w:widowControl/>
              <w:tabs>
                <w:tab w:val="decimal" w:pos="792" w:leader="none"/>
                <w:tab w:val="left" w:pos="2870" w:leader="none"/>
                <w:tab w:val="left" w:pos="3617" w:leader="none"/>
              </w:tabs>
              <w:ind w:start="0" w:end="-63"/>
              <w:rPr>
                <w:rFonts w:ascii="Arial" w:hAnsi="Arial" w:eastAsia="Arial" w:cs="Arial"/>
                <w:b w:val="false"/>
              </w:rPr>
            </w:pPr>
            <w:r>
              <w:rPr>
                <w:rFonts w:eastAsia="Arial" w:cs="Arial" w:ascii="Arial" w:hAnsi="Arial"/>
                <w:b w:val="false"/>
              </w:rPr>
              <w:t xml:space="preserve">  </w:t>
            </w:r>
          </w:p>
        </w:tc>
        <w:tc>
          <w:tcPr>
            <w:tcW w:w="540" w:type="dxa"/>
            <w:tcBorders>
              <w:bottom w:val="single" w:sz="4" w:space="0" w:color="000000"/>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bottom w:val="single" w:sz="4" w:space="0" w:color="000000"/>
            </w:tcBorders>
          </w:tcPr>
          <w:p>
            <w:pPr>
              <w:pStyle w:val="Heading9"/>
              <w:widowControl/>
              <w:ind w:start="0" w:end="-63"/>
              <w:rPr>
                <w:rFonts w:ascii="Arial" w:hAnsi="Arial" w:cs="Arial"/>
                <w:b w:val="false"/>
              </w:rPr>
            </w:pPr>
            <w:r>
              <w:rPr>
                <w:rFonts w:cs="Arial" w:ascii="Arial" w:hAnsi="Arial"/>
                <w:b w:val="false"/>
              </w:rPr>
              <w:t>Transaction-Specific (%):</w:t>
            </w:r>
          </w:p>
        </w:tc>
        <w:tc>
          <w:tcPr>
            <w:tcW w:w="990" w:type="dxa"/>
            <w:tcBorders>
              <w:bottom w:val="single" w:sz="4" w:space="0" w:color="000000"/>
            </w:tcBorders>
          </w:tcPr>
          <w:p>
            <w:pPr>
              <w:pStyle w:val="Normal"/>
              <w:tabs>
                <w:tab w:val="clear" w:pos="720"/>
                <w:tab w:val="left" w:pos="432" w:leader="none"/>
              </w:tabs>
              <w:ind w:end="-63"/>
              <w:jc w:val="end"/>
              <w:rPr>
                <w:rFonts w:ascii="Arial" w:hAnsi="Arial" w:cs="Arial"/>
                <w:bCs/>
                <w:sz w:val="20"/>
              </w:rPr>
            </w:pPr>
            <w:r>
              <w:rPr>
                <w:rFonts w:cs="Arial" w:ascii="Arial" w:hAnsi="Arial"/>
                <w:bCs/>
                <w:sz w:val="20"/>
              </w:rPr>
              <w:t>2.41%</w:t>
            </w:r>
          </w:p>
        </w:tc>
        <w:tc>
          <w:tcPr>
            <w:tcW w:w="36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195" w:hRule="atLeast"/>
        </w:trPr>
        <w:tc>
          <w:tcPr>
            <w:tcW w:w="270" w:type="dxa"/>
            <w:tcBorders/>
            <w:tcMar>
              <w:start w:w="0" w:type="dxa"/>
              <w:end w:w="0" w:type="dxa"/>
            </w:tcMar>
          </w:tcPr>
          <w:p>
            <w:pPr>
              <w:pStyle w:val="TableContents"/>
              <w:rPr>
                <w:rFonts w:ascii="Arial" w:hAnsi="Arial" w:cs="Arial"/>
                <w:b/>
                <w:sz w:val="20"/>
              </w:rPr>
            </w:pPr>
            <w:r>
              <w:rPr>
                <w:rFonts w:cs="Arial" w:ascii="Arial" w:hAnsi="Arial"/>
                <w:b/>
                <w:sz w:val="20"/>
              </w:rPr>
            </w:r>
          </w:p>
        </w:tc>
        <w:tc>
          <w:tcPr>
            <w:tcW w:w="2160" w:type="dxa"/>
            <w:tcBorders>
              <w:top w:val="single" w:sz="4" w:space="0" w:color="000000"/>
              <w:start w:val="single" w:sz="4" w:space="0" w:color="000000"/>
              <w:bottom w:val="single" w:sz="4"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4" w:space="0" w:color="000000"/>
              <w:bottom w:val="single" w:sz="4" w:space="0" w:color="000000"/>
            </w:tcBorders>
          </w:tcPr>
          <w:p>
            <w:pPr>
              <w:pStyle w:val="Normal"/>
              <w:jc w:val="end"/>
              <w:rPr>
                <w:rFonts w:ascii="Arial" w:hAnsi="Arial" w:cs="Arial"/>
                <w:b/>
                <w:bCs/>
                <w:sz w:val="20"/>
              </w:rPr>
            </w:pPr>
            <w:r>
              <w:rPr>
                <w:rFonts w:cs="Arial" w:ascii="Arial" w:hAnsi="Arial"/>
                <w:b/>
                <w:bCs/>
                <w:sz w:val="20"/>
              </w:rPr>
              <w:t>$(14,879)</w:t>
            </w:r>
          </w:p>
        </w:tc>
        <w:tc>
          <w:tcPr>
            <w:tcW w:w="1170" w:type="dxa"/>
            <w:tcBorders>
              <w:top w:val="single" w:sz="4" w:space="0" w:color="000000"/>
              <w:bottom w:val="single" w:sz="4" w:space="0" w:color="000000"/>
            </w:tcBorders>
          </w:tcPr>
          <w:p>
            <w:pPr>
              <w:pStyle w:val="Heading9"/>
              <w:widowControl/>
              <w:tabs>
                <w:tab w:val="decimal" w:pos="792" w:leader="none"/>
                <w:tab w:val="left" w:pos="2870" w:leader="none"/>
                <w:tab w:val="left" w:pos="3617" w:leader="none"/>
              </w:tabs>
              <w:ind w:start="0" w:end="-108"/>
              <w:jc w:val="center"/>
              <w:rPr>
                <w:rFonts w:ascii="Arial" w:hAnsi="Arial" w:cs="Arial"/>
              </w:rPr>
            </w:pPr>
            <w:r>
              <w:rPr>
                <w:rFonts w:eastAsia="Arial" w:cs="Arial" w:ascii="Arial" w:hAnsi="Arial"/>
              </w:rPr>
              <w:t xml:space="preserve">  </w:t>
            </w:r>
            <w:r>
              <w:rPr>
                <w:rFonts w:cs="Arial" w:ascii="Arial" w:hAnsi="Arial"/>
              </w:rPr>
              <w:t>5.24%</w:t>
            </w:r>
          </w:p>
        </w:tc>
        <w:tc>
          <w:tcPr>
            <w:tcW w:w="540" w:type="dxa"/>
            <w:tcBorders>
              <w:top w:val="single" w:sz="4" w:space="0" w:color="000000"/>
              <w:bottom w:val="single" w:sz="4" w:space="0" w:color="000000"/>
            </w:tcBorders>
          </w:tcPr>
          <w:p>
            <w:pPr>
              <w:pStyle w:val="Heading9"/>
              <w:widowControl/>
              <w:snapToGrid w:val="false"/>
              <w:ind w:start="0" w:end="-108"/>
              <w:rPr>
                <w:rFonts w:ascii="Arial" w:hAnsi="Arial" w:cs="Arial"/>
              </w:rPr>
            </w:pPr>
            <w:r>
              <w:rPr>
                <w:rFonts w:cs="Arial" w:ascii="Arial" w:hAnsi="Arial"/>
              </w:rPr>
            </w:r>
          </w:p>
        </w:tc>
        <w:tc>
          <w:tcPr>
            <w:tcW w:w="3060" w:type="dxa"/>
            <w:tcBorders>
              <w:top w:val="single" w:sz="4" w:space="0" w:color="000000"/>
              <w:bottom w:val="single" w:sz="4" w:space="0" w:color="000000"/>
            </w:tcBorders>
          </w:tcPr>
          <w:p>
            <w:pPr>
              <w:pStyle w:val="Heading9"/>
              <w:widowControl/>
              <w:ind w:start="0" w:end="72"/>
              <w:rPr>
                <w:rFonts w:ascii="Arial" w:hAnsi="Arial" w:cs="Arial"/>
              </w:rPr>
            </w:pPr>
            <w:r>
              <w:rPr>
                <w:rFonts w:cs="Arial" w:ascii="Arial" w:hAnsi="Arial"/>
              </w:rPr>
              <w:t>RAC CAPITAL PRICE:</w:t>
            </w:r>
          </w:p>
        </w:tc>
        <w:tc>
          <w:tcPr>
            <w:tcW w:w="990" w:type="dxa"/>
            <w:tcBorders>
              <w:top w:val="single" w:sz="4" w:space="0" w:color="000000"/>
              <w:bottom w:val="single" w:sz="4" w:space="0" w:color="000000"/>
              <w:end w:val="single" w:sz="4" w:space="0" w:color="000000"/>
            </w:tcBorders>
          </w:tcPr>
          <w:p>
            <w:pPr>
              <w:pStyle w:val="Normal"/>
              <w:tabs>
                <w:tab w:val="clear" w:pos="720"/>
                <w:tab w:val="left" w:pos="432" w:leader="none"/>
              </w:tabs>
              <w:ind w:end="-63"/>
              <w:jc w:val="end"/>
              <w:rPr>
                <w:rFonts w:ascii="Arial" w:hAnsi="Arial" w:cs="Arial"/>
                <w:b/>
                <w:bCs/>
                <w:sz w:val="20"/>
              </w:rPr>
            </w:pPr>
            <w:r>
              <w:rPr>
                <w:rFonts w:cs="Arial" w:ascii="Arial" w:hAnsi="Arial"/>
                <w:b/>
                <w:bCs/>
                <w:sz w:val="20"/>
              </w:rPr>
              <w:t>10.45%</w:t>
            </w:r>
          </w:p>
        </w:tc>
        <w:tc>
          <w:tcPr>
            <w:tcW w:w="36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bl>
    <w:p>
      <w:pPr>
        <w:pStyle w:val="BodyText3"/>
        <w:rPr/>
      </w:pPr>
      <w:r>
        <w:rPr/>
      </w:r>
    </w:p>
    <w:p>
      <w:pPr>
        <w:pStyle w:val="BodyText3"/>
        <w:ind w:hanging="187" w:start="374" w:end="0"/>
        <w:rPr>
          <w:sz w:val="20"/>
        </w:rPr>
      </w:pPr>
      <w:r>
        <w:rPr/>
        <w:t>*</w:t>
        <w:tab/>
        <w:t xml:space="preserve">Purchase price of $125MM includes premium for option to upgrade the facility outlined in “Transaction Upsides” below.  RAC has only validated the Base Value at approximately $110MM and has not valued the option to upgrade the facility.  The deal team has placed a value of approximately </w:t>
      </w:r>
      <w:r>
        <w:rPr>
          <w:b/>
          <w:bCs/>
          <w:i/>
          <w:iCs/>
        </w:rPr>
        <w:t>$15MM</w:t>
      </w:r>
      <w:r>
        <w:rPr/>
        <w:t xml:space="preserve"> on the option to upgrade the facility into the bid price.  The $110MM does not include a credit reserve for EME valued at $5.3MM.</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sz w:val="20"/>
          <w:lang w:val="en-CA" w:eastAsia="en-CA"/>
        </w:rPr>
      </w:pPr>
      <w:r>
        <w:rPr>
          <w:rFonts w:cs="Arial" w:ascii="Arial" w:hAnsi="Arial"/>
          <w:b/>
          <w:sz w:val="20"/>
          <w:lang w:val="en-CA" w:eastAsia="en-CA"/>
        </w:rPr>
        <w:drawing>
          <wp:anchor behindDoc="0" distT="0" distB="0" distL="114935" distR="114935" simplePos="0" locked="0" layoutInCell="1" allowOverlap="1" relativeHeight="2">
            <wp:simplePos x="0" y="0"/>
            <wp:positionH relativeFrom="column">
              <wp:posOffset>0</wp:posOffset>
            </wp:positionH>
            <wp:positionV relativeFrom="paragraph">
              <wp:posOffset>142875</wp:posOffset>
            </wp:positionV>
            <wp:extent cx="4156075" cy="1641475"/>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6"/>
                    <a:srcRect l="-7" t="-17" r="-7" b="-17"/>
                    <a:stretch>
                      <a:fillRect/>
                    </a:stretch>
                  </pic:blipFill>
                  <pic:spPr bwMode="auto">
                    <a:xfrm>
                      <a:off x="0" y="0"/>
                      <a:ext cx="4156075" cy="1641475"/>
                    </a:xfrm>
                    <a:prstGeom prst="rect">
                      <a:avLst/>
                    </a:prstGeom>
                    <a:noFill/>
                  </pic:spPr>
                </pic:pic>
              </a:graphicData>
            </a:graphic>
          </wp:anchor>
        </w:drawing>
        <w:drawing>
          <wp:anchor behindDoc="0" distT="0" distB="0" distL="114935" distR="114935" simplePos="0" locked="0" layoutInCell="1" allowOverlap="1" relativeHeight="3">
            <wp:simplePos x="0" y="0"/>
            <wp:positionH relativeFrom="column">
              <wp:posOffset>4156075</wp:posOffset>
            </wp:positionH>
            <wp:positionV relativeFrom="paragraph">
              <wp:posOffset>142875</wp:posOffset>
            </wp:positionV>
            <wp:extent cx="2374900" cy="164973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7"/>
                    <a:srcRect l="-12" t="-17" r="-12" b="-17"/>
                    <a:stretch>
                      <a:fillRect/>
                    </a:stretch>
                  </pic:blipFill>
                  <pic:spPr bwMode="auto">
                    <a:xfrm>
                      <a:off x="0" y="0"/>
                      <a:ext cx="2374900" cy="1649730"/>
                    </a:xfrm>
                    <a:prstGeom prst="rect">
                      <a:avLst/>
                    </a:prstGeom>
                    <a:noFill/>
                  </pic:spPr>
                </pic:pic>
              </a:graphicData>
            </a:graphic>
          </wp:anchor>
        </w:drawing>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TRANSACTION UPSIDES/OPTIONALITY </w:t>
      </w:r>
    </w:p>
    <w:p>
      <w:pPr>
        <w:pStyle w:val="Normal"/>
        <w:ind w:end="-36"/>
        <w:rPr>
          <w:rFonts w:ascii="Arial" w:hAnsi="Arial" w:cs="Arial"/>
          <w:b/>
          <w:i/>
          <w:i/>
          <w:sz w:val="20"/>
        </w:rPr>
      </w:pPr>
      <w:r>
        <w:rPr>
          <w:rFonts w:cs="Arial" w:ascii="Arial" w:hAnsi="Arial"/>
          <w:b/>
          <w:i/>
          <w:sz w:val="20"/>
        </w:rPr>
      </w:r>
    </w:p>
    <w:p>
      <w:pPr>
        <w:pStyle w:val="Normal"/>
        <w:jc w:val="both"/>
        <w:rPr>
          <w:rFonts w:ascii="Arial" w:hAnsi="Arial" w:cs="Arial"/>
          <w:b/>
          <w:bCs/>
          <w:i/>
          <w:i/>
          <w:iCs/>
          <w:sz w:val="20"/>
          <w:u w:val="single"/>
        </w:rPr>
      </w:pPr>
      <w:r>
        <w:rPr>
          <w:rFonts w:cs="Arial" w:ascii="Arial" w:hAnsi="Arial"/>
          <w:b/>
          <w:bCs/>
          <w:i/>
          <w:iCs/>
          <w:sz w:val="20"/>
          <w:u w:val="single"/>
        </w:rPr>
        <w:t>Level 1 Expansion - Facility Upgrades</w:t>
      </w:r>
    </w:p>
    <w:p>
      <w:pPr>
        <w:pStyle w:val="Normal"/>
        <w:jc w:val="both"/>
        <w:rPr>
          <w:rFonts w:ascii="Arial" w:hAnsi="Arial" w:cs="Arial"/>
          <w:sz w:val="20"/>
        </w:rPr>
      </w:pPr>
      <w:r>
        <w:rPr>
          <w:rFonts w:cs="Arial" w:ascii="Arial" w:hAnsi="Arial"/>
          <w:sz w:val="20"/>
        </w:rPr>
        <w:t>Americas Technical Support has indicated that mechanical chilling can be installed at the air inlets to the combustion turbines, which would increase net plant capacity by approximately at least 19 MW during the summer period.  In addition, three [200,000 lb/hour] package steam boilers can be installed on-site, which would increase the operating flexibility of the project and may be dispatched to replace steam load sent to Consolidated Edison under the existing Energy Sales Agreement.  When the steam boilers are fired, the project can increase its utilization of the existing steam turbines creating incremental energy (36 MW summer, 65 MW winter).  Under a spread option analysis, the incremental energy may be dispatched at package steam boiler economics (heat rate approximately 13,000 Btu/KwH).</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Under the existing Energy Sales Agreement, the partnership should be entitled to sell such excess energy at the SC 11 tariff rate, which is the real-time zonal locational-based marginal price (“LBMP”) for Consolidated Edison’s service area (NYPP zone J).  In addition, the SC 11 tariff provides that the partnership can elect each year to sell such excess power directly to the NY ISO at the hourly real-time locational-based marginal price.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EAE Origination estimates that the inlet chilling project would provide 749,000 PV MWH through 2036, which is valued at $22.6MM NPV, net of a capital cost of $6.1MM for installation.  The package steam boilers are valued at $16.0MM NPV, net of a capital cost of $6.2MM.  The valuation was performed assuming a start date of January 1, 2003.</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Level 2 Expansion - Site Value</w:t>
      </w:r>
    </w:p>
    <w:p>
      <w:pPr>
        <w:pStyle w:val="Normal"/>
        <w:jc w:val="both"/>
        <w:rPr>
          <w:rFonts w:ascii="Arial" w:hAnsi="Arial" w:cs="Arial"/>
          <w:sz w:val="20"/>
        </w:rPr>
      </w:pPr>
      <w:r>
        <w:rPr>
          <w:rFonts w:cs="Arial" w:ascii="Arial" w:hAnsi="Arial"/>
          <w:sz w:val="20"/>
        </w:rPr>
        <w:t>Property is available adjacent to the existing facility which would be well-suited for the installation of one or more Pratt and Whitney FT8 Twin Pac or General Electric LM6000 turbines.  The project’s thermal host BNYDC has indicated willingness in the past to negotiate the leasing of additional property to the partnership.  EAE Origination believes that the expansion value at the site utilizing the projects’ existing fuel infrastructure and electrical interconnection is approximately $10.2MM NPV for the installation of a 50 MW FT8 Twin Pac.  Permitting can be facilitated since 80MW or less expansions of existing generation sites stay outside of Article X.</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Restructuring Value</w:t>
      </w:r>
    </w:p>
    <w:p>
      <w:pPr>
        <w:pStyle w:val="Normal"/>
        <w:rPr/>
      </w:pPr>
      <w:r>
        <w:rPr>
          <w:rFonts w:cs="Arial" w:ascii="Arial" w:hAnsi="Arial"/>
          <w:sz w:val="20"/>
        </w:rPr>
        <w:t xml:space="preserve">An opportunity exists to either restructure or receive a buyout of the remaining capacity payments under the Energy Sales Agreement with Consolidated Edison.  The existing contractual capacity payments are valued at NPV $440MM, using a discount rate of 11%.  A 200 basis point enhancement, related to securitizing the capacity payments at Consolidated Edison’s credit would represent $8.5MM of incremental value to the partnership, net of profit sharing with the utility and </w:t>
      </w:r>
      <w:r>
        <w:rPr>
          <w:rFonts w:cs="Arial" w:ascii="Arial" w:hAnsi="Arial"/>
          <w:color w:val="000000"/>
          <w:sz w:val="20"/>
          <w:szCs w:val="20"/>
        </w:rPr>
        <w:t>prepayment of the project's existing debt as well as associated breakage costs</w:t>
      </w:r>
      <w:r>
        <w:rPr>
          <w:rFonts w:cs="Arial" w:ascii="Arial" w:hAnsi="Arial"/>
          <w:sz w:val="20"/>
        </w:rPr>
        <w:t>.</w:t>
      </w:r>
    </w:p>
    <w:p>
      <w:pPr>
        <w:pStyle w:val="Normal"/>
        <w:rPr>
          <w:rFonts w:ascii="Arial" w:hAnsi="Arial" w:cs="Arial"/>
          <w:sz w:val="20"/>
        </w:rPr>
      </w:pPr>
      <w:r>
        <w:rPr>
          <w:rFonts w:cs="Arial" w:ascii="Arial" w:hAnsi="Arial"/>
          <w:sz w:val="20"/>
        </w:rPr>
      </w:r>
    </w:p>
    <w:p>
      <w:pPr>
        <w:pStyle w:val="Heading7"/>
        <w:pBdr>
          <w:top w:val="single" w:sz="4" w:space="1" w:color="000000"/>
        </w:pBdr>
        <w:rPr>
          <w:iCs/>
        </w:rPr>
      </w:pPr>
      <w:r>
        <w:rPr>
          <w:iCs/>
        </w:rPr>
        <w:t>EXIT STRATEGY</w:t>
      </w:r>
    </w:p>
    <w:p>
      <w:pPr>
        <w:pStyle w:val="Normal"/>
        <w:ind w:end="-36"/>
        <w:rPr>
          <w:rFonts w:ascii="Arial" w:hAnsi="Arial" w:cs="Arial"/>
          <w:iCs/>
          <w:sz w:val="20"/>
        </w:rPr>
      </w:pPr>
      <w:r>
        <w:rPr>
          <w:rFonts w:cs="Arial" w:ascii="Arial" w:hAnsi="Arial"/>
          <w:iCs/>
          <w:sz w:val="20"/>
        </w:rPr>
      </w:r>
    </w:p>
    <w:p>
      <w:pPr>
        <w:pStyle w:val="Normal"/>
        <w:ind w:end="-36"/>
        <w:rPr>
          <w:rFonts w:ascii="Arial" w:hAnsi="Arial" w:cs="Arial"/>
          <w:sz w:val="20"/>
        </w:rPr>
      </w:pPr>
      <w:r>
        <w:rPr>
          <w:rFonts w:cs="Arial" w:ascii="Arial" w:hAnsi="Arial"/>
          <w:sz w:val="20"/>
        </w:rPr>
        <w:t>EAE expects it will be necessary to maintain its interest in BNYCP for at least a three-year period to maximize the opportunities presented above (“Transaction Upsides”).  Given the supply, political and environmental constraints existing in New York City, EAE Origination expects the market, near-term, to be attractive for the holding of generation assets.</w:t>
      </w:r>
    </w:p>
    <w:p>
      <w:pPr>
        <w:pStyle w:val="Normal"/>
        <w:ind w:end="-36"/>
        <w:rPr>
          <w:rFonts w:ascii="Arial" w:hAnsi="Arial" w:cs="Arial"/>
          <w:sz w:val="20"/>
        </w:rPr>
      </w:pPr>
      <w:r>
        <w:rPr>
          <w:rFonts w:cs="Arial" w:ascii="Arial" w:hAnsi="Arial"/>
          <w:sz w:val="20"/>
        </w:rPr>
      </w:r>
    </w:p>
    <w:p>
      <w:pPr>
        <w:pStyle w:val="Heading2"/>
        <w:keepNext w:val="false"/>
        <w:widowControl/>
        <w:pBdr>
          <w:top w:val="single" w:sz="8" w:space="1" w:color="000000"/>
        </w:pBdr>
        <w:ind w:hanging="0" w:start="0" w:end="-43"/>
        <w:rPr>
          <w:rFonts w:ascii="Arial" w:hAnsi="Arial" w:cs="Arial"/>
          <w:i w:val="false"/>
          <w:i w:val="false"/>
        </w:rPr>
      </w:pPr>
      <w:r>
        <w:rPr>
          <w:rFonts w:cs="Arial" w:ascii="Arial" w:hAnsi="Arial"/>
          <w:i w:val="false"/>
        </w:rPr>
        <w:t xml:space="preserve">RISK MATRIX </w:t>
      </w:r>
    </w:p>
    <w:p>
      <w:pPr>
        <w:pStyle w:val="Normal"/>
        <w:rPr>
          <w:rFonts w:ascii="Arial" w:hAnsi="Arial" w:cs="Arial"/>
          <w:i/>
          <w:i/>
        </w:rPr>
      </w:pPr>
      <w:r>
        <w:rPr>
          <w:rFonts w:cs="Arial" w:ascii="Arial" w:hAnsi="Arial"/>
          <w:i/>
        </w:rPr>
      </w:r>
    </w:p>
    <w:tbl>
      <w:tblPr>
        <w:tblW w:w="10440" w:type="dxa"/>
        <w:jc w:val="start"/>
        <w:tblInd w:w="18" w:type="dxa"/>
        <w:tblLayout w:type="fixed"/>
        <w:tblCellMar>
          <w:top w:w="0" w:type="dxa"/>
          <w:start w:w="108" w:type="dxa"/>
          <w:bottom w:w="0" w:type="dxa"/>
          <w:end w:w="108" w:type="dxa"/>
        </w:tblCellMar>
      </w:tblPr>
      <w:tblGrid>
        <w:gridCol w:w="4680"/>
        <w:gridCol w:w="5760"/>
      </w:tblGrid>
      <w:tr>
        <w:trPr/>
        <w:tc>
          <w:tcPr>
            <w:tcW w:w="4680" w:type="dxa"/>
            <w:tcBorders>
              <w:top w:val="single" w:sz="6" w:space="0" w:color="000000"/>
              <w:start w:val="single" w:sz="6" w:space="0" w:color="000000"/>
              <w:bottom w:val="single" w:sz="6" w:space="0" w:color="000000"/>
              <w:end w:val="single" w:sz="6" w:space="0" w:color="000000"/>
            </w:tcBorders>
          </w:tcPr>
          <w:p>
            <w:pPr>
              <w:pStyle w:val="Heading6"/>
              <w:keepNext w:val="false"/>
              <w:ind w:hanging="0" w:start="0"/>
              <w:rPr>
                <w:rFonts w:ascii="Arial" w:hAnsi="Arial" w:cs="Arial"/>
                <w:szCs w:val="24"/>
              </w:rPr>
            </w:pPr>
            <w:r>
              <w:rPr>
                <w:rFonts w:cs="Arial" w:ascii="Arial" w:hAnsi="Arial"/>
                <w:szCs w:val="24"/>
              </w:rPr>
              <w:t>RISK DESCRIPTION</w:t>
            </w:r>
          </w:p>
        </w:tc>
        <w:tc>
          <w:tcPr>
            <w:tcW w:w="57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bCs/>
              </w:rPr>
            </w:pPr>
            <w:r>
              <w:rPr>
                <w:rFonts w:cs="Arial" w:ascii="Arial" w:hAnsi="Arial"/>
                <w:bCs/>
              </w:rPr>
              <w:t>Legal Risk</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Legal Risk Rating = 4.  See attached Legal Risk Memo.</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w:t>
            </w:r>
          </w:p>
          <w:p>
            <w:pPr>
              <w:pStyle w:val="Heading1"/>
              <w:keepNext w:val="false"/>
              <w:ind w:hanging="0" w:start="0"/>
              <w:rPr>
                <w:rFonts w:ascii="Arial" w:hAnsi="Arial" w:eastAsia="Arial" w:cs="Arial"/>
              </w:rPr>
            </w:pPr>
            <w:r>
              <w:rPr>
                <w:rFonts w:eastAsia="Arial" w:cs="Arial" w:ascii="Arial" w:hAnsi="Arial"/>
              </w:rPr>
              <w:t xml:space="preserve"> </w:t>
            </w:r>
          </w:p>
          <w:p>
            <w:pPr>
              <w:pStyle w:val="Heading1"/>
              <w:keepNext w:val="false"/>
              <w:ind w:hanging="0" w:start="0"/>
              <w:rPr>
                <w:rFonts w:ascii="Arial" w:hAnsi="Arial" w:cs="Arial"/>
                <w:b w:val="false"/>
                <w:bCs/>
              </w:rPr>
            </w:pPr>
            <w:r>
              <w:rPr>
                <w:rFonts w:cs="Arial" w:ascii="Arial" w:hAnsi="Arial"/>
                <w:b w:val="false"/>
                <w:bCs/>
                <w:i/>
              </w:rPr>
              <w:t>Edison Mission Energy</w:t>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 xml:space="preserve">As a result of disagreements between the turnkey contractor for the project (PMNC) and BNYCP, PMNC filed suit against BNYCP in 1997 seeking damages in excess of $136MM.  BNYCP filed a counter suit claiming damages of $13MM.  In 2000, BNYCP entered into settlement negotiations with PMNC, which were unsuccessful.  During November 2000, a New York appellate court issued a ruling granting summary judgment in favor of BNYCP, limiting the contractor to its claims under the construction contract.  </w:t>
            </w:r>
            <w:r>
              <w:rPr>
                <w:b/>
                <w:bCs/>
              </w:rPr>
              <w:t>Based on discussions held with outside counsel retained by EAE and with the litigation firm handling the case for BNYCP, Enron Americas Legal believes the case has a most likely settlement outcome of $37 million in damages against BNYCP.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Mission has indemnified BNYCP with respect to the PMNC Litigation and would also indemnify Enron under the purchase agreement.  In addition, Mission can offset up to $10 million in GP fees payable to the other partner.  However, the risk exists that when the litigation settles or proceeds to judgment, any amount owed by BNYCP could be in excess of an amount which Mission could then be able to pay.  In such event, if the Partnership fails to satisfy such claim, PMNC could obtain and foreclose a judgment lien on the assets of BNYCP.</w:t>
            </w:r>
          </w:p>
          <w:p>
            <w:pPr>
              <w:pStyle w:val="Normal"/>
              <w:jc w:val="both"/>
              <w:rPr>
                <w:rFonts w:ascii="Arial" w:hAnsi="Arial" w:cs="Arial"/>
                <w:sz w:val="20"/>
              </w:rPr>
            </w:pPr>
            <w:r>
              <w:rPr>
                <w:rFonts w:cs="Arial" w:ascii="Arial" w:hAnsi="Arial"/>
                <w:sz w:val="20"/>
              </w:rPr>
            </w:r>
          </w:p>
          <w:p>
            <w:pPr>
              <w:pStyle w:val="BodyText2"/>
              <w:tabs>
                <w:tab w:val="clear" w:pos="720"/>
                <w:tab w:val="clear" w:pos="3600"/>
                <w:tab w:val="clear" w:pos="5040"/>
                <w:tab w:val="clear" w:pos="6480"/>
                <w:tab w:val="clear" w:pos="7920"/>
              </w:tabs>
              <w:rPr/>
            </w:pPr>
            <w:r>
              <w:rPr/>
              <w:t>Concern has been expressed regarding Mission’s credit quality (Standard and Poor’s BBB-, Moody’s Baa3) relative to the PMNC litigation indemnification. EME’s First Power investment (UK) is experiencing significant financial difficulties.  In the event that Mission becomes bankrupt prior to the settlement of the PMNC Litigation, the Partnership and ENA would have an unsecured claim against EME’s bankrupt estate with respect to EME’s indemnification obligations.  Additionally, ENA would likely be called upon to provide indemnification to the project.</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 (cont.)</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t>York Research Corporation</w:t>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 xml:space="preserve">EME will be required to post a $25MM letter of credit for the benefit of ENE in the event that a judgment is secured by PMNC and Mission is unable to meet its obligations under the indemnification provided.  The L/C requirement will be in place until the earlier of settlement of the dispute or July 2004.  At that point, the L/C requirement can be removed if Mission achieves at least an A-/A3 rating (the “Release Level”) and maintains such rating for six consecutive months.  Any rating level below the Release Level will require at least a $25 million L/C.  </w:t>
            </w:r>
          </w:p>
          <w:p>
            <w:pPr>
              <w:pStyle w:val="BodyText2"/>
              <w:tabs>
                <w:tab w:val="clear" w:pos="720"/>
                <w:tab w:val="clear" w:pos="3600"/>
                <w:tab w:val="clear" w:pos="5040"/>
                <w:tab w:val="clear" w:pos="6480"/>
                <w:tab w:val="clear" w:pos="7920"/>
              </w:tabs>
              <w:rPr/>
            </w:pPr>
            <w:r>
              <w:rPr/>
            </w:r>
          </w:p>
          <w:p>
            <w:pPr>
              <w:pStyle w:val="BodyText2"/>
              <w:tabs>
                <w:tab w:val="clear" w:pos="720"/>
                <w:tab w:val="clear" w:pos="3600"/>
                <w:tab w:val="clear" w:pos="5040"/>
                <w:tab w:val="clear" w:pos="6480"/>
                <w:tab w:val="clear" w:pos="7920"/>
              </w:tabs>
              <w:rPr/>
            </w:pPr>
            <w:r>
              <w:rPr/>
              <w:t xml:space="preserve">In addition to the PMNC litigation indemnification, Mission will indemnify ENE against a disputed city water and sewer bill (exposure is approximately $6MM) and a pending New York state tax audit (exposure is potentially $10MM).  EME’s ability to meet its obligations under its indemnification provisions has been evaluated by RAC, which has resulted in a credit reserve of $5.3MM being applied against the project valuation.  This number was derived from interpretations of the latest assumptions provided by ENA Legal and current market yields which consisted of the following:  (1) PMNC litigation judgment amount due: min = 0, most likely = $37MM, max exposure = $175MM;  (2) Probability of years to settlement date for litigation:  1 year = 15%, 2 years = 30%, 3 years = 25%, 4 years = 25%, 5 years = 5%; (3) Based upon estimated bond spreads for Mission debt, credit quality of Mission is equal to a S&amp;P B+/B1.  </w:t>
            </w:r>
            <w:r>
              <w:rPr>
                <w:b/>
                <w:bCs/>
              </w:rPr>
              <w:t>If these assumptions were to prove inaccurate, the actual credit exposure could be dramatically different from the expected $5.3 MM value.</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sz w:val="20"/>
              </w:rPr>
            </w:pPr>
            <w:r>
              <w:rPr>
                <w:rFonts w:cs="Arial" w:ascii="Arial" w:hAnsi="Arial"/>
                <w:sz w:val="20"/>
              </w:rPr>
              <w:t>York Research Corporation owns a 5% GP interest and a 45% LP interest in the project through its subsidiary B-41 Associates LP (“B-41”).  In March 2000, a Chapter 11 bankruptcy was filed by York subsidiary North American Energy Conservation (“NAEC”).  The bankruptcy proceeding has not been discharged, pending the resolution of approximately $60MM in claims against NAEC that were guaranteed by the parent company.  A settlement with these creditors has been approved by the court and the bankruptcy will be discharged pending funding of the settlement amount by the parent company.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EAE Origination believes that a bankruptcy at the York parent will not have a significant impact on B-41 and the management of the BNYCP project, since cash flow from B-41 has been pledged to a portfolio financing and the funding company structure is bankruptcy remote from a bankruptcy at the parent company.  In addition, MENY holds a managing GP interest in the partnership with control over day-to-day operations.</w:t>
            </w:r>
          </w:p>
          <w:p>
            <w:pPr>
              <w:pStyle w:val="Normal"/>
              <w:jc w:val="both"/>
              <w:rPr>
                <w:rFonts w:ascii="Arial" w:hAnsi="Arial" w:cs="Arial"/>
                <w:sz w:val="20"/>
              </w:rPr>
            </w:pPr>
            <w:r>
              <w:rPr>
                <w:rFonts w:cs="Arial" w:ascii="Arial" w:hAnsi="Arial"/>
                <w:sz w:val="20"/>
              </w:rPr>
            </w:r>
          </w:p>
          <w:p>
            <w:pPr>
              <w:pStyle w:val="Normal"/>
              <w:spacing w:lineRule="atLeast" w:line="240"/>
              <w:jc w:val="both"/>
              <w:rPr/>
            </w:pPr>
            <w:r>
              <w:rPr>
                <w:rFonts w:cs="Arial" w:ascii="Arial" w:hAnsi="Arial"/>
                <w:sz w:val="20"/>
              </w:rPr>
              <w:t>EAE origination has approached York Research regarding the acquisition of its interest in the partnership and believes that a transaction can be completed by 4</w:t>
            </w:r>
            <w:r>
              <w:rPr>
                <w:rFonts w:cs="Arial" w:ascii="Arial" w:hAnsi="Arial"/>
                <w:sz w:val="20"/>
                <w:vertAlign w:val="superscript"/>
              </w:rPr>
              <w:t>th</w:t>
            </w:r>
            <w:r>
              <w:rPr>
                <w:rFonts w:cs="Arial" w:ascii="Arial" w:hAnsi="Arial"/>
                <w:sz w:val="20"/>
              </w:rPr>
              <w:t xml:space="preserve"> quarter 2001.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Credit Risk (cont.)</w:t>
            </w:r>
          </w:p>
          <w:p>
            <w:pPr>
              <w:pStyle w:val="Normal"/>
              <w:rPr>
                <w:rFonts w:ascii="Arial" w:hAnsi="Arial" w:cs="Arial"/>
                <w:i/>
                <w:i/>
                <w:sz w:val="20"/>
              </w:rPr>
            </w:pPr>
            <w:r>
              <w:rPr>
                <w:rFonts w:cs="Arial" w:ascii="Arial" w:hAnsi="Arial"/>
                <w:i/>
                <w:sz w:val="20"/>
              </w:rPr>
              <w:t>Consolidated Edison</w:t>
            </w:r>
          </w:p>
          <w:p>
            <w:pPr>
              <w:pStyle w:val="Normal"/>
              <w:rPr>
                <w:rFonts w:ascii="Arial" w:hAnsi="Arial" w:cs="Arial"/>
                <w:i/>
                <w:i/>
                <w:sz w:val="20"/>
              </w:rPr>
            </w:pPr>
            <w:r>
              <w:rPr>
                <w:rFonts w:cs="Arial" w:ascii="Arial" w:hAnsi="Arial"/>
                <w:i/>
                <w:sz w:val="20"/>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sz w:val="20"/>
              </w:rPr>
            </w:pPr>
            <w:r>
              <w:rPr>
                <w:rFonts w:cs="Arial" w:ascii="Arial" w:hAnsi="Arial"/>
                <w:sz w:val="20"/>
              </w:rPr>
              <w:t>Consolidated Edison has entered into a PPA with BNYCP through 2036 to purchase all of the facility’s electric and steam output net of parasitic load and host sales to BNYDC and Red Hook.  Con Ed is currently rated at an A-, but their bonds are trading at a yield equivalent to a BB- utility.  Under a Con Ed default scenario (which has been reflected in the project valuation as an approximately $9MM reserve against value), the project would resort to selling power as a merchant facility.</w:t>
            </w:r>
          </w:p>
          <w:p>
            <w:pPr>
              <w:pStyle w:val="Normal"/>
              <w:spacing w:lineRule="atLeast" w:line="240"/>
              <w:jc w:val="both"/>
              <w:rPr>
                <w:rFonts w:ascii="Arial" w:hAnsi="Arial" w:cs="Arial"/>
                <w:color w:val="000000"/>
                <w:sz w:val="20"/>
              </w:rPr>
            </w:pPr>
            <w:r>
              <w:rPr>
                <w:rFonts w:cs="Arial" w:ascii="Arial" w:hAnsi="Arial"/>
                <w:color w:val="000000"/>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Technical and Operational Risk</w:t>
            </w:r>
          </w:p>
          <w:p>
            <w:pPr>
              <w:pStyle w:val="Normal"/>
              <w:rPr>
                <w:rFonts w:ascii="Arial" w:hAnsi="Arial" w:cs="Arial"/>
                <w:sz w:val="20"/>
              </w:rPr>
            </w:pPr>
            <w:r>
              <w:rPr>
                <w:rFonts w:cs="Arial" w:ascii="Arial" w:hAnsi="Arial"/>
                <w:sz w:val="20"/>
              </w:rPr>
            </w:r>
          </w:p>
          <w:p>
            <w:pPr>
              <w:pStyle w:val="Normal"/>
              <w:jc w:val="both"/>
              <w:rPr>
                <w:rFonts w:ascii="Arial" w:hAnsi="Arial" w:cs="Arial"/>
                <w:i/>
                <w:i/>
                <w:sz w:val="20"/>
              </w:rPr>
            </w:pPr>
            <w:r>
              <w:rPr>
                <w:rFonts w:cs="Arial" w:ascii="Arial" w:hAnsi="Arial"/>
                <w:i/>
                <w:sz w:val="20"/>
              </w:rPr>
              <w:t>HRSG tube leaks</w:t>
            </w:r>
          </w:p>
          <w:p>
            <w:pPr>
              <w:pStyle w:val="Normal"/>
              <w:rPr>
                <w:rFonts w:ascii="Arial" w:hAnsi="Arial" w:cs="Arial"/>
                <w:i/>
                <w:i/>
                <w:sz w:val="20"/>
                <w:u w:val="single"/>
              </w:rPr>
            </w:pPr>
            <w:r>
              <w:rPr>
                <w:rFonts w:cs="Arial" w:ascii="Arial" w:hAnsi="Arial"/>
                <w:i/>
                <w:sz w:val="20"/>
                <w:u w:val="single"/>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The project has experienced significant interruption from forced outages as a result of HRSG tube leaks. At the first major maintenance on combustion turbine #2 in April 1999, an inspection of the HRSG was conducted by ABB.  ABB determined that there was evidence of erosion/corrosion which would not be expected to occur in such a new plant.  In November 2000, Vogt-NEM Inc. provided a proposal to the project to perform a full surface replacement for both HRSGs utilizing the Vogt-NEM module harp design, which is expected to minimize flow assisted corrosion.  The project economics reflect increased major maintenance expenses ($6MM per each HRSG) to correct the tube leaks.</w:t>
            </w:r>
          </w:p>
          <w:p>
            <w:pPr>
              <w:pStyle w:val="Normal"/>
              <w:jc w:val="both"/>
              <w:rPr>
                <w:rFonts w:ascii="Arial" w:hAnsi="Arial" w:cs="Arial"/>
                <w:color w:val="000000"/>
                <w:sz w:val="20"/>
              </w:rPr>
            </w:pPr>
            <w:r>
              <w:rPr>
                <w:rFonts w:cs="Arial" w:ascii="Arial" w:hAnsi="Arial"/>
                <w:color w:val="000000"/>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Construction and Permitting Risk</w:t>
            </w:r>
          </w:p>
          <w:p>
            <w:pPr>
              <w:pStyle w:val="Normal"/>
              <w:rPr>
                <w:rFonts w:ascii="Arial" w:hAnsi="Arial" w:cs="Arial"/>
              </w:rPr>
            </w:pPr>
            <w:r>
              <w:rPr>
                <w:rFonts w:cs="Arial" w:ascii="Arial" w:hAnsi="Arial"/>
              </w:rPr>
            </w:r>
          </w:p>
          <w:p>
            <w:pPr>
              <w:pStyle w:val="Normal"/>
              <w:rPr>
                <w:rFonts w:ascii="Arial" w:hAnsi="Arial" w:cs="Arial"/>
                <w:i/>
                <w:i/>
                <w:sz w:val="20"/>
              </w:rPr>
            </w:pPr>
            <w:r>
              <w:rPr>
                <w:rFonts w:cs="Arial" w:ascii="Arial" w:hAnsi="Arial"/>
                <w:i/>
                <w:sz w:val="20"/>
              </w:rPr>
              <w:t>Risk that plant air inlet chilling and package steam boiler upgrades cannot be implemented by June 2002.</w:t>
            </w:r>
          </w:p>
          <w:p>
            <w:pPr>
              <w:pStyle w:val="Normal"/>
              <w:rPr/>
            </w:pPr>
            <w:r>
              <w:rPr/>
            </w:r>
          </w:p>
          <w:p>
            <w:pPr>
              <w:pStyle w:val="Normal"/>
              <w:rPr/>
            </w:pPr>
            <w:r>
              <w:rPr/>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sz w:val="20"/>
              </w:rPr>
              <w:t xml:space="preserve">Americas Technical Services has indicated that the inlet chilling and package steam boiler upgrades should require a minor modification of the plant’s existing air permit.  </w:t>
            </w:r>
            <w:r>
              <w:rPr>
                <w:rFonts w:cs="Arial" w:ascii="Arial" w:hAnsi="Arial"/>
                <w:sz w:val="20"/>
              </w:rPr>
              <w:t>Since the Brooklyn Navy Yard facility was permitted in the 1990s, it has already been through a State Environmental Quality Review (SEQR), including an Environmental Impact Statement (EIS).  This recent assessment as well as the relatively minor changes proposed to the facility should allow the SEQR review to be limited to the preparation of an environmental checklist, without triggering a new EIS.  Outside environmental consultants have indicated that for a minor modification not requiring an EIS, the permitting can be completed in four to six months, including both the SEQR process and issuance of a new air permit.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Americas Technical Services has assigned a 75% probability to finalizing the requisite air permit modifications by the end of this year. The worst-case scenario would occur if the project’s net emission increase triggers a major modification to an existing Prevention of Significant Deterioration (PSD) source.  The SEQR process would be the same, however, the air permit review would be more complicated and trigger additional information requirements, such as air quality impact modeling.  Typically, a PSD source or major modification to an existing source requires a 9 to 12 month agency review.</w:t>
            </w:r>
          </w:p>
          <w:p>
            <w:pPr>
              <w:pStyle w:val="Normal"/>
              <w:rPr>
                <w:rFonts w:ascii="Arial" w:hAnsi="Arial" w:cs="Arial"/>
                <w:sz w:val="20"/>
              </w:rPr>
            </w:pPr>
            <w:r>
              <w:rPr>
                <w:rFonts w:cs="Arial" w:ascii="Arial" w:hAnsi="Arial"/>
                <w:sz w:val="20"/>
              </w:rPr>
            </w:r>
          </w:p>
          <w:p>
            <w:pPr>
              <w:pStyle w:val="Normal"/>
              <w:rPr/>
            </w:pPr>
            <w:r>
              <w:rPr>
                <w:rFonts w:cs="Arial" w:ascii="Arial" w:hAnsi="Arial"/>
                <w:sz w:val="20"/>
              </w:rPr>
              <w:t>Construction of the facility upgrades can be initiated after the air permit modifications are obtained.  Lead time for the fabrication, construction, and testing of the package steam boilers and air inlet chilling is estimated by Americas Technical Services at six to twelve months.  T</w:t>
            </w:r>
            <w:r>
              <w:rPr>
                <w:rFonts w:cs="Arial" w:ascii="Arial" w:hAnsi="Arial"/>
                <w:sz w:val="20"/>
                <w:szCs w:val="20"/>
              </w:rPr>
              <w:t xml:space="preserve">here is more schedule risk associated with the chiller installation than with the boiler installation.  </w:t>
            </w:r>
            <w:r>
              <w:rPr>
                <w:rFonts w:cs="Arial" w:ascii="Arial" w:hAnsi="Arial"/>
                <w:sz w:val="20"/>
              </w:rPr>
              <w:t>The net impact on the valuation of the facility upgrades of a six month delay from the expected start date of June 2002 is $3.7MM.</w:t>
            </w:r>
          </w:p>
          <w:p>
            <w:pPr>
              <w:pStyle w:val="Normal"/>
              <w:spacing w:lineRule="atLeast" w:line="240"/>
              <w:jc w:val="both"/>
              <w:rPr>
                <w:rFonts w:ascii="Arial" w:hAnsi="Arial" w:cs="Arial"/>
                <w:color w:val="000000"/>
                <w:sz w:val="20"/>
              </w:rPr>
            </w:pPr>
            <w:r>
              <w:rPr>
                <w:rFonts w:cs="Arial" w:ascii="Arial" w:hAnsi="Arial"/>
                <w:color w:val="000000"/>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Gas Transportation and Commodity Price Risk</w:t>
            </w:r>
          </w:p>
          <w:p>
            <w:pPr>
              <w:pStyle w:val="Normal"/>
              <w:rPr>
                <w:rFonts w:ascii="Arial" w:hAnsi="Arial" w:cs="Arial"/>
                <w:sz w:val="20"/>
              </w:rPr>
            </w:pPr>
            <w:r>
              <w:rPr>
                <w:rFonts w:cs="Arial" w:ascii="Arial" w:hAnsi="Arial"/>
                <w:sz w:val="20"/>
              </w:rPr>
            </w:r>
          </w:p>
          <w:p>
            <w:pPr>
              <w:pStyle w:val="Normal"/>
              <w:spacing w:lineRule="atLeast" w:line="240"/>
              <w:jc w:val="both"/>
              <w:rPr/>
            </w:pPr>
            <w:r>
              <w:rPr>
                <w:rFonts w:cs="Arial" w:ascii="Arial" w:hAnsi="Arial"/>
                <w:i/>
                <w:sz w:val="20"/>
              </w:rPr>
              <w:t xml:space="preserve">The project holds 25,508 MMBtu/day </w:t>
            </w:r>
            <w:r>
              <w:rPr>
                <w:rFonts w:cs="Arial" w:ascii="Arial" w:hAnsi="Arial"/>
                <w:i/>
                <w:color w:val="000000"/>
                <w:sz w:val="20"/>
              </w:rPr>
              <w:t>firm transportation capacity on Transcanada Pipeline(TCPL) and 30,303 MMBtu/day firm transportation capacity on Transco through 2017.</w:t>
            </w:r>
          </w:p>
          <w:p>
            <w:pPr>
              <w:pStyle w:val="Normal"/>
              <w:rPr>
                <w:rFonts w:ascii="Arial" w:hAnsi="Arial" w:cs="Arial"/>
                <w:i/>
                <w:i/>
                <w:color w:val="000000"/>
                <w:sz w:val="20"/>
                <w:u w:val="single"/>
              </w:rPr>
            </w:pPr>
            <w:r>
              <w:rPr>
                <w:rFonts w:cs="Arial" w:ascii="Arial" w:hAnsi="Arial"/>
                <w:i/>
                <w:color w:val="000000"/>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i/>
                <w:i/>
                <w:iCs/>
                <w:sz w:val="20"/>
                <w:u w:val="single"/>
              </w:rPr>
            </w:pPr>
            <w:r>
              <w:rPr>
                <w:rFonts w:cs="Arial" w:ascii="Arial" w:hAnsi="Arial"/>
                <w:i/>
                <w:iCs/>
                <w:sz w:val="20"/>
                <w:u w:val="single"/>
              </w:rPr>
            </w:r>
          </w:p>
          <w:p>
            <w:pPr>
              <w:pStyle w:val="Normal"/>
              <w:rPr>
                <w:rFonts w:ascii="Arial" w:hAnsi="Arial" w:cs="Arial"/>
                <w:i/>
                <w:i/>
                <w:iCs/>
                <w:sz w:val="20"/>
              </w:rPr>
            </w:pPr>
            <w:r>
              <w:rPr>
                <w:rFonts w:cs="Arial" w:ascii="Arial" w:hAnsi="Arial"/>
                <w:i/>
                <w:iCs/>
                <w:sz w:val="20"/>
              </w:rPr>
            </w:r>
          </w:p>
          <w:p>
            <w:pPr>
              <w:pStyle w:val="Normal"/>
              <w:rPr>
                <w:rFonts w:ascii="Arial" w:hAnsi="Arial" w:cs="Arial"/>
                <w:i/>
                <w:i/>
                <w:iCs/>
                <w:sz w:val="20"/>
              </w:rPr>
            </w:pPr>
            <w:r>
              <w:rPr>
                <w:rFonts w:cs="Arial" w:ascii="Arial" w:hAnsi="Arial"/>
                <w:i/>
                <w:iCs/>
                <w:sz w:val="20"/>
              </w:rPr>
              <w:t>The project is financially long NYMEX in the amount of roughly 2,000 dth/day.</w:t>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As a consequence of over 2 Bcf of capacity turn-back expected over the next two years, firm transportation rates on TCPL are expected to increase by 5.2% in 2002 and by 30% in 2003, which is reflected in the project valuation.  Since the partnership holds firm transportation through 2016, it is subject to price risk related to further increases on TCPL.</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color w:val="000000"/>
                <w:sz w:val="20"/>
              </w:rPr>
              <w:t>Similarly, Transco recently filed for an increase in rates in excess of 50 percent, effective in late 2001.  ENA does not expect Transco to receive 100 percent of its requested increase as a part of this increase involves a higher rate of return than was recently approved for the pipeline and part involves rolled-in rate treatment for several expansion projects that were previously denied this treatment.  The project valuation reflects a 39.8 percent increase in rates in 2001.  Since the partnership holds firm transportation through 2016, it is subject to price risk related to further increases on Transco.</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sz w:val="20"/>
              </w:rPr>
              <w:t>This financial length is based on the operating assumptions underlying the project.  Hedging this would lock in the position based on one set of assumptions for operating conditions.  If actual operating assumptions differ the project has the potential of becoming longer or shorter NYMEX.  Given the relatively small size of this position, we are not recommending hedging this at this time.</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In the event of a default by a gas supplier, the project would be able to purchase gas at market-based prices.  A liquid market exists for spot gas at the receipt points of the associated transportation capacity and at the delivery point (Transco Zone 6), which would be accessible to the project.</w:t>
            </w:r>
          </w:p>
          <w:p>
            <w:pPr>
              <w:pStyle w:val="Normal"/>
              <w:jc w:val="both"/>
              <w:rPr>
                <w:rFonts w:ascii="Arial" w:hAnsi="Arial" w:cs="Arial"/>
                <w:color w:val="000000"/>
                <w:sz w:val="20"/>
              </w:rPr>
            </w:pPr>
            <w:r>
              <w:rPr>
                <w:rFonts w:cs="Arial" w:ascii="Arial" w:hAnsi="Arial"/>
                <w:color w:val="000000"/>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52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Poor                                                                  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SENSITIVITY MATRIX</w:t>
      </w:r>
    </w:p>
    <w:p>
      <w:pPr>
        <w:pStyle w:val="Header"/>
        <w:widowControl/>
        <w:tabs>
          <w:tab w:val="clear" w:pos="4320"/>
          <w:tab w:val="clear" w:pos="8640"/>
        </w:tabs>
        <w:rPr>
          <w:rFonts w:ascii="Arial" w:hAnsi="Arial" w:cs="Arial"/>
        </w:rPr>
      </w:pPr>
      <w:r>
        <w:rPr>
          <w:rFonts w:cs="Arial" w:ascii="Arial" w:hAnsi="Arial"/>
        </w:rPr>
        <w:tab/>
        <w:tab/>
        <w:tab/>
        <w:tab/>
        <w:tab/>
      </w:r>
      <w:r>
        <w:rPr>
          <w:rFonts w:cs="Arial" w:ascii="Arial" w:hAnsi="Arial"/>
          <w:u w:val="single"/>
        </w:rPr>
        <w:t>Change</w:t>
        <w:tab/>
      </w:r>
      <w:r>
        <w:rPr>
          <w:rFonts w:cs="Arial" w:ascii="Arial" w:hAnsi="Arial"/>
        </w:rPr>
        <w:tab/>
        <w:tab/>
      </w:r>
      <w:r>
        <w:rPr>
          <w:rFonts w:cs="Arial" w:ascii="Arial" w:hAnsi="Arial"/>
          <w:u w:val="single"/>
        </w:rPr>
        <w:t>Impact to valuation</w:t>
      </w:r>
    </w:p>
    <w:p>
      <w:pPr>
        <w:pStyle w:val="Header"/>
        <w:widowControl/>
        <w:tabs>
          <w:tab w:val="clear" w:pos="4320"/>
          <w:tab w:val="clear" w:pos="8640"/>
        </w:tabs>
        <w:rPr>
          <w:rFonts w:ascii="Arial" w:hAnsi="Arial" w:cs="Arial"/>
        </w:rPr>
      </w:pPr>
      <w:r>
        <w:rPr>
          <w:rFonts w:cs="Arial" w:ascii="Arial" w:hAnsi="Arial"/>
        </w:rPr>
        <w:t>Discount Rate</w:t>
        <w:tab/>
        <w:tab/>
        <w:tab/>
        <w:tab/>
        <w:t>+ 50 bps</w:t>
        <w:tab/>
        <w:tab/>
        <w:t>-  $6.5MM</w:t>
      </w:r>
    </w:p>
    <w:p>
      <w:pPr>
        <w:pStyle w:val="Header"/>
        <w:widowControl/>
        <w:tabs>
          <w:tab w:val="clear" w:pos="4320"/>
          <w:tab w:val="clear" w:pos="8640"/>
        </w:tabs>
        <w:rPr>
          <w:rFonts w:ascii="Arial" w:hAnsi="Arial" w:cs="Arial"/>
        </w:rPr>
      </w:pPr>
      <w:r>
        <w:rPr>
          <w:rFonts w:cs="Arial" w:ascii="Arial" w:hAnsi="Arial"/>
        </w:rPr>
        <w:t>Commodity Prices (NYMEX)</w:t>
        <w:tab/>
        <w:tab/>
        <w:t>+ $ 0.25/MMBtu</w:t>
        <w:tab/>
        <w:tab/>
        <w:t>+ $2.6MM</w:t>
      </w:r>
    </w:p>
    <w:p>
      <w:pPr>
        <w:pStyle w:val="Header"/>
        <w:widowControl/>
        <w:tabs>
          <w:tab w:val="clear" w:pos="4320"/>
          <w:tab w:val="clear" w:pos="8640"/>
        </w:tabs>
        <w:rPr>
          <w:rFonts w:ascii="Arial" w:hAnsi="Arial" w:cs="Arial"/>
        </w:rPr>
      </w:pPr>
      <w:r>
        <w:rPr>
          <w:rFonts w:cs="Arial" w:ascii="Arial" w:hAnsi="Arial"/>
        </w:rPr>
        <w:t>Inflation (GDP/CPI)</w:t>
        <w:tab/>
        <w:tab/>
        <w:tab/>
        <w:t>+ 25 bps</w:t>
        <w:tab/>
        <w:tab/>
        <w:t>+ $2.5MM</w:t>
      </w:r>
    </w:p>
    <w:p>
      <w:pPr>
        <w:pStyle w:val="Header"/>
        <w:widowControl/>
        <w:tabs>
          <w:tab w:val="clear" w:pos="4320"/>
          <w:tab w:val="clear" w:pos="8640"/>
        </w:tabs>
        <w:rPr>
          <w:rFonts w:ascii="Arial" w:hAnsi="Arial" w:cs="Arial"/>
        </w:rPr>
      </w:pPr>
      <w:r>
        <w:rPr>
          <w:rFonts w:cs="Arial" w:ascii="Arial" w:hAnsi="Arial"/>
        </w:rPr>
      </w:r>
      <w:r>
        <w:br w:type="page"/>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bCs/>
          <w:sz w:val="20"/>
        </w:rPr>
      </w:pPr>
      <w:r>
        <w:rPr>
          <w:rFonts w:cs="Arial" w:ascii="Arial" w:hAnsi="Arial"/>
          <w:bCs/>
          <w:sz w:val="20"/>
        </w:rPr>
        <w:t>Concerns:</w:t>
      </w:r>
    </w:p>
    <w:p>
      <w:pPr>
        <w:pStyle w:val="Normal"/>
        <w:pBdr>
          <w:top w:val="single" w:sz="8" w:space="1" w:color="000000"/>
        </w:pBdr>
        <w:rPr>
          <w:rFonts w:ascii="Arial" w:hAnsi="Arial" w:cs="Arial"/>
          <w:bCs/>
          <w:sz w:val="20"/>
        </w:rPr>
      </w:pPr>
      <w:r>
        <w:rPr>
          <w:rFonts w:cs="Arial" w:ascii="Arial" w:hAnsi="Arial"/>
          <w:bCs/>
          <w:sz w:val="20"/>
        </w:rPr>
      </w:r>
    </w:p>
    <w:p>
      <w:pPr>
        <w:pStyle w:val="Normal"/>
        <w:pBdr>
          <w:top w:val="single" w:sz="8" w:space="1" w:color="000000"/>
        </w:pBdr>
        <w:rPr>
          <w:rFonts w:ascii="Arial" w:hAnsi="Arial" w:cs="Arial"/>
          <w:bCs/>
          <w:sz w:val="20"/>
        </w:rPr>
      </w:pPr>
      <w:r>
        <w:rPr>
          <w:rFonts w:cs="Arial" w:ascii="Arial" w:hAnsi="Arial"/>
          <w:bCs/>
          <w:sz w:val="20"/>
        </w:rPr>
        <w:t>The overriding risk in this project is the outstanding litigation with PMNC.  This is mitigated by a full indemnity from Edison Mission Energy.  Due to the efforts of ring-fencing Mission from its parent Edision International and its affiliate, Southern California Edison, any credit event related to these two entities are not expected to impact Mission Energy.</w:t>
      </w:r>
    </w:p>
    <w:p>
      <w:pPr>
        <w:pStyle w:val="Normal"/>
        <w:pBdr>
          <w:top w:val="single" w:sz="8" w:space="1" w:color="000000"/>
        </w:pBdr>
        <w:rPr>
          <w:rFonts w:ascii="Arial" w:hAnsi="Arial" w:cs="Arial"/>
          <w:bCs/>
          <w:sz w:val="20"/>
        </w:rPr>
      </w:pPr>
      <w:r>
        <w:rPr>
          <w:rFonts w:cs="Arial" w:ascii="Arial" w:hAnsi="Arial"/>
          <w:bCs/>
          <w:sz w:val="20"/>
        </w:rPr>
        <w:tab/>
        <w:t>Credit</w:t>
      </w:r>
    </w:p>
    <w:p>
      <w:pPr>
        <w:pStyle w:val="Normal"/>
        <w:pBdr>
          <w:top w:val="single" w:sz="8" w:space="1" w:color="000000"/>
        </w:pBdr>
        <w:rPr>
          <w:rFonts w:ascii="Arial" w:hAnsi="Arial" w:cs="Arial"/>
          <w:bCs/>
          <w:sz w:val="20"/>
        </w:rPr>
      </w:pPr>
      <w:r>
        <w:rPr>
          <w:rFonts w:cs="Arial" w:ascii="Arial" w:hAnsi="Arial"/>
          <w:bCs/>
          <w:sz w:val="20"/>
        </w:rPr>
        <w:tab/>
        <w:t>Default/Cross-Default</w:t>
      </w:r>
    </w:p>
    <w:p>
      <w:pPr>
        <w:pStyle w:val="Normal"/>
        <w:pBdr>
          <w:top w:val="single" w:sz="8" w:space="1" w:color="000000"/>
        </w:pBdr>
        <w:rPr>
          <w:rFonts w:ascii="Arial" w:hAnsi="Arial" w:cs="Arial"/>
          <w:bCs/>
          <w:sz w:val="20"/>
        </w:rPr>
      </w:pPr>
      <w:r>
        <w:rPr>
          <w:rFonts w:cs="Arial" w:ascii="Arial" w:hAnsi="Arial"/>
          <w:bCs/>
          <w:sz w:val="20"/>
        </w:rPr>
      </w:r>
    </w:p>
    <w:p>
      <w:pPr>
        <w:pStyle w:val="Normal"/>
        <w:pBdr>
          <w:top w:val="single" w:sz="8" w:space="1" w:color="000000"/>
        </w:pBdr>
        <w:rPr>
          <w:rFonts w:ascii="Arial" w:hAnsi="Arial" w:cs="Arial"/>
          <w:bCs/>
          <w:sz w:val="20"/>
        </w:rPr>
      </w:pPr>
      <w:r>
        <w:rPr>
          <w:rFonts w:cs="Arial" w:ascii="Arial" w:hAnsi="Arial"/>
          <w:bCs/>
          <w:sz w:val="20"/>
        </w:rPr>
        <w:t>Given that the investment does not meet the risk adjusted return requirements, positive value in the project is dependent upon successful execution of the Level 1 expansion.  Americas Technical Services and Enron Legal have reviewed the technical, permit and regulatory issues related to the expansion and believe that there is a high degree of certainty that such an expansion can be completed and operational by January 1, 2003.</w:t>
      </w:r>
    </w:p>
    <w:p>
      <w:pPr>
        <w:pStyle w:val="Normal"/>
        <w:pBdr>
          <w:top w:val="single" w:sz="8" w:space="1" w:color="000000"/>
        </w:pBdr>
        <w:rPr>
          <w:rFonts w:ascii="Arial" w:hAnsi="Arial" w:cs="Arial"/>
          <w:bCs/>
          <w:sz w:val="20"/>
        </w:rPr>
      </w:pPr>
      <w:r>
        <w:rPr>
          <w:rFonts w:cs="Arial" w:ascii="Arial" w:hAnsi="Arial"/>
          <w:bCs/>
          <w:sz w:val="20"/>
        </w:rPr>
        <w:tab/>
      </w:r>
    </w:p>
    <w:p>
      <w:pPr>
        <w:pStyle w:val="Normal"/>
        <w:pBdr>
          <w:top w:val="single" w:sz="8" w:space="1" w:color="000000"/>
        </w:pBdr>
        <w:rPr>
          <w:rFonts w:ascii="Arial" w:hAnsi="Arial" w:cs="Arial"/>
          <w:bCs/>
          <w:sz w:val="20"/>
        </w:rPr>
      </w:pPr>
      <w:r>
        <w:rPr>
          <w:rFonts w:cs="Arial" w:ascii="Arial" w:hAnsi="Arial"/>
          <w:bCs/>
          <w:sz w:val="20"/>
        </w:rPr>
        <w:t>York</w:t>
      </w:r>
    </w:p>
    <w:p>
      <w:pPr>
        <w:pStyle w:val="Normal"/>
        <w:pBdr>
          <w:top w:val="single" w:sz="8" w:space="1" w:color="000000"/>
        </w:pBdr>
        <w:rPr>
          <w:rFonts w:ascii="Arial" w:hAnsi="Arial" w:cs="Arial"/>
          <w:bCs/>
          <w:sz w:val="20"/>
        </w:rPr>
      </w:pPr>
      <w:r>
        <w:rPr>
          <w:rFonts w:cs="Arial" w:ascii="Arial" w:hAnsi="Arial"/>
          <w:bCs/>
          <w:sz w:val="20"/>
        </w:rPr>
        <w:tab/>
        <w:t>Control</w:t>
      </w:r>
    </w:p>
    <w:p>
      <w:pPr>
        <w:pStyle w:val="Normal"/>
        <w:pBdr>
          <w:top w:val="single" w:sz="8" w:space="1" w:color="000000"/>
        </w:pBdr>
        <w:rPr>
          <w:rFonts w:ascii="Arial" w:hAnsi="Arial" w:cs="Arial"/>
          <w:bCs/>
          <w:sz w:val="20"/>
        </w:rPr>
      </w:pPr>
      <w:r>
        <w:rPr>
          <w:rFonts w:cs="Arial" w:ascii="Arial" w:hAnsi="Arial"/>
          <w:bCs/>
          <w:sz w:val="20"/>
        </w:rPr>
        <w:tab/>
        <w:t>Economic Incentives</w:t>
      </w:r>
    </w:p>
    <w:p>
      <w:pPr>
        <w:pStyle w:val="Normal"/>
        <w:pBdr>
          <w:top w:val="single" w:sz="8" w:space="1" w:color="000000"/>
        </w:pBdr>
        <w:rPr>
          <w:rFonts w:ascii="Arial" w:hAnsi="Arial" w:cs="Arial"/>
          <w:bCs/>
          <w:sz w:val="20"/>
        </w:rPr>
      </w:pPr>
      <w:r>
        <w:rPr>
          <w:rFonts w:cs="Arial" w:ascii="Arial" w:hAnsi="Arial"/>
          <w:bCs/>
          <w:sz w:val="20"/>
        </w:rPr>
      </w:r>
    </w:p>
    <w:p>
      <w:pPr>
        <w:pStyle w:val="BodyText"/>
        <w:rPr/>
      </w:pPr>
      <w:r>
        <w:rPr/>
        <w:t xml:space="preserve">Enron EAE has assigned approximately </w:t>
      </w:r>
      <w:r>
        <w:rPr>
          <w:b/>
          <w:bCs/>
          <w:i/>
          <w:iCs/>
        </w:rPr>
        <w:t>$12MM</w:t>
      </w:r>
      <w:r>
        <w:rPr/>
        <w:t xml:space="preserve"> of additional value related to the aforementioned transaction upsides into its bid price.  Whether or not value can be extracted from these possibilities will depend upon the status of the power market into which the project would operate.  RAC has placed a 10% liquidity discount on all cashflows occurring after the anticipated exit date in the middle of 2003.  This represents transactions costs and potential frustration / uncertainty associated with the timing of sale and the status of York as a partner in the investment.  In the event that Enron is able to purchase York’s interest, the corresponding piece of the liquidity discount would be removed from further revaluations of the value of our ownership.  The assumed exit in 2003 creates an investment profile with a relatively short duration.  This results in a capital price of 10.19% that would need to be adjusted upwards if it was anticipated that Enron would not be able to exit before 6/30/2003.  The sensitivity to exit timing is at a noticeable level and would affect the returns negatively by approximately $7MM if the exit date were moved out to 12/31/2006.  Interest rate sensitivity is also a large driver of value and would affect the project negatively by $13MM if rates were to move upwards by 100 basis points.</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numPr>
          <w:ilvl w:val="0"/>
          <w:numId w:val="5"/>
        </w:numPr>
        <w:rPr>
          <w:rFonts w:ascii="Arial" w:hAnsi="Arial" w:cs="Arial"/>
          <w:sz w:val="20"/>
        </w:rPr>
      </w:pPr>
      <w:r>
        <w:rPr>
          <w:rFonts w:cs="Arial" w:ascii="Arial" w:hAnsi="Arial"/>
          <w:sz w:val="20"/>
        </w:rPr>
        <w:t>Completion of ALTA survey on project</w:t>
      </w:r>
    </w:p>
    <w:p>
      <w:pPr>
        <w:pStyle w:val="Normal"/>
        <w:numPr>
          <w:ilvl w:val="0"/>
          <w:numId w:val="5"/>
        </w:numPr>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MILESTONES</w:t>
      </w:r>
    </w:p>
    <w:p>
      <w:pPr>
        <w:pStyle w:val="Normal"/>
        <w:rPr>
          <w:rFonts w:ascii="Arial" w:hAnsi="Arial" w:cs="Arial"/>
          <w:b/>
          <w:sz w:val="20"/>
        </w:rPr>
      </w:pPr>
      <w:r>
        <w:rPr>
          <w:rFonts w:cs="Arial" w:ascii="Arial" w:hAnsi="Arial"/>
          <w:b/>
          <w:sz w:val="20"/>
        </w:rPr>
      </w:r>
    </w:p>
    <w:p>
      <w:pPr>
        <w:pStyle w:val="Normal"/>
        <w:numPr>
          <w:ilvl w:val="0"/>
          <w:numId w:val="4"/>
        </w:numPr>
        <w:rPr>
          <w:rFonts w:ascii="Arial" w:hAnsi="Arial" w:cs="Arial"/>
          <w:sz w:val="20"/>
        </w:rPr>
      </w:pPr>
      <w:r>
        <w:rPr>
          <w:rFonts w:cs="Arial" w:ascii="Arial" w:hAnsi="Arial"/>
          <w:sz w:val="20"/>
        </w:rPr>
        <w:t>Update on PMNC litigation</w:t>
        <w:tab/>
        <w:tab/>
        <w:tab/>
        <w:t>03/31/02 and quarterly</w:t>
      </w:r>
    </w:p>
    <w:p>
      <w:pPr>
        <w:pStyle w:val="Normal"/>
        <w:numPr>
          <w:ilvl w:val="0"/>
          <w:numId w:val="4"/>
        </w:numPr>
        <w:rPr>
          <w:rFonts w:ascii="Arial" w:hAnsi="Arial" w:cs="Arial"/>
          <w:sz w:val="20"/>
        </w:rPr>
      </w:pPr>
      <w:r>
        <w:rPr>
          <w:rFonts w:cs="Arial" w:ascii="Arial" w:hAnsi="Arial"/>
          <w:sz w:val="20"/>
        </w:rPr>
        <w:t>Realization of transaction upsides</w:t>
        <w:tab/>
        <w:tab/>
        <w:t>12/31/01</w:t>
      </w:r>
    </w:p>
    <w:p>
      <w:pPr>
        <w:pStyle w:val="Normal"/>
        <w:ind w:firstLine="360" w:end="0"/>
        <w:rPr>
          <w:rFonts w:ascii="Arial" w:hAnsi="Arial" w:cs="Arial"/>
          <w:sz w:val="20"/>
        </w:rPr>
      </w:pPr>
      <w:r>
        <w:rPr>
          <w:rFonts w:cs="Arial" w:ascii="Arial" w:hAnsi="Arial"/>
          <w:sz w:val="20"/>
        </w:rPr>
        <w:t>3.   Sale of project</w:t>
        <w:tab/>
        <w:tab/>
        <w:tab/>
        <w:tab/>
        <w:tab/>
        <w:t>06/30/03</w:t>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bottom w:val="single" w:sz="6"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EAE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David Marks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David Duran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Tech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Redmond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Tax</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Stephen Douglas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Cris Sherman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8"/>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8"/>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6"/>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numPr>
          <w:ilvl w:val="0"/>
          <w:numId w:val="9"/>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3"/>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7"/>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DASH_Dodger_072701racc.doc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ind w:hanging="0" w:start="0" w:end="-36"/>
      <w:outlineLvl w:val="6"/>
    </w:pPr>
    <w:rPr>
      <w:rFonts w:ascii="Arial" w:hAnsi="Arial" w:cs="Arial"/>
      <w:b/>
      <w:b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tabs>
        <w:tab w:val="left" w:pos="720" w:leader="none"/>
        <w:tab w:val="center" w:pos="3600" w:leader="none"/>
        <w:tab w:val="center" w:pos="5040" w:leader="none"/>
        <w:tab w:val="center" w:pos="6480" w:leader="none"/>
        <w:tab w:val="center" w:pos="7920" w:leader="none"/>
      </w:tabs>
      <w:jc w:val="both"/>
    </w:pPr>
    <w:rPr>
      <w:rFonts w:ascii="Arial" w:hAnsi="Arial" w:cs="Arial"/>
      <w:sz w:val="20"/>
    </w:rPr>
  </w:style>
  <w:style w:type="paragraph" w:styleId="BodyText3">
    <w:name w:val="Body Text 3"/>
    <w:basedOn w:val="Normal"/>
    <w:qFormat/>
    <w:pPr/>
    <w:rPr>
      <w:rFonts w:ascii="Arial" w:hAnsi="Arial" w:cs="Arial"/>
      <w:sz w:val="16"/>
    </w:rPr>
  </w:style>
  <w:style w:type="paragraph" w:styleId="BodyTextIndent3">
    <w:name w:val="Body Text Indent 3"/>
    <w:basedOn w:val="Normal"/>
    <w:qFormat/>
    <w:pPr>
      <w:ind w:hanging="0" w:start="720" w:end="0"/>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2001-07-27T19:11:00Z</dcterms:created>
  <dc:creator>kjolly</dc:creator>
  <dc:description>V3.3
Updated to add filename to headers
</dc:description>
  <dc:language>en-CA</dc:language>
  <cp:lastModifiedBy>cschneid</cp:lastModifiedBy>
  <cp:lastPrinted>2001-07-27T10:04:00Z</cp:lastPrinted>
  <dcterms:modified xsi:type="dcterms:W3CDTF">2001-07-27T19:11:00Z</dcterms:modified>
  <cp:revision>2</cp:revision>
  <dc:subject/>
  <dc:title>ENRON RISK ASSESSMENT AND CONTROL</dc:title>
</cp:coreProperties>
</file>