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5112" w:leader="none"/>
          <w:tab w:val="left" w:pos="9210" w:leader="none"/>
          <w:tab w:val="left" w:pos="9480" w:leader="none"/>
        </w:tabs>
        <w:jc w:val="start"/>
        <w:rPr/>
      </w:pPr>
      <w:r>
        <w:rPr/>
        <w:tab/>
      </w:r>
    </w:p>
    <w:p>
      <w:pPr>
        <w:pStyle w:val="Heading"/>
        <w:tabs>
          <w:tab w:val="clear" w:pos="720"/>
          <w:tab w:val="center" w:pos="5112" w:leader="none"/>
          <w:tab w:val="left" w:pos="9210" w:leader="none"/>
          <w:tab w:val="left" w:pos="9480" w:leader="none"/>
        </w:tabs>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Dodger</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Edison Mission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Marks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27,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Vegalara / Soo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Signing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3,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September 17,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1 Copy 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_Copy_1"/>
            <w:bookmarkStart w:id="21" w:name="Check1_Copy_1"/>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 Copy 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_Copy_2"/>
            <w:bookmarkStart w:id="23" w:name="Check1_Copy_2"/>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Pending     "/>
                    <w:listEntry w:val="SELECT BOARD APPROVAL STATUS"/>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Purchase Price</w:t>
            </w:r>
          </w:p>
        </w:tc>
        <w:tc>
          <w:tcPr>
            <w:tcW w:w="1332" w:type="dxa"/>
            <w:tcBorders/>
          </w:tcPr>
          <w:p>
            <w:pPr>
              <w:pStyle w:val="Normal"/>
              <w:ind w:end="-36"/>
              <w:jc w:val="end"/>
              <w:rPr>
                <w:rFonts w:ascii="Arial" w:hAnsi="Arial" w:cs="Arial"/>
                <w:sz w:val="20"/>
              </w:rPr>
            </w:pPr>
            <w:r>
              <w:rPr>
                <w:rFonts w:cs="Arial" w:ascii="Arial" w:hAnsi="Arial"/>
                <w:sz w:val="20"/>
              </w:rPr>
              <w:t>125,000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Commitment to Expand Project</w:t>
            </w:r>
          </w:p>
        </w:tc>
        <w:tc>
          <w:tcPr>
            <w:tcW w:w="1332" w:type="dxa"/>
            <w:tcBorders/>
          </w:tcPr>
          <w:p>
            <w:pPr>
              <w:pStyle w:val="Normal"/>
              <w:ind w:end="-36"/>
              <w:jc w:val="end"/>
              <w:rPr>
                <w:rFonts w:ascii="Arial" w:hAnsi="Arial" w:cs="Arial"/>
                <w:sz w:val="20"/>
              </w:rPr>
            </w:pPr>
            <w:r>
              <w:rPr>
                <w:rFonts w:cs="Arial" w:ascii="Arial" w:hAnsi="Arial"/>
                <w:sz w:val="20"/>
              </w:rPr>
              <w:t>13,000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r>
        <w:trPr/>
        <w:tc>
          <w:tcPr>
            <w:tcW w:w="4428" w:type="dxa"/>
            <w:tcBorders/>
          </w:tcPr>
          <w:p>
            <w:pPr>
              <w:pStyle w:val="Normal"/>
              <w:ind w:end="-36"/>
              <w:rPr>
                <w:rFonts w:ascii="Arial" w:hAnsi="Arial" w:cs="Arial"/>
                <w:sz w:val="20"/>
              </w:rPr>
            </w:pPr>
            <w:r>
              <w:rPr>
                <w:rFonts w:cs="Arial" w:ascii="Arial" w:hAnsi="Arial"/>
                <w:sz w:val="20"/>
              </w:rPr>
              <w:t>Mission Credit Reserve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$138,000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138,000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$125,000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jc w:val="both"/>
        <w:rPr>
          <w:rFonts w:ascii="Arial" w:hAnsi="Arial" w:cs="Arial"/>
          <w:sz w:val="20"/>
        </w:rPr>
      </w:pPr>
      <w:r>
        <w:rPr>
          <w:rFonts w:cs="Arial" w:ascii="Arial" w:hAnsi="Arial"/>
          <w:sz w:val="20"/>
        </w:rPr>
        <w:t>Enron EAE East (“EAE”), through its designee, proposes to acquire from Edision Mission Energy (“Mission”) all of the stock in Mission Energy of New York, Inc. (“MENY”).  MENY owns a 5% managing GP interest and a 45% LP interest in the Brooklyn Navy Yard Cogeneration Partnership (“BNYCP”) and a subordinated note to BNYCP (balance as of March 31, 2001 was $110MM).  Credit Suisse First Boston (“CSFB”) is representing Mission in the sale.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submitted an indicative bid on March 27 and a final bid on June 22, subject to ENE board approval and further specific due diligence, for the acquisition of the above referenced interest in BNYCP.  If EAE is successful in its bid efforts, documentation for the transaction will be finalized with financial settlement to follow on or prior to September 17, 2001.</w:t>
      </w:r>
    </w:p>
    <w:p>
      <w:pPr>
        <w:pStyle w:val="Normal"/>
        <w:rPr>
          <w:rFonts w:ascii="Arial" w:hAnsi="Arial" w:cs="Arial"/>
          <w:sz w:val="20"/>
        </w:rPr>
      </w:pPr>
      <w:r>
        <w:rPr>
          <w:rFonts w:cs="Arial" w:ascii="Arial" w:hAnsi="Arial"/>
          <w:sz w:val="20"/>
        </w:rPr>
      </w:r>
    </w:p>
    <w:p>
      <w:pPr>
        <w:pStyle w:val="BodyText2"/>
        <w:rPr/>
      </w:pPr>
      <w:r>
        <w:rPr/>
        <w:t>The Brooklyn Navy Yard Cogeneration Partnership (BNYCP) owns and operates a two-train, 286 MW gas fired cogeneration plant located in Brooklyn, NY.  The plant has a dual configuration of one Siemens V84.2 combustion turbine one Siemens auto extraction steam turbine and one ABB HRSG.  The project presently maintains dual status as a QF under the Public Utilities Regulatory Act of 1978 (“PURPA”) and as an Exempt Wholesale Generator (“EWG”).  BNYCP supplies electricity and steam under existing Energy Sales Agreements (“ESAs”) that fully commit the generation capacity of the entire plant.  The agreements have termination dates in year 2036, with Consolidated Edison (A+/A1) and the thermal host Brooklyn Navy Yard Development Corporation (“BNYDC”).</w:t>
      </w:r>
    </w:p>
    <w:p>
      <w:pPr>
        <w:pStyle w:val="Normal"/>
        <w:tabs>
          <w:tab w:val="left" w:pos="720" w:leader="none"/>
          <w:tab w:val="center" w:pos="3600" w:leader="none"/>
          <w:tab w:val="center" w:pos="5040" w:leader="none"/>
          <w:tab w:val="center" w:pos="6480" w:leader="none"/>
          <w:tab w:val="center" w:pos="7920" w:leader="none"/>
        </w:tabs>
        <w:rPr>
          <w:rFonts w:ascii="Arial" w:hAnsi="Arial" w:cs="Arial"/>
          <w:sz w:val="20"/>
        </w:rPr>
      </w:pPr>
      <w:r>
        <w:rPr>
          <w:rFonts w:cs="Arial" w:ascii="Arial" w:hAnsi="Arial"/>
          <w:sz w:val="20"/>
        </w:rPr>
      </w:r>
    </w:p>
    <w:p>
      <w:pPr>
        <w:pStyle w:val="Normal"/>
        <w:tabs>
          <w:tab w:val="left" w:pos="720" w:leader="none"/>
          <w:tab w:val="center" w:pos="3600" w:leader="none"/>
          <w:tab w:val="center" w:pos="5040" w:leader="none"/>
          <w:tab w:val="center" w:pos="6480" w:leader="none"/>
          <w:tab w:val="center" w:pos="7920" w:leader="none"/>
        </w:tabs>
        <w:jc w:val="both"/>
        <w:rPr>
          <w:rFonts w:ascii="Arial" w:hAnsi="Arial" w:cs="Arial"/>
          <w:sz w:val="20"/>
        </w:rPr>
      </w:pPr>
      <w:r>
        <w:rPr>
          <w:rFonts w:cs="Arial" w:ascii="Arial" w:hAnsi="Arial"/>
          <w:color w:val="000000"/>
          <w:sz w:val="20"/>
          <w:szCs w:val="20"/>
        </w:rPr>
        <w:t>For ownership purposes, it is anticipated that an off-balance sheet-on credit structure will be utilized.</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882" w:type="dxa"/>
        <w:jc w:val="start"/>
        <w:tblInd w:w="378" w:type="dxa"/>
        <w:tblLayout w:type="fixed"/>
        <w:tblCellMar>
          <w:top w:w="0" w:type="dxa"/>
          <w:start w:w="108" w:type="dxa"/>
          <w:bottom w:w="0" w:type="dxa"/>
          <w:end w:w="108" w:type="dxa"/>
        </w:tblCellMar>
      </w:tblPr>
      <w:tblGrid>
        <w:gridCol w:w="3510"/>
        <w:gridCol w:w="1080"/>
        <w:gridCol w:w="540"/>
        <w:gridCol w:w="3600"/>
        <w:gridCol w:w="1152"/>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600" w:type="dxa"/>
            <w:tcBorders/>
          </w:tcPr>
          <w:p>
            <w:pPr>
              <w:pStyle w:val="Normal"/>
              <w:snapToGrid w:val="false"/>
              <w:jc w:val="end"/>
              <w:rPr>
                <w:rFonts w:ascii="Arial" w:hAnsi="Arial" w:cs="Arial"/>
                <w:sz w:val="20"/>
                <w:u w:val="single"/>
              </w:rPr>
            </w:pPr>
            <w:r>
              <w:rPr>
                <w:rFonts w:cs="Arial" w:ascii="Arial" w:hAnsi="Arial"/>
                <w:sz w:val="20"/>
                <w:u w:val="single"/>
              </w:rPr>
            </w:r>
          </w:p>
        </w:tc>
        <w:tc>
          <w:tcPr>
            <w:tcW w:w="1152"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 xml:space="preserve">Off-Balance Sheet </w:t>
            </w:r>
          </w:p>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equity (3%)</w:t>
            </w:r>
          </w:p>
        </w:tc>
        <w:tc>
          <w:tcPr>
            <w:tcW w:w="1080" w:type="dxa"/>
            <w:tcBorders/>
          </w:tcPr>
          <w:p>
            <w:pPr>
              <w:pStyle w:val="Normal"/>
              <w:snapToGrid w:val="false"/>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t>$    3,750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50% Interest and Subordinated Note (Base Value)</w:t>
            </w:r>
          </w:p>
        </w:tc>
        <w:tc>
          <w:tcPr>
            <w:tcW w:w="1152" w:type="dxa"/>
            <w:tcBorders/>
          </w:tcPr>
          <w:p>
            <w:pPr>
              <w:pStyle w:val="Normal"/>
              <w:snapToGrid w:val="false"/>
              <w:jc w:val="end"/>
              <w:rPr>
                <w:rFonts w:ascii="Arial" w:hAnsi="Arial" w:cs="Arial"/>
                <w:sz w:val="20"/>
              </w:rPr>
            </w:pPr>
            <w:r>
              <w:rPr>
                <w:rFonts w:cs="Arial" w:ascii="Arial" w:hAnsi="Arial"/>
                <w:sz w:val="20"/>
              </w:rPr>
            </w:r>
          </w:p>
        </w:tc>
      </w:tr>
      <w:tr>
        <w:trPr/>
        <w:tc>
          <w:tcPr>
            <w:tcW w:w="3510" w:type="dxa"/>
            <w:tcBorders/>
          </w:tcPr>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debt (97%)</w:t>
            </w:r>
          </w:p>
        </w:tc>
        <w:tc>
          <w:tcPr>
            <w:tcW w:w="1080" w:type="dxa"/>
            <w:tcBorders/>
          </w:tcPr>
          <w:p>
            <w:pPr>
              <w:pStyle w:val="Normal"/>
              <w:jc w:val="end"/>
              <w:rPr>
                <w:rFonts w:ascii="Arial" w:hAnsi="Arial" w:cs="Arial"/>
                <w:sz w:val="20"/>
              </w:rPr>
            </w:pPr>
            <w:r>
              <w:rPr>
                <w:rFonts w:cs="Arial" w:ascii="Arial" w:hAnsi="Arial"/>
                <w:sz w:val="20"/>
              </w:rPr>
              <w:t>$121,250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Fair Value Adjustment</w:t>
            </w:r>
          </w:p>
        </w:tc>
        <w:tc>
          <w:tcPr>
            <w:tcW w:w="1152" w:type="dxa"/>
            <w:tcBorders/>
          </w:tcPr>
          <w:p>
            <w:pPr>
              <w:pStyle w:val="Normal"/>
              <w:snapToGrid w:val="false"/>
              <w:jc w:val="end"/>
              <w:rPr>
                <w:rFonts w:ascii="Arial" w:hAnsi="Arial" w:cs="Arial"/>
                <w:b/>
                <w:bCs/>
                <w:i/>
                <w:i/>
                <w:iCs/>
                <w:sz w:val="20"/>
              </w:rPr>
            </w:pPr>
            <w:r>
              <w:rPr>
                <w:rFonts w:cs="Arial" w:ascii="Arial" w:hAnsi="Arial"/>
                <w:b/>
                <w:bCs/>
                <w:i/>
                <w:iCs/>
                <w:sz w:val="20"/>
              </w:rPr>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rPr>
                <w:rFonts w:cs="Arial" w:ascii="Arial" w:hAnsi="Arial"/>
                <w:sz w:val="20"/>
              </w:rPr>
              <w:t>$125,000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Normal"/>
              <w:snapToGrid w:val="false"/>
              <w:jc w:val="end"/>
              <w:rPr>
                <w:rFonts w:ascii="Arial" w:hAnsi="Arial" w:cs="Arial"/>
                <w:sz w:val="20"/>
              </w:rPr>
            </w:pPr>
            <w:r>
              <w:rPr>
                <w:rFonts w:cs="Arial" w:ascii="Arial" w:hAnsi="Arial"/>
                <w:sz w:val="20"/>
              </w:rPr>
            </w:r>
          </w:p>
        </w:tc>
        <w:tc>
          <w:tcPr>
            <w:tcW w:w="1152" w:type="dxa"/>
            <w:tcBorders>
              <w:top w:val="single" w:sz="6" w:space="0" w:color="000000"/>
            </w:tcBorders>
          </w:tcPr>
          <w:p>
            <w:pPr>
              <w:pStyle w:val="Normal"/>
              <w:jc w:val="end"/>
              <w:rPr>
                <w:rFonts w:ascii="Arial" w:hAnsi="Arial" w:cs="Arial"/>
                <w:sz w:val="20"/>
              </w:rPr>
            </w:pPr>
            <w:r>
              <w:rPr>
                <w:rFonts w:cs="Arial" w:ascii="Arial" w:hAnsi="Arial"/>
                <w:sz w:val="20"/>
              </w:rPr>
              <w:t>$125,000</w:t>
            </w:r>
          </w:p>
        </w:tc>
      </w:tr>
    </w:tbl>
    <w:p>
      <w:pPr>
        <w:pStyle w:val="Normal"/>
        <w:pBdr>
          <w:bottom w:val="single" w:sz="8" w:space="1" w:color="000000"/>
        </w:pBdr>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cs="Arial"/>
                <w:sz w:val="20"/>
              </w:rPr>
            </w:pPr>
            <w:r>
              <w:rPr>
                <w:rFonts w:cs="Arial" w:ascii="Arial" w:hAnsi="Arial"/>
                <w:sz w:val="20"/>
              </w:rPr>
              <w:t>Levered</w:t>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306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9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(124,901)</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N/A</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Risk free rate (%):</w:t>
            </w:r>
          </w:p>
        </w:tc>
        <w:tc>
          <w:tcPr>
            <w:tcW w:w="990" w:type="dxa"/>
            <w:tcBorders/>
          </w:tcPr>
          <w:p>
            <w:pPr>
              <w:pStyle w:val="Normal"/>
              <w:ind w:end="-69"/>
              <w:jc w:val="end"/>
              <w:rPr>
                <w:rFonts w:ascii="Arial" w:hAnsi="Arial" w:cs="Arial"/>
                <w:bCs/>
                <w:sz w:val="20"/>
              </w:rPr>
            </w:pPr>
            <w:r>
              <w:rPr>
                <w:rFonts w:cs="Arial" w:ascii="Arial" w:hAnsi="Arial"/>
                <w:bCs/>
                <w:sz w:val="20"/>
              </w:rPr>
              <w:t>4.27%</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Mission Credit Reserve</w:t>
            </w:r>
          </w:p>
        </w:tc>
        <w:tc>
          <w:tcPr>
            <w:tcW w:w="1260" w:type="dxa"/>
            <w:tcBorders/>
          </w:tcPr>
          <w:p>
            <w:pPr>
              <w:pStyle w:val="Normal"/>
              <w:jc w:val="end"/>
              <w:rPr>
                <w:rFonts w:ascii="Arial" w:hAnsi="Arial" w:cs="Arial"/>
                <w:i/>
                <w:i/>
                <w:iCs/>
                <w:sz w:val="20"/>
              </w:rPr>
            </w:pPr>
            <w:r>
              <w:rPr>
                <w:rFonts w:cs="Arial" w:ascii="Arial" w:hAnsi="Arial"/>
                <w:b/>
                <w:bCs/>
                <w:i/>
                <w:iCs/>
                <w:sz w:val="20"/>
              </w:rPr>
              <w:t>(7,700)</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-13.92%</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rPr>
            </w:pPr>
            <w:r>
              <w:rPr>
                <w:rFonts w:cs="Arial" w:ascii="Arial" w:hAnsi="Arial"/>
                <w:b w:val="false"/>
              </w:rPr>
              <w:t>Equity Premium (%):</w:t>
            </w:r>
          </w:p>
        </w:tc>
        <w:tc>
          <w:tcPr>
            <w:tcW w:w="990" w:type="dxa"/>
            <w:tcBorders/>
          </w:tcPr>
          <w:p>
            <w:pPr>
              <w:pStyle w:val="Normal"/>
              <w:ind w:end="-69"/>
              <w:jc w:val="end"/>
              <w:rPr>
                <w:rFonts w:ascii="Arial" w:hAnsi="Arial" w:cs="Arial"/>
                <w:bCs/>
                <w:sz w:val="20"/>
              </w:rPr>
            </w:pPr>
            <w:r>
              <w:rPr>
                <w:rFonts w:cs="Arial" w:ascii="Arial" w:hAnsi="Arial"/>
                <w:bCs/>
                <w:sz w:val="20"/>
              </w:rPr>
              <w:t>3.50%</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Sub Debt Interest</w:t>
            </w:r>
          </w:p>
        </w:tc>
        <w:tc>
          <w:tcPr>
            <w:tcW w:w="1260" w:type="dxa"/>
            <w:tcBorders/>
          </w:tcPr>
          <w:p>
            <w:pPr>
              <w:pStyle w:val="Normal"/>
              <w:jc w:val="end"/>
              <w:rPr>
                <w:rFonts w:ascii="Arial" w:hAnsi="Arial" w:cs="Arial"/>
                <w:sz w:val="20"/>
              </w:rPr>
            </w:pPr>
            <w:r>
              <w:rPr>
                <w:rFonts w:cs="Arial" w:ascii="Arial" w:hAnsi="Arial"/>
                <w:sz w:val="20"/>
              </w:rPr>
              <w:t>86,751</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-13.92%</w:t>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3060" w:type="dxa"/>
            <w:tcBorders/>
          </w:tcPr>
          <w:p>
            <w:pPr>
              <w:pStyle w:val="Normal"/>
              <w:ind w:end="-63"/>
              <w:rPr>
                <w:rFonts w:ascii="Arial" w:hAnsi="Arial" w:cs="Arial"/>
                <w:bCs/>
                <w:sz w:val="20"/>
              </w:rPr>
            </w:pPr>
            <w:r>
              <w:rPr>
                <w:rFonts w:cs="Arial" w:ascii="Arial" w:hAnsi="Arial"/>
                <w:bCs/>
                <w:sz w:val="20"/>
              </w:rPr>
              <w:t>Credit Premium (%):</w:t>
            </w:r>
          </w:p>
        </w:tc>
        <w:tc>
          <w:tcPr>
            <w:tcW w:w="990"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22,174</w:t>
            </w:r>
          </w:p>
        </w:tc>
        <w:tc>
          <w:tcPr>
            <w:tcW w:w="1170" w:type="dxa"/>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-12.22%</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9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160" w:type="dxa"/>
            <w:tcBorders>
              <w:bottom w:val="single" w:sz="4"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bottom w:val="single" w:sz="4" w:space="0" w:color="000000"/>
            </w:tcBorders>
          </w:tcPr>
          <w:p>
            <w:pPr>
              <w:pStyle w:val="Normal"/>
              <w:jc w:val="end"/>
              <w:rPr>
                <w:rFonts w:ascii="Arial" w:hAnsi="Arial" w:cs="Arial"/>
                <w:sz w:val="20"/>
              </w:rPr>
            </w:pPr>
            <w:r>
              <w:rPr>
                <w:rFonts w:cs="Arial" w:ascii="Arial" w:hAnsi="Arial"/>
                <w:sz w:val="20"/>
              </w:rPr>
              <w:t>4,161</w:t>
            </w:r>
          </w:p>
        </w:tc>
        <w:tc>
          <w:tcPr>
            <w:tcW w:w="1170" w:type="dxa"/>
            <w:tcBorders>
              <w:bottom w:val="single" w:sz="4" w:space="0" w:color="000000"/>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0.63%</w:t>
            </w:r>
          </w:p>
        </w:tc>
        <w:tc>
          <w:tcPr>
            <w:tcW w:w="540" w:type="dxa"/>
            <w:tcBorders>
              <w:bottom w:val="single" w:sz="4" w:space="0" w:color="000000"/>
            </w:tcBorders>
          </w:tcPr>
          <w:p>
            <w:pPr>
              <w:pStyle w:val="Heading9"/>
              <w:widowControl/>
              <w:snapToGrid w:val="false"/>
              <w:ind w:start="0" w:end="-63"/>
              <w:rPr>
                <w:rFonts w:ascii="Arial" w:hAnsi="Arial" w:cs="Arial"/>
                <w:b w:val="false"/>
              </w:rPr>
            </w:pPr>
            <w:r>
              <w:rPr>
                <w:rFonts w:cs="Arial" w:ascii="Arial" w:hAnsi="Arial"/>
                <w:b w:val="false"/>
              </w:rPr>
            </w:r>
          </w:p>
        </w:tc>
        <w:tc>
          <w:tcPr>
            <w:tcW w:w="3060" w:type="dxa"/>
            <w:tcBorders>
              <w:bottom w:val="single" w:sz="4" w:space="0" w:color="000000"/>
            </w:tcBorders>
          </w:tcPr>
          <w:p>
            <w:pPr>
              <w:pStyle w:val="Heading9"/>
              <w:widowControl/>
              <w:ind w:start="0" w:end="-63"/>
              <w:rPr>
                <w:rFonts w:ascii="Arial" w:hAnsi="Arial" w:cs="Arial"/>
                <w:b w:val="false"/>
              </w:rPr>
            </w:pPr>
            <w:r>
              <w:rPr>
                <w:rFonts w:cs="Arial" w:ascii="Arial" w:hAnsi="Arial"/>
                <w:b w:val="false"/>
              </w:rPr>
              <w:t>Transaction-Specific (%):</w:t>
            </w:r>
          </w:p>
        </w:tc>
        <w:tc>
          <w:tcPr>
            <w:tcW w:w="990" w:type="dxa"/>
            <w:tcBorders>
              <w:bottom w:val="single" w:sz="4" w:space="0" w:color="000000"/>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2.41%</w:t>
            </w:r>
          </w:p>
        </w:tc>
      </w:tr>
      <w:tr>
        <w:trPr>
          <w:trHeight w:val="195" w:hRule="atLeast"/>
        </w:trPr>
        <w:tc>
          <w:tcPr>
            <w:tcW w:w="2160" w:type="dxa"/>
            <w:tcBorders>
              <w:top w:val="single" w:sz="4" w:space="0" w:color="000000"/>
              <w:start w:val="single" w:sz="4" w:space="0" w:color="000000"/>
              <w:bottom w:val="single" w:sz="4"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4" w:space="0" w:color="000000"/>
              <w:bottom w:val="single" w:sz="4" w:space="0" w:color="000000"/>
            </w:tcBorders>
          </w:tcPr>
          <w:p>
            <w:pPr>
              <w:pStyle w:val="Normal"/>
              <w:jc w:val="end"/>
              <w:rPr>
                <w:rFonts w:ascii="Arial" w:hAnsi="Arial" w:cs="Arial"/>
                <w:b/>
                <w:bCs/>
                <w:sz w:val="20"/>
              </w:rPr>
            </w:pPr>
            <w:r>
              <w:rPr>
                <w:rFonts w:cs="Arial" w:ascii="Arial" w:hAnsi="Arial"/>
                <w:b/>
                <w:bCs/>
                <w:sz w:val="20"/>
              </w:rPr>
              <w:t>$(19,515)</w:t>
            </w:r>
          </w:p>
        </w:tc>
        <w:tc>
          <w:tcPr>
            <w:tcW w:w="1170" w:type="dxa"/>
            <w:tcBorders>
              <w:top w:val="single" w:sz="4" w:space="0" w:color="000000"/>
              <w:bottom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eastAsia="Arial" w:cs="Arial" w:ascii="Arial" w:hAnsi="Arial"/>
              </w:rPr>
              <w:t xml:space="preserve">  </w:t>
            </w:r>
            <w:r>
              <w:rPr>
                <w:rFonts w:cs="Arial" w:ascii="Arial" w:hAnsi="Arial"/>
              </w:rPr>
              <w:t>0.63%</w:t>
            </w:r>
          </w:p>
        </w:tc>
        <w:tc>
          <w:tcPr>
            <w:tcW w:w="540" w:type="dxa"/>
            <w:tcBorders>
              <w:top w:val="single" w:sz="4" w:space="0" w:color="000000"/>
              <w:bottom w:val="single" w:sz="4" w:space="0" w:color="000000"/>
            </w:tcBorders>
          </w:tcPr>
          <w:p>
            <w:pPr>
              <w:pStyle w:val="Heading9"/>
              <w:widowControl/>
              <w:snapToGrid w:val="false"/>
              <w:ind w:start="0" w:end="-108"/>
              <w:rPr>
                <w:rFonts w:ascii="Arial" w:hAnsi="Arial" w:cs="Arial"/>
              </w:rPr>
            </w:pPr>
            <w:r>
              <w:rPr>
                <w:rFonts w:cs="Arial" w:ascii="Arial" w:hAnsi="Arial"/>
              </w:rPr>
            </w:r>
          </w:p>
        </w:tc>
        <w:tc>
          <w:tcPr>
            <w:tcW w:w="3060" w:type="dxa"/>
            <w:tcBorders>
              <w:top w:val="single" w:sz="4" w:space="0" w:color="000000"/>
              <w:bottom w:val="single" w:sz="4" w:space="0" w:color="000000"/>
            </w:tcBorders>
          </w:tcPr>
          <w:p>
            <w:pPr>
              <w:pStyle w:val="Heading9"/>
              <w:widowControl/>
              <w:ind w:start="0" w:end="72"/>
              <w:rPr>
                <w:rFonts w:ascii="Arial" w:hAnsi="Arial" w:cs="Arial"/>
              </w:rPr>
            </w:pPr>
            <w:r>
              <w:rPr>
                <w:rFonts w:cs="Arial" w:ascii="Arial" w:hAnsi="Arial"/>
              </w:rPr>
              <w:t>RAC CAPITAL PRICE:</w:t>
            </w:r>
          </w:p>
        </w:tc>
        <w:tc>
          <w:tcPr>
            <w:tcW w:w="990" w:type="dxa"/>
            <w:tcBorders>
              <w:top w:val="single" w:sz="4" w:space="0" w:color="000000"/>
              <w:bottom w:val="single" w:sz="4" w:space="0" w:color="000000"/>
              <w:end w:val="single" w:sz="4"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10.18%</w:t>
            </w:r>
          </w:p>
        </w:tc>
      </w:tr>
    </w:tbl>
    <w:p>
      <w:pPr>
        <w:pStyle w:val="BodyText3"/>
        <w:rPr/>
      </w:pPr>
      <w:r>
        <w:rPr/>
      </w:r>
    </w:p>
    <w:p>
      <w:pPr>
        <w:pStyle w:val="BodyText3"/>
        <w:ind w:hanging="187" w:start="374" w:end="0"/>
        <w:rPr>
          <w:sz w:val="20"/>
        </w:rPr>
      </w:pPr>
      <w:r>
        <w:rPr/>
        <w:t>*</w:t>
        <w:tab/>
        <w:t xml:space="preserve">Purchase price of $125MM includes premium for option to upgrade the facility outlined in “Transaction Upsides” below.  RAC has only validated the Base Value at approximately $105MM and has not valued the option to upgrade the facility.  The deal team has placed a value of approximately </w:t>
      </w:r>
      <w:r>
        <w:rPr>
          <w:b/>
          <w:bCs/>
          <w:i/>
          <w:iCs/>
        </w:rPr>
        <w:t>$20MM</w:t>
      </w:r>
      <w:r>
        <w:rPr/>
        <w:t xml:space="preserve"> on the option to upgrade the facility into the bid price. </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drawing>
          <wp:anchor behindDoc="0" distT="0" distB="0" distL="114935" distR="114935" simplePos="0" locked="0" layoutInCell="0" allowOverlap="1" relativeHeight="2">
            <wp:simplePos x="0" y="0"/>
            <wp:positionH relativeFrom="column">
              <wp:posOffset>-19050</wp:posOffset>
            </wp:positionH>
            <wp:positionV relativeFrom="paragraph">
              <wp:posOffset>248285</wp:posOffset>
            </wp:positionV>
            <wp:extent cx="3772535" cy="2082800"/>
            <wp:effectExtent l="0" t="0" r="0" b="0"/>
            <wp:wrapTopAndBottom/>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6"/>
                    <a:srcRect l="-9" t="-17" r="-9" b="-17"/>
                    <a:stretch>
                      <a:fillRect/>
                    </a:stretch>
                  </pic:blipFill>
                  <pic:spPr bwMode="auto">
                    <a:xfrm>
                      <a:off x="0" y="0"/>
                      <a:ext cx="3772535" cy="2082800"/>
                    </a:xfrm>
                    <a:prstGeom prst="rect">
                      <a:avLst/>
                    </a:prstGeom>
                    <a:noFill/>
                  </pic:spPr>
                </pic:pic>
              </a:graphicData>
            </a:graphic>
          </wp:anchor>
        </w:drawing>
        <w:drawing>
          <wp:anchor behindDoc="0" distT="0" distB="0" distL="114935" distR="114935" simplePos="0" locked="0" layoutInCell="1" allowOverlap="1" relativeHeight="3">
            <wp:simplePos x="0" y="0"/>
            <wp:positionH relativeFrom="column">
              <wp:posOffset>3799840</wp:posOffset>
            </wp:positionH>
            <wp:positionV relativeFrom="paragraph">
              <wp:posOffset>312420</wp:posOffset>
            </wp:positionV>
            <wp:extent cx="2962910" cy="205740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rcRect l="-12" t="-17" r="-12" b="-17"/>
                    <a:stretch>
                      <a:fillRect/>
                    </a:stretch>
                  </pic:blipFill>
                  <pic:spPr bwMode="auto">
                    <a:xfrm>
                      <a:off x="0" y="0"/>
                      <a:ext cx="2962910" cy="2057400"/>
                    </a:xfrm>
                    <a:prstGeom prst="rect">
                      <a:avLst/>
                    </a:prstGeom>
                    <a:noFill/>
                  </pic:spPr>
                </pic:pic>
              </a:graphicData>
            </a:graphic>
          </wp:anchor>
        </w:drawing>
      </w:r>
      <w:r>
        <w:rPr>
          <w:rFonts w:cs="Arial" w:ascii="Arial" w:hAnsi="Arial"/>
        </w:rPr>
        <w:t xml:space="preserve">CASH FLOW SUMMARY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rPr>
          <w:rFonts w:ascii="Arial" w:hAnsi="Arial" w:cs="Arial"/>
          <w:b/>
          <w:i/>
          <w:i/>
          <w:sz w:val="20"/>
        </w:rPr>
      </w:pPr>
      <w:r>
        <w:rPr>
          <w:rFonts w:cs="Arial" w:ascii="Arial" w:hAnsi="Arial"/>
          <w:b/>
          <w:i/>
          <w:sz w:val="20"/>
        </w:rPr>
      </w:r>
    </w:p>
    <w:p>
      <w:pPr>
        <w:pStyle w:val="Normal"/>
        <w:jc w:val="both"/>
        <w:rPr>
          <w:rFonts w:ascii="Arial" w:hAnsi="Arial" w:cs="Arial"/>
          <w:b/>
          <w:bCs/>
          <w:i/>
          <w:i/>
          <w:iCs/>
          <w:sz w:val="20"/>
          <w:u w:val="single"/>
        </w:rPr>
      </w:pPr>
      <w:r>
        <w:rPr>
          <w:rFonts w:cs="Arial" w:ascii="Arial" w:hAnsi="Arial"/>
          <w:b/>
          <w:bCs/>
          <w:i/>
          <w:iCs/>
          <w:sz w:val="20"/>
          <w:u w:val="single"/>
        </w:rPr>
        <w:t>Facility Upgrades</w:t>
      </w:r>
    </w:p>
    <w:p>
      <w:pPr>
        <w:pStyle w:val="Normal"/>
        <w:jc w:val="both"/>
        <w:rPr>
          <w:rFonts w:ascii="Arial" w:hAnsi="Arial" w:cs="Arial"/>
          <w:sz w:val="20"/>
        </w:rPr>
      </w:pPr>
      <w:r>
        <w:rPr>
          <w:rFonts w:cs="Arial" w:ascii="Arial" w:hAnsi="Arial"/>
          <w:sz w:val="20"/>
        </w:rPr>
        <w:t>Americas Technical Support has indicated that mechanical chilling can be installed at the air inlets to the combustion turbines, which would increase net plant capacity by approximately at least 19 MW during the summer period.  In addition, three 200,000 lb/hour package steam boilers can be installed on-site, which would increase the operating flexibility of the project and may be dispatched to replace steam load sent to Consolidated Edison under the existing Energy Sales Agreement.  When the steam boilers are fired, the project can increase its utilization of the existing steam turbines creating incremental energy (36 MW summer, 65 MW winter).  Under a spread option analysis, the incremental energy may be dispatched at package steam boiler economics (heat rate approximately 13,000 Btu/KwH).</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Draft 07/17/01:</w:t>
      </w:r>
      <w:r>
        <w:rPr>
          <w:rFonts w:cs="Arial" w:ascii="Arial" w:hAnsi="Arial"/>
          <w:sz w:val="20"/>
        </w:rPr>
        <w:t xml:space="preserve"> Under the existing Energy Sales Agreement, the partnership should be entitled to sell such excess energy at the SC 11 tariff rate, which is the real-time zonal locational-based marginal price (“LBMP”) for Consolidated Edison’s service area (NYPP zone J).  In addition, the SC 11 tariff provides that the partnership can elect each year to sell such excess power directly to the NY ISO at the hourly real-time locational-based marginal price.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inlet chilling project would provide 749,000 PV MWH through 2036, which is valued at $22.6MM NPV, net of a capital cost of $6.1MM for installation.  The package steam boilers are valued at $16.0MM NPV, net of a capital cost of $6.2MM.  The valuation was performed assuming a start date of January 1, 2003.</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Site Value</w:t>
      </w:r>
    </w:p>
    <w:p>
      <w:pPr>
        <w:pStyle w:val="Normal"/>
        <w:jc w:val="both"/>
        <w:rPr>
          <w:rFonts w:ascii="Arial" w:hAnsi="Arial" w:cs="Arial"/>
          <w:sz w:val="20"/>
        </w:rPr>
      </w:pPr>
      <w:r>
        <w:rPr>
          <w:rFonts w:cs="Arial" w:ascii="Arial" w:hAnsi="Arial"/>
          <w:sz w:val="20"/>
        </w:rPr>
        <w:t>Property is available adjacent to the existing facility which would be well-suited for the installation of one or more Pratt and Whitney FT8 Twin Pac or General Electric LM6000 turbines.  The project’s thermal host BNYDC has indicated willingness in the past to negotiate the leasing of additional property to the partnership.  EAE Origination believes that the expansion value at the site utilizing the projects’ existing fuel infrastructure and electrical interconnection is approximately $10.2MM NPV for the installation of a 50 MW FT8 Twin Pac.  Permitting can be facilitated since 80MW or less expansions of existing generation sites stay outside of Article X.</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Restructuring Value</w:t>
      </w:r>
    </w:p>
    <w:p>
      <w:pPr>
        <w:pStyle w:val="Normal"/>
        <w:rPr/>
      </w:pPr>
      <w:r>
        <w:rPr>
          <w:rFonts w:cs="Arial" w:ascii="Arial" w:hAnsi="Arial"/>
          <w:sz w:val="20"/>
        </w:rPr>
        <w:t xml:space="preserve">An opportunity exists to either restructure or receive a buyout of the remaining capacity payments under the Energy Sales Agreement with Consolidated Edison.  The existing contractual capacity payments are valued at NPV $440MM, using a discount rate of 11%.  A 200 basis point enhancement, related to securitizing the capacity payments at Consolidated Edison’s credit would represent $8.5MM of incremental value to the partnership, net of profit sharing with the utility and </w:t>
      </w:r>
      <w:r>
        <w:rPr>
          <w:rFonts w:cs="Arial" w:ascii="Arial" w:hAnsi="Arial"/>
          <w:color w:val="000000"/>
          <w:sz w:val="20"/>
          <w:szCs w:val="20"/>
        </w:rPr>
        <w:t>prepayment of the project's existing debt as well as associated breakage costs</w:t>
      </w:r>
      <w:r>
        <w:rPr>
          <w:rFonts w:cs="Arial" w:ascii="Arial" w:hAnsi="Arial"/>
          <w:sz w:val="20"/>
        </w:rPr>
        <w:t>.</w:t>
      </w:r>
    </w:p>
    <w:p>
      <w:pPr>
        <w:pStyle w:val="Normal"/>
        <w:rPr>
          <w:rFonts w:ascii="Arial" w:hAnsi="Arial" w:cs="Arial"/>
          <w:sz w:val="20"/>
        </w:rPr>
      </w:pPr>
      <w:r>
        <w:rPr>
          <w:rFonts w:cs="Arial" w:ascii="Arial" w:hAnsi="Arial"/>
          <w:sz w:val="20"/>
        </w:rPr>
      </w:r>
    </w:p>
    <w:p>
      <w:pPr>
        <w:pStyle w:val="Heading7"/>
        <w:pBdr>
          <w:top w:val="single" w:sz="4" w:space="1" w:color="000000"/>
        </w:pBdr>
        <w:rPr>
          <w:iCs/>
        </w:rPr>
      </w:pPr>
      <w:r>
        <w:rPr>
          <w:iCs/>
        </w:rPr>
        <w:t>EXIT STRATEGY</w:t>
      </w:r>
    </w:p>
    <w:p>
      <w:pPr>
        <w:pStyle w:val="Normal"/>
        <w:ind w:end="-36"/>
        <w:rPr>
          <w:rFonts w:ascii="Arial" w:hAnsi="Arial" w:cs="Arial"/>
          <w:iCs/>
          <w:sz w:val="20"/>
        </w:rPr>
      </w:pPr>
      <w:r>
        <w:rPr>
          <w:rFonts w:cs="Arial" w:ascii="Arial" w:hAnsi="Arial"/>
          <w:iCs/>
          <w:sz w:val="20"/>
        </w:rPr>
      </w:r>
    </w:p>
    <w:p>
      <w:pPr>
        <w:pStyle w:val="Normal"/>
        <w:ind w:end="-36"/>
        <w:rPr>
          <w:rFonts w:ascii="Arial" w:hAnsi="Arial" w:cs="Arial"/>
          <w:sz w:val="20"/>
        </w:rPr>
      </w:pPr>
      <w:r>
        <w:rPr>
          <w:rFonts w:cs="Arial" w:ascii="Arial" w:hAnsi="Arial"/>
          <w:sz w:val="20"/>
        </w:rPr>
        <w:t>Americas expects it will be necessary to maintain its interest in BNYCP for at least a three-year period to maximize the opportunities presented above (“Transaction Upsides”).  Given the political and environmental constraints existing in New York City, EAE Origination expects the market to be robust as well as attractive for the holding of assets.</w:t>
      </w:r>
    </w:p>
    <w:p>
      <w:pPr>
        <w:pStyle w:val="Heading2"/>
        <w:keepNext w:val="false"/>
        <w:widowControl/>
        <w:pBdr>
          <w:top w:val="single" w:sz="8" w:space="1" w:color="000000"/>
        </w:pBdr>
        <w:ind w:hanging="0" w:start="0" w:end="-43"/>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10440" w:type="dxa"/>
        <w:jc w:val="start"/>
        <w:tblInd w:w="18" w:type="dxa"/>
        <w:tblLayout w:type="fixed"/>
        <w:tblCellMar>
          <w:top w:w="0" w:type="dxa"/>
          <w:start w:w="108" w:type="dxa"/>
          <w:bottom w:w="0" w:type="dxa"/>
          <w:end w:w="108" w:type="dxa"/>
        </w:tblCellMar>
      </w:tblPr>
      <w:tblGrid>
        <w:gridCol w:w="4680"/>
        <w:gridCol w:w="5760"/>
      </w:tblGrid>
      <w:tr>
        <w:trPr/>
        <w:tc>
          <w:tcPr>
            <w:tcW w:w="4680" w:type="dxa"/>
            <w:tcBorders>
              <w:top w:val="single" w:sz="6" w:space="0" w:color="000000"/>
              <w:start w:val="single" w:sz="6" w:space="0" w:color="000000"/>
              <w:bottom w:val="single" w:sz="6" w:space="0" w:color="000000"/>
              <w:end w:val="single" w:sz="6" w:space="0" w:color="000000"/>
            </w:tcBorders>
          </w:tcPr>
          <w:p>
            <w:pPr>
              <w:pStyle w:val="Heading6"/>
              <w:keepNext w:val="false"/>
              <w:ind w:hanging="0" w:start="0"/>
              <w:rPr>
                <w:rFonts w:ascii="Arial" w:hAnsi="Arial" w:cs="Arial"/>
                <w:szCs w:val="24"/>
              </w:rPr>
            </w:pPr>
            <w:r>
              <w:rPr>
                <w:rFonts w:cs="Arial" w:ascii="Arial" w:hAnsi="Arial"/>
                <w:szCs w:val="24"/>
              </w:rPr>
              <w:t>RISK DESCRIPTION</w:t>
            </w:r>
          </w:p>
        </w:tc>
        <w:tc>
          <w:tcPr>
            <w:tcW w:w="57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bCs/>
              </w:rPr>
            </w:pPr>
            <w:r>
              <w:rPr>
                <w:rFonts w:cs="Arial" w:ascii="Arial" w:hAnsi="Arial"/>
                <w:bCs/>
              </w:rPr>
              <w:t>Legal Risk</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Legal Risk Rating = 4.  See attached Legal Risk Memo.</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w:t>
            </w:r>
          </w:p>
          <w:p>
            <w:pPr>
              <w:pStyle w:val="Heading1"/>
              <w:keepNext w:val="false"/>
              <w:ind w:hanging="0" w:start="0"/>
              <w:rPr>
                <w:rFonts w:ascii="Arial" w:hAnsi="Arial" w:eastAsia="Arial" w:cs="Arial"/>
              </w:rPr>
            </w:pPr>
            <w:r>
              <w:rPr>
                <w:rFonts w:eastAsia="Arial" w:cs="Arial" w:ascii="Arial" w:hAnsi="Arial"/>
              </w:rPr>
              <w:t xml:space="preserve"> </w:t>
            </w:r>
          </w:p>
          <w:p>
            <w:pPr>
              <w:pStyle w:val="Heading1"/>
              <w:keepNext w:val="false"/>
              <w:ind w:hanging="0" w:start="0"/>
              <w:rPr>
                <w:rFonts w:ascii="Arial" w:hAnsi="Arial" w:cs="Arial"/>
                <w:b w:val="false"/>
                <w:bCs/>
              </w:rPr>
            </w:pPr>
            <w:r>
              <w:rPr>
                <w:rFonts w:cs="Arial" w:ascii="Arial" w:hAnsi="Arial"/>
                <w:b w:val="false"/>
                <w:bCs/>
                <w:i/>
              </w:rPr>
              <w:t>Edison Mission Energy</w:t>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As a result of disagreements between the turnkey contractor for the project (PMNC) and the partnership, PMNC filed suit against the partnership in 1997 seeking damages in excess of $136MM.  The partnership filed a counter suit claiming damages of $13MM.  In 2000, the partnership entered into settlement negotiations with PMNC, which were unsuccessful.  During November 2000, a New York appellate court issued a ruling granting summary judgment in favor of the partnership, limiting the contractor to its claims under the construction contract.  Based on discussions held with outside counsel retained by EAE and with the litigation firm handling the case for BNYCP, Enron Americas Legal believes the case has a most likely settlement outcome of $37 million in damages against the partnership.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EME has indemnified the Partnership with respect to the PMNC Litigation and would also indemnify EAE under the purchase agreement.  In addition, Mission can offset up to $10MM in GP fees payable to the other partner.  However, the risk exists that when the litigation settles or proceeds to judgment, any amount owed by the Partnership could be in excess of an amount which Mission could then pay.  In which event, if the Partnership fails to satisfy such claim, PMNC could obtain and foreclose a judgment lien on the assets of the Partnership.</w:t>
            </w:r>
          </w:p>
          <w:p>
            <w:pPr>
              <w:pStyle w:val="Normal"/>
              <w:jc w:val="both"/>
              <w:rPr>
                <w:rFonts w:ascii="Arial" w:hAnsi="Arial" w:cs="Arial"/>
                <w:sz w:val="20"/>
              </w:rPr>
            </w:pPr>
            <w:r>
              <w:rPr>
                <w:rFonts w:cs="Arial" w:ascii="Arial" w:hAnsi="Arial"/>
                <w:sz w:val="20"/>
              </w:rPr>
            </w:r>
          </w:p>
          <w:p>
            <w:pPr>
              <w:pStyle w:val="BodyText2"/>
              <w:tabs>
                <w:tab w:val="clear" w:pos="720"/>
                <w:tab w:val="clear" w:pos="3600"/>
                <w:tab w:val="clear" w:pos="5040"/>
                <w:tab w:val="clear" w:pos="6480"/>
                <w:tab w:val="clear" w:pos="7920"/>
              </w:tabs>
              <w:rPr/>
            </w:pPr>
            <w:r>
              <w:rPr/>
              <w:t>Concern has been expressed regarding EME’s credit quality (Standard and Poor’s BBB-, Moody’s Baa3) relative to the PMNC litigation indemnification. EME’s First Power investment (UK) is experiencing significant financial difficulties.  In the event that Mission becomes bankrupt prior to the settlement of the PMNC Litigation, the Partnership and ENA would have an unsecured claim against EME’s bankrupt estate with respect to EME’s indemnification obligations.  Additionally, ENA would likely be called upon to provide indemnification to the project.</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 (cont.)</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t>York Research Corporation</w:t>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EME will be required to post a $25MM letter of credit for the benefit of ENE in the event that a judgment is secured by PMNC and Mission is unable to meet its obligations under the indemnification provided.  The L/C requirement will be removed if Mission resolves the PMNC litigation or achieves and maintains a BBB+ and Baa1 credit rating for six consecutive months prior to July 2003.  If EME’s credit rating drops and remains below BBB- or Baa3, the L/C requirement will not be removed until the litigation is fully resolved.</w:t>
            </w:r>
          </w:p>
          <w:p>
            <w:pPr>
              <w:pStyle w:val="BodyText2"/>
              <w:tabs>
                <w:tab w:val="clear" w:pos="720"/>
                <w:tab w:val="clear" w:pos="3600"/>
                <w:tab w:val="clear" w:pos="5040"/>
                <w:tab w:val="clear" w:pos="6480"/>
                <w:tab w:val="clear" w:pos="7920"/>
              </w:tabs>
              <w:rPr/>
            </w:pPr>
            <w:r>
              <w:rPr/>
            </w:r>
          </w:p>
          <w:p>
            <w:pPr>
              <w:pStyle w:val="BodyText2"/>
              <w:tabs>
                <w:tab w:val="clear" w:pos="720"/>
                <w:tab w:val="clear" w:pos="3600"/>
                <w:tab w:val="clear" w:pos="5040"/>
                <w:tab w:val="clear" w:pos="6480"/>
                <w:tab w:val="clear" w:pos="7920"/>
              </w:tabs>
              <w:rPr/>
            </w:pPr>
            <w:r>
              <w:rPr/>
              <w:t>In addition to the PMNC litigation indemnification, Mission will indemnify ENE against a disputed city water and sewer bill (exposure is approximately $6MM) and a pending New York state tax audit (exposure is potentially $10MM).  EME’s ability to meet its obligations under its indemnification provisions has been evaluated by RAC, which has resulted in a credit reserve of $7.7MM being applied against the project valuation.  This number was derived from interpretations of the latest assumptions provided by ENA Legal and current market yields which consisted of the following: (1) PMNC litigation judgment amount due: min = 0, most likely = $37MM, max exposure = $175MM;  (2)  Probability of years to settlement date for litigation:  1 year = 15%, 2 years = 30%, 3 years = 25%, 4 years = 25%, 5 years = 5%; (3) Credit quality of Mission is equal to a S&amp;P CCC.  If these assumptions were to prove inaccurate, the actual credit exposure could be drastically different from the expected $7.7 MM value.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York Research Corporation owns a 5% GP interest and a 45% LP interest in the project through its subsidiary B-41 Associates LP (“B-41”).  In March 2000, a Chapter 11 bankruptcy was filed by York subsidiary North American Energy Conservation (“NAEC”).  The bankruptcy proceeding has not been discharged, pending the resolution of approximately $60MM in claims against NAEC that were guaranteed by the parent company.  A settlement with these creditors has been approved by the court and the bankruptcy case will be discharged pending the funding of the settlement amount by the parent company.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Americas origination believes that a bankruptcy at the York parent will not have a significant impact on B-41 and the management of the BNYCP project, since cash flow from B-41 has been pledged to a portfolio financing and the funding company structure is bankruptcy remote from a bankruptcy at the parent company.  In addition, MENY holds a managing GP interest in the partnership with control over day-to-day operations.</w:t>
            </w:r>
          </w:p>
          <w:p>
            <w:pPr>
              <w:pStyle w:val="Normal"/>
              <w:jc w:val="both"/>
              <w:rPr>
                <w:rFonts w:ascii="Arial" w:hAnsi="Arial" w:cs="Arial"/>
                <w:sz w:val="20"/>
              </w:rPr>
            </w:pPr>
            <w:r>
              <w:rPr>
                <w:rFonts w:cs="Arial" w:ascii="Arial" w:hAnsi="Arial"/>
                <w:sz w:val="20"/>
              </w:rPr>
            </w:r>
          </w:p>
          <w:p>
            <w:pPr>
              <w:pStyle w:val="Normal"/>
              <w:spacing w:lineRule="atLeast" w:line="240"/>
              <w:jc w:val="both"/>
              <w:rPr/>
            </w:pPr>
            <w:r>
              <w:rPr>
                <w:rFonts w:cs="Arial" w:ascii="Arial" w:hAnsi="Arial"/>
                <w:sz w:val="20"/>
              </w:rPr>
              <w:t>Americas origination has approached York Research regarding the acquisition of their interest in the partnership and believes that a transaction can be completed by 4</w:t>
            </w:r>
            <w:r>
              <w:rPr>
                <w:rFonts w:cs="Arial" w:ascii="Arial" w:hAnsi="Arial"/>
                <w:sz w:val="20"/>
                <w:vertAlign w:val="superscript"/>
              </w:rPr>
              <w:t>th</w:t>
            </w:r>
            <w:r>
              <w:rPr>
                <w:rFonts w:cs="Arial" w:ascii="Arial" w:hAnsi="Arial"/>
                <w:sz w:val="20"/>
              </w:rPr>
              <w:t xml:space="preserve"> quarter 2001.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Credit Risk (cont.)</w:t>
            </w:r>
          </w:p>
          <w:p>
            <w:pPr>
              <w:pStyle w:val="Normal"/>
              <w:rPr>
                <w:rFonts w:ascii="Arial" w:hAnsi="Arial" w:cs="Arial"/>
                <w:i/>
                <w:i/>
                <w:sz w:val="20"/>
              </w:rPr>
            </w:pPr>
            <w:r>
              <w:rPr>
                <w:rFonts w:cs="Arial" w:ascii="Arial" w:hAnsi="Arial"/>
                <w:i/>
                <w:sz w:val="20"/>
              </w:rPr>
              <w:t>Consolidated Edison</w:t>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sz w:val="20"/>
              </w:rPr>
            </w:pPr>
            <w:r>
              <w:rPr>
                <w:rFonts w:cs="Arial" w:ascii="Arial" w:hAnsi="Arial"/>
                <w:sz w:val="20"/>
              </w:rPr>
              <w:t>Consolidated Edison has entered into a PPA with the BNY through 2036 to purchase all of the facility’s electric and steam output net of parasitic load and host sales to BNYDC and Red Hook.  Con Ed is currently rated at an A-, but their bonds are trading at a yield equivalent to a BB- utility.  Under a Con Ed default scenario (which has been reflected in the project valuation as an approximately $9MM reserve against value), the project would resort to selling power as a merchant facility.</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Technical and Operational Risk</w:t>
            </w:r>
          </w:p>
          <w:p>
            <w:pPr>
              <w:pStyle w:val="Normal"/>
              <w:rPr>
                <w:rFonts w:ascii="Arial" w:hAnsi="Arial" w:cs="Arial"/>
                <w:sz w:val="20"/>
              </w:rPr>
            </w:pPr>
            <w:r>
              <w:rPr>
                <w:rFonts w:cs="Arial" w:ascii="Arial" w:hAnsi="Arial"/>
                <w:sz w:val="20"/>
              </w:rPr>
            </w:r>
          </w:p>
          <w:p>
            <w:pPr>
              <w:pStyle w:val="Normal"/>
              <w:jc w:val="both"/>
              <w:rPr>
                <w:rFonts w:ascii="Arial" w:hAnsi="Arial" w:cs="Arial"/>
                <w:i/>
                <w:i/>
                <w:sz w:val="20"/>
              </w:rPr>
            </w:pPr>
            <w:r>
              <w:rPr>
                <w:rFonts w:cs="Arial" w:ascii="Arial" w:hAnsi="Arial"/>
                <w:i/>
                <w:sz w:val="20"/>
              </w:rPr>
              <w:t>HRSG tube leaks</w:t>
            </w:r>
          </w:p>
          <w:p>
            <w:pPr>
              <w:pStyle w:val="Normal"/>
              <w:rPr>
                <w:rFonts w:ascii="Arial" w:hAnsi="Arial" w:cs="Arial"/>
                <w:i/>
                <w:i/>
                <w:sz w:val="20"/>
                <w:u w:val="single"/>
              </w:rPr>
            </w:pPr>
            <w:r>
              <w:rPr>
                <w:rFonts w:cs="Arial" w:ascii="Arial" w:hAnsi="Arial"/>
                <w:i/>
                <w:sz w:val="20"/>
                <w:u w:val="single"/>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The project has experienced significant interruption from forced outages as a result of HRSG tube leaks. At the first major maintenance on combustion turbine #2 in April, 1999, an inspection of the HRSG was conducted by ABB.  ABB determined that there was evidence of erosion/corrosion which would not be expected to occur in such a new plant.  In November 2000, Vogt-NEM Inc. provided a proposal to the project to perform a full surface replacement for both HRSGs utilizing the Vogt-NEM module harp design, which is expected to minimize flow assisted corrosion.  The project economics reflect increased major maintenance expenses ($6MM per each HRSG) to correct the tube leaks</w:t>
            </w:r>
          </w:p>
          <w:p>
            <w:pPr>
              <w:pStyle w:val="Normal"/>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Construction and Permitting Risk</w:t>
            </w:r>
          </w:p>
          <w:p>
            <w:pPr>
              <w:pStyle w:val="Normal"/>
              <w:rPr>
                <w:rFonts w:ascii="Arial" w:hAnsi="Arial" w:cs="Arial"/>
              </w:rPr>
            </w:pPr>
            <w:r>
              <w:rPr>
                <w:rFonts w:cs="Arial" w:ascii="Arial" w:hAnsi="Arial"/>
              </w:rPr>
            </w:r>
          </w:p>
          <w:p>
            <w:pPr>
              <w:pStyle w:val="Normal"/>
              <w:rPr>
                <w:rFonts w:ascii="Arial" w:hAnsi="Arial" w:cs="Arial"/>
                <w:i/>
                <w:i/>
                <w:sz w:val="20"/>
              </w:rPr>
            </w:pPr>
            <w:r>
              <w:rPr>
                <w:rFonts w:cs="Arial" w:ascii="Arial" w:hAnsi="Arial"/>
                <w:i/>
                <w:sz w:val="20"/>
              </w:rPr>
              <w:t>Risk that plant air inlet chilling and package steam boiler upgrades cannot be implemented by June 2002.</w:t>
            </w:r>
          </w:p>
          <w:p>
            <w:pPr>
              <w:pStyle w:val="Normal"/>
              <w:rPr/>
            </w:pPr>
            <w:r>
              <w:rPr/>
            </w:r>
          </w:p>
          <w:p>
            <w:pPr>
              <w:pStyle w:val="Normal"/>
              <w:rPr/>
            </w:pPr>
            <w:r>
              <w:rPr/>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20"/>
              </w:rPr>
              <w:t xml:space="preserve">Americas technical support has indicated that the inlet chilling and package steam boiler upgrades should require a minor modification of the plant’s existing air permit.  </w:t>
            </w:r>
            <w:r>
              <w:rPr>
                <w:rFonts w:cs="Arial" w:ascii="Arial" w:hAnsi="Arial"/>
                <w:sz w:val="20"/>
              </w:rPr>
              <w:t>Since the Brooklyn Navy Yard facility was permitted in the 1990s, it has already been through a State Environmental Quality Review (SEQR), including an Environmental Impact Statement (EIS).  This recent assessment as well as the relatively minor changes proposed to the facility should allow the SEQR review to be limited to the preparation of an environmental checklist, without triggering a new EIS.  Outside environmental consultants have indicated that for a minor modification not requiring an EIS, the permitting can be completed in four to six months, including both the SEQR process and issuance of a new air permit.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Americas technical support has assigned a 75% probability to finalizing the requisite air permit modifications by the end of this year. The worst-case scenario would occur if the project’s net emission increase triggers a major modification to an existing Prevention of Significant Deterioration (PSD) source.  The SEQR process would be the same, however, the air permit review would be more complicated and trigger additional information requirements, such as air quality impact modeling.  Typically, a PSD source or major modification to an existing source requires a 9 to 12 month agency review.</w:t>
            </w:r>
          </w:p>
          <w:p>
            <w:pPr>
              <w:pStyle w:val="Normal"/>
              <w:rPr>
                <w:rFonts w:ascii="Arial" w:hAnsi="Arial" w:cs="Arial"/>
                <w:sz w:val="20"/>
              </w:rPr>
            </w:pPr>
            <w:r>
              <w:rPr>
                <w:rFonts w:cs="Arial" w:ascii="Arial" w:hAnsi="Arial"/>
                <w:sz w:val="20"/>
              </w:rPr>
            </w:r>
          </w:p>
          <w:p>
            <w:pPr>
              <w:pStyle w:val="Normal"/>
              <w:rPr/>
            </w:pPr>
            <w:r>
              <w:rPr>
                <w:rFonts w:cs="Arial" w:ascii="Arial" w:hAnsi="Arial"/>
                <w:sz w:val="20"/>
              </w:rPr>
              <w:t>Construction of the facility upgrades can be initiated after the air permit modifications are obtained.  Lead time for the fabrication, construction, and testing of the package steam boilers and air inlet chilling is estimated by EAE technical support at six to twelve months.  T</w:t>
            </w:r>
            <w:r>
              <w:rPr>
                <w:rFonts w:cs="Arial" w:ascii="Arial" w:hAnsi="Arial"/>
                <w:sz w:val="20"/>
                <w:szCs w:val="20"/>
              </w:rPr>
              <w:t xml:space="preserve">here is more schedule risk associated with the chiller installation than with the boiler installation.  </w:t>
            </w:r>
            <w:r>
              <w:rPr>
                <w:rFonts w:cs="Arial" w:ascii="Arial" w:hAnsi="Arial"/>
                <w:sz w:val="20"/>
              </w:rPr>
              <w:t>The net impact on the valuation of the facility upgrades of a six month delay from the expected start date of June 2002 is $3.7MM.</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Gas Transportation and Commodity Price Risk</w:t>
            </w:r>
          </w:p>
          <w:p>
            <w:pPr>
              <w:pStyle w:val="Normal"/>
              <w:rPr>
                <w:rFonts w:ascii="Arial" w:hAnsi="Arial" w:cs="Arial"/>
                <w:sz w:val="20"/>
              </w:rPr>
            </w:pPr>
            <w:r>
              <w:rPr>
                <w:rFonts w:cs="Arial" w:ascii="Arial" w:hAnsi="Arial"/>
                <w:sz w:val="20"/>
              </w:rPr>
            </w:r>
          </w:p>
          <w:p>
            <w:pPr>
              <w:pStyle w:val="Normal"/>
              <w:spacing w:lineRule="atLeast" w:line="240"/>
              <w:jc w:val="both"/>
              <w:rPr/>
            </w:pPr>
            <w:r>
              <w:rPr>
                <w:rFonts w:cs="Arial" w:ascii="Arial" w:hAnsi="Arial"/>
                <w:i/>
                <w:sz w:val="20"/>
              </w:rPr>
              <w:t xml:space="preserve">The project holds 25,508 MMBtu/day </w:t>
            </w:r>
            <w:r>
              <w:rPr>
                <w:rFonts w:cs="Arial" w:ascii="Arial" w:hAnsi="Arial"/>
                <w:i/>
                <w:color w:val="000000"/>
                <w:sz w:val="20"/>
              </w:rPr>
              <w:t>firm transportation capacity on Transcanada Pipeline(TCPL) and 30,303 MMBtu/day firm transportation capacity on Transco through 2017.</w:t>
            </w:r>
          </w:p>
          <w:p>
            <w:pPr>
              <w:pStyle w:val="Normal"/>
              <w:rPr>
                <w:rFonts w:ascii="Arial" w:hAnsi="Arial" w:cs="Arial"/>
                <w:i/>
                <w:i/>
                <w:color w:val="000000"/>
                <w:sz w:val="20"/>
                <w:u w:val="single"/>
              </w:rPr>
            </w:pPr>
            <w:r>
              <w:rPr>
                <w:rFonts w:cs="Arial" w:ascii="Arial" w:hAnsi="Arial"/>
                <w:i/>
                <w:color w:val="000000"/>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i/>
                <w:i/>
                <w:iCs/>
                <w:sz w:val="20"/>
                <w:u w:val="single"/>
              </w:rPr>
            </w:pPr>
            <w:r>
              <w:rPr>
                <w:rFonts w:cs="Arial" w:ascii="Arial" w:hAnsi="Arial"/>
                <w:i/>
                <w:iCs/>
                <w:sz w:val="20"/>
                <w:u w:val="single"/>
              </w:rPr>
            </w:r>
          </w:p>
          <w:p>
            <w:pPr>
              <w:pStyle w:val="Normal"/>
              <w:rPr>
                <w:rFonts w:ascii="Arial" w:hAnsi="Arial" w:cs="Arial"/>
                <w:i/>
                <w:i/>
                <w:iCs/>
                <w:sz w:val="20"/>
              </w:rPr>
            </w:pPr>
            <w:r>
              <w:rPr>
                <w:rFonts w:cs="Arial" w:ascii="Arial" w:hAnsi="Arial"/>
                <w:i/>
                <w:iCs/>
                <w:sz w:val="20"/>
              </w:rPr>
            </w:r>
          </w:p>
          <w:p>
            <w:pPr>
              <w:pStyle w:val="Normal"/>
              <w:rPr>
                <w:rFonts w:ascii="Arial" w:hAnsi="Arial" w:cs="Arial"/>
                <w:i/>
                <w:i/>
                <w:iCs/>
                <w:sz w:val="20"/>
              </w:rPr>
            </w:pPr>
            <w:r>
              <w:rPr>
                <w:rFonts w:cs="Arial" w:ascii="Arial" w:hAnsi="Arial"/>
                <w:i/>
                <w:iCs/>
                <w:sz w:val="20"/>
              </w:rPr>
              <w:t>The project is financially long NYMEX in the amount of roughly 2,000 dth/day.</w:t>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As a consequence of over 2 bcf of capacity turn-back expected over the next two years, firm transportation rates on TCPL are expected to increase by 5.2% in 2002 and by 30% in 2003, which is reflected in the project valuation.  Since the partnership holds firm transportation through 2016, it is subject to price risk related to further increases on TCPL.</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t>Similarly, Transco recently filed for an increase in rates in excess of 50 percent, effective in late 2001.  ENA does not expect Transco to receive 100 percent of its requested increase as a part of this increase involves a higher rate of return than was recently approved for the pipeline and part involves rolled-in rate treatment for several expansion projects that were previously denied this treatment.  The project valuation reflects a 39.8 percent increase in rates in 2001.  Since the partnership holds firm transportation through 2016, it is subject to price risk related to further increases on Transco.</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sz w:val="20"/>
              </w:rPr>
              <w:t>This financial length is based on the operating assumptions underlying the project.  Hedging this would lock in the position based on one set of assumptions for operating conditions.  If actual operating assumptions differ the project has the potential of becoming longer or shorter NYMEX.  Given the relatively small size of this position, we are not recommending hedging this at this time.</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In the event of a default by a gas supplier, the project would be able to purchase gas at market-based prices.  A liquid market exists for spot gas at the receipt points of the associated transportation capacity and at the delivery point (Transco Zone 6), which would be accessible to the project.</w:t>
            </w:r>
          </w:p>
          <w:p>
            <w:pPr>
              <w:pStyle w:val="Normal"/>
              <w:jc w:val="both"/>
              <w:rPr>
                <w:rFonts w:ascii="Arial" w:hAnsi="Arial" w:cs="Arial"/>
                <w:color w:val="000000"/>
                <w:sz w:val="20"/>
              </w:rPr>
            </w:pPr>
            <w:r>
              <w:rPr>
                <w:rFonts w:cs="Arial" w:ascii="Arial" w:hAnsi="Arial"/>
                <w:color w:val="000000"/>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52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SENSITIVITY MATRIX</w:t>
      </w:r>
    </w:p>
    <w:p>
      <w:pPr>
        <w:pStyle w:val="Header"/>
        <w:widowControl/>
        <w:tabs>
          <w:tab w:val="clear" w:pos="4320"/>
          <w:tab w:val="clear" w:pos="8640"/>
        </w:tabs>
        <w:rPr>
          <w:rFonts w:ascii="Arial" w:hAnsi="Arial" w:cs="Arial"/>
        </w:rPr>
      </w:pPr>
      <w:r>
        <w:rPr>
          <w:rFonts w:cs="Arial" w:ascii="Arial" w:hAnsi="Arial"/>
        </w:rPr>
        <w:tab/>
        <w:tab/>
        <w:tab/>
        <w:tab/>
        <w:tab/>
      </w:r>
      <w:r>
        <w:rPr>
          <w:rFonts w:cs="Arial" w:ascii="Arial" w:hAnsi="Arial"/>
          <w:u w:val="single"/>
        </w:rPr>
        <w:t>Change</w:t>
        <w:tab/>
      </w:r>
      <w:r>
        <w:rPr>
          <w:rFonts w:cs="Arial" w:ascii="Arial" w:hAnsi="Arial"/>
        </w:rPr>
        <w:tab/>
        <w:tab/>
      </w:r>
      <w:r>
        <w:rPr>
          <w:rFonts w:cs="Arial" w:ascii="Arial" w:hAnsi="Arial"/>
          <w:u w:val="single"/>
        </w:rPr>
        <w:t>Impact to valuation</w:t>
      </w:r>
    </w:p>
    <w:p>
      <w:pPr>
        <w:pStyle w:val="Header"/>
        <w:widowControl/>
        <w:tabs>
          <w:tab w:val="clear" w:pos="4320"/>
          <w:tab w:val="clear" w:pos="8640"/>
        </w:tabs>
        <w:rPr>
          <w:rFonts w:ascii="Arial" w:hAnsi="Arial" w:cs="Arial"/>
        </w:rPr>
      </w:pPr>
      <w:r>
        <w:rPr>
          <w:rFonts w:cs="Arial" w:ascii="Arial" w:hAnsi="Arial"/>
        </w:rPr>
        <w:t>Discount Rate</w:t>
        <w:tab/>
        <w:tab/>
        <w:tab/>
        <w:tab/>
        <w:t>+ 50 bps</w:t>
        <w:tab/>
        <w:tab/>
        <w:t>-  $6.5MM</w:t>
      </w:r>
    </w:p>
    <w:p>
      <w:pPr>
        <w:pStyle w:val="Header"/>
        <w:widowControl/>
        <w:tabs>
          <w:tab w:val="clear" w:pos="4320"/>
          <w:tab w:val="clear" w:pos="8640"/>
        </w:tabs>
        <w:rPr>
          <w:rFonts w:ascii="Arial" w:hAnsi="Arial" w:cs="Arial"/>
        </w:rPr>
      </w:pPr>
      <w:r>
        <w:rPr>
          <w:rFonts w:cs="Arial" w:ascii="Arial" w:hAnsi="Arial"/>
        </w:rPr>
        <w:t>Commodity Prices (NYMEX)</w:t>
        <w:tab/>
        <w:tab/>
        <w:t>+ $ 0.25/MMBtu</w:t>
        <w:tab/>
        <w:tab/>
        <w:t>+ $2.6MM</w:t>
      </w:r>
    </w:p>
    <w:p>
      <w:pPr>
        <w:pStyle w:val="Header"/>
        <w:widowControl/>
        <w:tabs>
          <w:tab w:val="clear" w:pos="4320"/>
          <w:tab w:val="clear" w:pos="8640"/>
        </w:tabs>
        <w:rPr>
          <w:rFonts w:ascii="Arial" w:hAnsi="Arial" w:cs="Arial"/>
        </w:rPr>
      </w:pPr>
      <w:r>
        <w:rPr>
          <w:rFonts w:cs="Arial" w:ascii="Arial" w:hAnsi="Arial"/>
        </w:rPr>
        <w:t>Inflation (GDP/CPI)</w:t>
        <w:tab/>
        <w:tab/>
        <w:tab/>
        <w:t>+ 25 bps</w:t>
        <w:tab/>
        <w:tab/>
        <w:t>+ $2.5MM</w:t>
      </w:r>
    </w:p>
    <w:p>
      <w:pPr>
        <w:pStyle w:val="Header"/>
        <w:widowControl/>
        <w:tabs>
          <w:tab w:val="clear" w:pos="4320"/>
          <w:tab w:val="clear" w:pos="8640"/>
        </w:tabs>
        <w:rPr>
          <w:rFonts w:ascii="Arial" w:hAnsi="Arial" w:cs="Arial"/>
        </w:rPr>
      </w:pPr>
      <w:r>
        <w:rPr>
          <w:rFonts w:cs="Arial" w:ascii="Arial" w:hAnsi="Arial"/>
        </w:rPr>
      </w:r>
      <w:r>
        <w:br w:type="page"/>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Cs/>
          <w:sz w:val="20"/>
        </w:rPr>
      </w:pPr>
      <w:r>
        <w:rPr>
          <w:rFonts w:cs="Arial" w:ascii="Arial" w:hAnsi="Arial"/>
          <w:bCs/>
          <w:sz w:val="20"/>
        </w:rPr>
        <w:t>Concerns:</w:t>
      </w:r>
    </w:p>
    <w:p>
      <w:pPr>
        <w:pStyle w:val="Normal"/>
        <w:pBdr>
          <w:top w:val="single" w:sz="8" w:space="1" w:color="000000"/>
        </w:pBdr>
        <w:rPr>
          <w:rFonts w:ascii="Arial" w:hAnsi="Arial" w:cs="Arial"/>
          <w:bCs/>
          <w:sz w:val="20"/>
        </w:rPr>
      </w:pPr>
      <w:r>
        <w:rPr>
          <w:rFonts w:cs="Arial" w:ascii="Arial" w:hAnsi="Arial"/>
          <w:bCs/>
          <w:sz w:val="20"/>
        </w:rPr>
      </w:r>
    </w:p>
    <w:p>
      <w:pPr>
        <w:pStyle w:val="Normal"/>
        <w:pBdr>
          <w:top w:val="single" w:sz="8" w:space="1" w:color="000000"/>
        </w:pBdr>
        <w:rPr>
          <w:rFonts w:ascii="Arial" w:hAnsi="Arial" w:cs="Arial"/>
          <w:bCs/>
          <w:sz w:val="20"/>
        </w:rPr>
      </w:pPr>
      <w:r>
        <w:rPr>
          <w:rFonts w:cs="Arial" w:ascii="Arial" w:hAnsi="Arial"/>
          <w:bCs/>
          <w:sz w:val="20"/>
        </w:rPr>
        <w:t>Mission Credit Risk</w:t>
      </w:r>
    </w:p>
    <w:p>
      <w:pPr>
        <w:pStyle w:val="Normal"/>
        <w:pBdr>
          <w:top w:val="single" w:sz="8" w:space="1" w:color="000000"/>
        </w:pBdr>
        <w:rPr>
          <w:rFonts w:ascii="Arial" w:hAnsi="Arial" w:cs="Arial"/>
          <w:bCs/>
          <w:sz w:val="20"/>
        </w:rPr>
      </w:pPr>
      <w:r>
        <w:rPr>
          <w:rFonts w:cs="Arial" w:ascii="Arial" w:hAnsi="Arial"/>
          <w:bCs/>
          <w:sz w:val="20"/>
        </w:rPr>
        <w:tab/>
        <w:t>Credit</w:t>
      </w:r>
    </w:p>
    <w:p>
      <w:pPr>
        <w:pStyle w:val="Normal"/>
        <w:pBdr>
          <w:top w:val="single" w:sz="8" w:space="1" w:color="000000"/>
        </w:pBdr>
        <w:rPr>
          <w:rFonts w:ascii="Arial" w:hAnsi="Arial" w:cs="Arial"/>
          <w:bCs/>
          <w:sz w:val="20"/>
        </w:rPr>
      </w:pPr>
      <w:r>
        <w:rPr>
          <w:rFonts w:cs="Arial" w:ascii="Arial" w:hAnsi="Arial"/>
          <w:bCs/>
          <w:sz w:val="20"/>
        </w:rPr>
        <w:tab/>
        <w:t>Default/Cross-Default</w:t>
      </w:r>
    </w:p>
    <w:p>
      <w:pPr>
        <w:pStyle w:val="Normal"/>
        <w:pBdr>
          <w:top w:val="single" w:sz="8" w:space="1" w:color="000000"/>
        </w:pBdr>
        <w:rPr>
          <w:rFonts w:ascii="Arial" w:hAnsi="Arial" w:cs="Arial"/>
          <w:bCs/>
          <w:sz w:val="20"/>
        </w:rPr>
      </w:pPr>
      <w:r>
        <w:rPr>
          <w:rFonts w:cs="Arial" w:ascii="Arial" w:hAnsi="Arial"/>
          <w:bCs/>
          <w:sz w:val="20"/>
        </w:rPr>
        <w:t>York</w:t>
      </w:r>
    </w:p>
    <w:p>
      <w:pPr>
        <w:pStyle w:val="Normal"/>
        <w:pBdr>
          <w:top w:val="single" w:sz="8" w:space="1" w:color="000000"/>
        </w:pBdr>
        <w:rPr>
          <w:rFonts w:ascii="Arial" w:hAnsi="Arial" w:cs="Arial"/>
          <w:bCs/>
          <w:sz w:val="20"/>
        </w:rPr>
      </w:pPr>
      <w:r>
        <w:rPr>
          <w:rFonts w:cs="Arial" w:ascii="Arial" w:hAnsi="Arial"/>
          <w:bCs/>
          <w:sz w:val="20"/>
        </w:rPr>
        <w:tab/>
        <w:t>Control</w:t>
      </w:r>
    </w:p>
    <w:p>
      <w:pPr>
        <w:pStyle w:val="Normal"/>
        <w:pBdr>
          <w:top w:val="single" w:sz="8" w:space="1" w:color="000000"/>
        </w:pBdr>
        <w:rPr>
          <w:rFonts w:ascii="Arial" w:hAnsi="Arial" w:cs="Arial"/>
          <w:bCs/>
          <w:sz w:val="20"/>
        </w:rPr>
      </w:pPr>
      <w:r>
        <w:rPr>
          <w:rFonts w:cs="Arial" w:ascii="Arial" w:hAnsi="Arial"/>
          <w:bCs/>
          <w:sz w:val="20"/>
        </w:rPr>
        <w:tab/>
        <w:t>Economic Incentives</w:t>
      </w:r>
    </w:p>
    <w:p>
      <w:pPr>
        <w:pStyle w:val="Normal"/>
        <w:pBdr>
          <w:top w:val="single" w:sz="8" w:space="1" w:color="000000"/>
        </w:pBdr>
        <w:rPr>
          <w:rFonts w:ascii="Arial" w:hAnsi="Arial" w:cs="Arial"/>
          <w:bCs/>
          <w:sz w:val="20"/>
        </w:rPr>
      </w:pPr>
      <w:r>
        <w:rPr>
          <w:rFonts w:cs="Arial" w:ascii="Arial" w:hAnsi="Arial"/>
          <w:bCs/>
          <w:sz w:val="20"/>
        </w:rPr>
        <w:t>Expansion</w:t>
      </w:r>
    </w:p>
    <w:p>
      <w:pPr>
        <w:pStyle w:val="Normal"/>
        <w:pBdr>
          <w:top w:val="single" w:sz="8" w:space="1" w:color="000000"/>
        </w:pBdr>
        <w:rPr>
          <w:rFonts w:ascii="Arial" w:hAnsi="Arial" w:cs="Arial"/>
          <w:bCs/>
          <w:sz w:val="20"/>
        </w:rPr>
      </w:pPr>
      <w:r>
        <w:rPr>
          <w:rFonts w:cs="Arial" w:ascii="Arial" w:hAnsi="Arial"/>
          <w:bCs/>
          <w:sz w:val="20"/>
        </w:rPr>
        <w:tab/>
        <w:t>Permits</w:t>
      </w:r>
    </w:p>
    <w:p>
      <w:pPr>
        <w:pStyle w:val="Normal"/>
        <w:pBdr>
          <w:top w:val="single" w:sz="8" w:space="1" w:color="000000"/>
        </w:pBdr>
        <w:rPr>
          <w:rFonts w:ascii="Arial" w:hAnsi="Arial" w:cs="Arial"/>
          <w:bCs/>
          <w:sz w:val="20"/>
        </w:rPr>
      </w:pPr>
      <w:r>
        <w:rPr>
          <w:rFonts w:cs="Arial" w:ascii="Arial" w:hAnsi="Arial"/>
          <w:bCs/>
          <w:sz w:val="20"/>
        </w:rPr>
        <w:tab/>
        <w:t>Easements</w:t>
      </w:r>
    </w:p>
    <w:p>
      <w:pPr>
        <w:pStyle w:val="BodyText"/>
        <w:rPr/>
      </w:pPr>
      <w:r>
        <w:rPr/>
        <w:t xml:space="preserve">Enron EAE has assigned approximately </w:t>
      </w:r>
      <w:r>
        <w:rPr>
          <w:b/>
          <w:bCs/>
          <w:i/>
          <w:iCs/>
        </w:rPr>
        <w:t>$12MM</w:t>
      </w:r>
      <w:r>
        <w:rPr/>
        <w:t xml:space="preserve"> of additional value related to the aforementioned transaction upsides into its bid price.  Whether or not value can be extracted from these possibilities will depend upon the status of the power market into which the project would operate.  RAC has placed a 10% liquidity discount on all cashflows occurring after the anticipated exit date in the middle of 2003.  This represents transactions costs and potential frustration / uncertainty associated with the timing of sale and the status of York as a partner in the investment.  In the event that Enron is able to purchase York’s interest, the corresponding piece of the liquidity discount would be removed from further revaluations of the value of our ownership.  The assumed exit in 2003 creates an investment profile with a relatively short duration.  This results in a capital price of 10.19% that would need to be adjusted upwards if it was anticipated that Enron would not be able to exit before 6/30/2003.  The sensitivity to exit timing is at a noticeable level and would affect the returns negatively by approximately $7MM if the exit date were moved out to 12/31/2006.  Interest rate sensitivity is also a large driver of value and would affect the project negatively by $13MM if rates were to move upwards by 100 basis points.</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numPr>
          <w:ilvl w:val="0"/>
          <w:numId w:val="5"/>
        </w:numPr>
        <w:rPr>
          <w:rFonts w:ascii="Arial" w:hAnsi="Arial" w:cs="Arial"/>
          <w:sz w:val="20"/>
        </w:rPr>
      </w:pPr>
      <w:r>
        <w:rPr>
          <w:rFonts w:cs="Arial" w:ascii="Arial" w:hAnsi="Arial"/>
          <w:sz w:val="20"/>
        </w:rPr>
        <w:t>Completion of ALTA survey on project</w:t>
      </w:r>
    </w:p>
    <w:p>
      <w:pPr>
        <w:pStyle w:val="Normal"/>
        <w:numPr>
          <w:ilvl w:val="0"/>
          <w:numId w:val="5"/>
        </w:numPr>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rPr>
          <w:rFonts w:ascii="Arial" w:hAnsi="Arial" w:cs="Arial"/>
          <w:b/>
          <w:sz w:val="20"/>
        </w:rPr>
      </w:pPr>
      <w:r>
        <w:rPr>
          <w:rFonts w:cs="Arial" w:ascii="Arial" w:hAnsi="Arial"/>
          <w:b/>
          <w:sz w:val="20"/>
        </w:rPr>
      </w:r>
    </w:p>
    <w:p>
      <w:pPr>
        <w:pStyle w:val="Normal"/>
        <w:numPr>
          <w:ilvl w:val="0"/>
          <w:numId w:val="4"/>
        </w:numPr>
        <w:rPr>
          <w:rFonts w:ascii="Arial" w:hAnsi="Arial" w:cs="Arial"/>
          <w:sz w:val="20"/>
        </w:rPr>
      </w:pPr>
      <w:r>
        <w:rPr>
          <w:rFonts w:cs="Arial" w:ascii="Arial" w:hAnsi="Arial"/>
          <w:sz w:val="20"/>
        </w:rPr>
        <w:t>Update on PMNC litigation</w:t>
        <w:tab/>
        <w:tab/>
        <w:tab/>
        <w:t>03/31/02 and quarterly</w:t>
      </w:r>
    </w:p>
    <w:p>
      <w:pPr>
        <w:pStyle w:val="Normal"/>
        <w:numPr>
          <w:ilvl w:val="0"/>
          <w:numId w:val="4"/>
        </w:numPr>
        <w:rPr>
          <w:rFonts w:ascii="Arial" w:hAnsi="Arial" w:cs="Arial"/>
          <w:sz w:val="20"/>
        </w:rPr>
      </w:pPr>
      <w:r>
        <w:rPr>
          <w:rFonts w:cs="Arial" w:ascii="Arial" w:hAnsi="Arial"/>
          <w:sz w:val="20"/>
        </w:rPr>
        <w:t>Realization of transaction upsides</w:t>
        <w:tab/>
        <w:tab/>
        <w:t>12/31/01</w:t>
      </w:r>
    </w:p>
    <w:p>
      <w:pPr>
        <w:pStyle w:val="Normal"/>
        <w:ind w:firstLine="360" w:end="0"/>
        <w:rPr>
          <w:rFonts w:ascii="Arial" w:hAnsi="Arial" w:cs="Arial"/>
          <w:sz w:val="20"/>
        </w:rPr>
      </w:pPr>
      <w:r>
        <w:rPr>
          <w:rFonts w:cs="Arial" w:ascii="Arial" w:hAnsi="Arial"/>
          <w:sz w:val="20"/>
        </w:rPr>
        <w:t>3.   Sale of project</w:t>
        <w:tab/>
        <w:tab/>
        <w:tab/>
        <w:tab/>
        <w:tab/>
        <w:t>06/30/03</w:t>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bottom w:val="single" w:sz="6"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EAE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David Marks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David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Tech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Stephen Douglas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8"/>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8"/>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8"/>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6"/>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numPr>
          <w:ilvl w:val="0"/>
          <w:numId w:val="9"/>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7"/>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DASH_Dodger_072701rac.doc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ind w:hanging="0" w:start="0" w:end="-36"/>
      <w:outlineLvl w:val="6"/>
    </w:pPr>
    <w:rPr>
      <w:rFonts w:ascii="Arial" w:hAnsi="Arial" w:cs="Arial"/>
      <w:b/>
      <w:b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tabs>
        <w:tab w:val="left" w:pos="720" w:leader="none"/>
        <w:tab w:val="center" w:pos="3600" w:leader="none"/>
        <w:tab w:val="center" w:pos="5040" w:leader="none"/>
        <w:tab w:val="center" w:pos="6480" w:leader="none"/>
        <w:tab w:val="center" w:pos="7920" w:leader="none"/>
      </w:tabs>
      <w:jc w:val="both"/>
    </w:pPr>
    <w:rPr>
      <w:rFonts w:ascii="Arial" w:hAnsi="Arial" w:cs="Arial"/>
      <w:sz w:val="20"/>
    </w:rPr>
  </w:style>
  <w:style w:type="paragraph" w:styleId="BodyText3">
    <w:name w:val="Body Text 3"/>
    <w:basedOn w:val="Normal"/>
    <w:qFormat/>
    <w:pPr/>
    <w:rPr>
      <w:rFonts w:ascii="Arial" w:hAnsi="Arial" w:cs="Arial"/>
      <w:sz w:val="16"/>
    </w:rPr>
  </w:style>
  <w:style w:type="paragraph" w:styleId="BodyTextIndent3">
    <w:name w:val="Body Text Indent 3"/>
    <w:basedOn w:val="Normal"/>
    <w:qFormat/>
    <w:pPr>
      <w:ind w:hanging="0" w:start="720" w:end="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2001-07-27T10:41:00Z</dcterms:created>
  <dc:creator>kjolly</dc:creator>
  <dc:description>V3.3
Updated to add filename to headers
</dc:description>
  <dc:language>en-CA</dc:language>
  <cp:lastModifiedBy>cschneid</cp:lastModifiedBy>
  <cp:lastPrinted>2001-07-17T15:45:00Z</cp:lastPrinted>
  <dcterms:modified xsi:type="dcterms:W3CDTF">2001-07-27T10:56:00Z</dcterms:modified>
  <cp:revision>6</cp:revision>
  <dc:subject/>
  <dc:title>ENRON RISK ASSESSMENT AND CONTROL</dc:title>
</cp:coreProperties>
</file>