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5112" w:leader="none"/>
          <w:tab w:val="left" w:pos="9210" w:leader="none"/>
          <w:tab w:val="left" w:pos="9480" w:leader="none"/>
        </w:tabs>
        <w:jc w:val="start"/>
        <w:rPr/>
      </w:pPr>
      <w:r>
        <w:rPr/>
        <w:tab/>
      </w:r>
    </w:p>
    <w:p>
      <w:pPr>
        <w:pStyle w:val="Heading"/>
        <w:tabs>
          <w:tab w:val="clear" w:pos="720"/>
          <w:tab w:val="center" w:pos="5112" w:leader="none"/>
          <w:tab w:val="left" w:pos="9210" w:leader="none"/>
          <w:tab w:val="left" w:pos="9480" w:leader="none"/>
        </w:tabs>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Project Dodger</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Edison Mission Energy</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listEntry w:val="Enron Investment Partners"/>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David Marks</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July 12,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Brown / Vegalara / Soo</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July 20,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August 10,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4"/>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4"/>
            <w:bookmarkStart w:id="23" w:name="Check4"/>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0"/>
                    <w:listEntry w:val="Pending     "/>
                    <w:listEntry w:val="SELECT BOARD APPROVAL STATUS"/>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125,000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b/>
                <w:bCs/>
                <w:sz w:val="20"/>
              </w:rPr>
            </w:pPr>
            <w:r>
              <w:rPr>
                <w:rFonts w:cs="Arial" w:ascii="Arial" w:hAnsi="Arial"/>
                <w:b/>
                <w:bCs/>
                <w:sz w:val="20"/>
              </w:rPr>
              <w:t>TOTAL</w:t>
            </w:r>
          </w:p>
        </w:tc>
        <w:tc>
          <w:tcPr>
            <w:tcW w:w="1332" w:type="dxa"/>
            <w:tcBorders>
              <w:top w:val="single" w:sz="4" w:space="0" w:color="000000"/>
            </w:tcBorders>
          </w:tcPr>
          <w:p>
            <w:pPr>
              <w:pStyle w:val="Normal"/>
              <w:ind w:end="-36"/>
              <w:jc w:val="end"/>
              <w:rPr>
                <w:rFonts w:ascii="Arial" w:hAnsi="Arial" w:cs="Arial"/>
                <w:b/>
                <w:bCs/>
                <w:sz w:val="20"/>
              </w:rPr>
            </w:pPr>
            <w:r>
              <w:rPr>
                <w:rFonts w:cs="Arial" w:ascii="Arial" w:hAnsi="Arial"/>
                <w:b/>
                <w:bCs/>
                <w:sz w:val="20"/>
              </w:rPr>
              <w:t>$125,000</w:t>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125,000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b/>
                <w:bCs/>
                <w:sz w:val="20"/>
              </w:rPr>
            </w:pPr>
            <w:r>
              <w:rPr>
                <w:rFonts w:cs="Arial" w:ascii="Arial" w:hAnsi="Arial"/>
                <w:b/>
                <w:bCs/>
                <w:sz w:val="20"/>
              </w:rPr>
              <w:t>TOTAL</w:t>
            </w:r>
          </w:p>
        </w:tc>
        <w:tc>
          <w:tcPr>
            <w:tcW w:w="1332" w:type="dxa"/>
            <w:tcBorders>
              <w:top w:val="single" w:sz="4" w:space="0" w:color="000000"/>
            </w:tcBorders>
          </w:tcPr>
          <w:p>
            <w:pPr>
              <w:pStyle w:val="Normal"/>
              <w:ind w:end="-36"/>
              <w:jc w:val="end"/>
              <w:rPr>
                <w:rFonts w:ascii="Arial" w:hAnsi="Arial" w:cs="Arial"/>
                <w:b/>
                <w:bCs/>
                <w:sz w:val="20"/>
              </w:rPr>
            </w:pPr>
            <w:r>
              <w:rPr>
                <w:rFonts w:cs="Arial" w:ascii="Arial" w:hAnsi="Arial"/>
                <w:b/>
                <w:bCs/>
                <w:sz w:val="20"/>
              </w:rPr>
              <w:t>$125,000</w:t>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rPr>
      </w:pPr>
      <w:r>
        <w:rPr>
          <w:rFonts w:cs="Arial" w:ascii="Arial" w:hAnsi="Arial"/>
          <w:i/>
        </w:rPr>
      </w:r>
    </w:p>
    <w:p>
      <w:pPr>
        <w:pStyle w:val="Normal"/>
        <w:jc w:val="both"/>
        <w:rPr>
          <w:rFonts w:ascii="Arial" w:hAnsi="Arial" w:cs="Arial"/>
          <w:sz w:val="20"/>
        </w:rPr>
      </w:pPr>
      <w:r>
        <w:rPr>
          <w:rFonts w:cs="Arial" w:ascii="Arial" w:hAnsi="Arial"/>
          <w:sz w:val="20"/>
        </w:rPr>
        <w:t>Americas Northeast Power (“Americas”), through its designee, proposes to acquire from Edision Mission Energy (“EME”) all of the stock in Mission Energy of New York, Inc. (“MENY”).  MENY owns a 5% managing GP interest and a 45% LP interest in the Brooklyn Navy Yard Cogeneration Partnership (“BNYCP”) and a subordinated note to BNYCP (balance as of March 31, 2001 was $110MM.  Credit Suisse First Boston is the agent representing EME.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Americas submitted an indicative bid on March 27 and a final bid on June 22, subject to ENE board approval and further specific due diligence, for the acquisition of the above referenced interest in BNYCP.  If Americas is successful in its bid efforts, documentation for the transaction will be finalized with financial closing to follow on or prior to August 10, 2001.</w:t>
      </w:r>
    </w:p>
    <w:p>
      <w:pPr>
        <w:pStyle w:val="Normal"/>
        <w:rPr>
          <w:rFonts w:ascii="Arial" w:hAnsi="Arial" w:cs="Arial"/>
          <w:sz w:val="20"/>
        </w:rPr>
      </w:pPr>
      <w:r>
        <w:rPr>
          <w:rFonts w:cs="Arial" w:ascii="Arial" w:hAnsi="Arial"/>
          <w:sz w:val="20"/>
        </w:rPr>
      </w:r>
    </w:p>
    <w:p>
      <w:pPr>
        <w:pStyle w:val="BodyText2"/>
        <w:rPr/>
      </w:pPr>
      <w:r>
        <w:rPr/>
        <w:t>The Brooklyn Navy Yard Cogeneration Partnership (BNYCP) owns and operates a 286 MW gas fired cogeneration plant located in Brooklyn, NY.  The project presently maintains dual status as a QF under the Public Utilities Regulatory Act of 1978 (“PURPA”) and as an Exempt Wholesale Generator (“EWG”).  BNYCP supplies electricity and steam under existing Energy Sales Agreements (“ESAs”) that fully commit the generation capacity of the entire unit.  The agreements have termination dates in year 2036, with Consolidated Edison (Moody’s A1) and the thermal host Brooklyn Navy Yard Development Corporation (“BNYDC”).</w:t>
      </w:r>
    </w:p>
    <w:p>
      <w:pPr>
        <w:pStyle w:val="Normal"/>
        <w:tabs>
          <w:tab w:val="left" w:pos="720" w:leader="none"/>
          <w:tab w:val="center" w:pos="3600" w:leader="none"/>
          <w:tab w:val="center" w:pos="5040" w:leader="none"/>
          <w:tab w:val="center" w:pos="6480" w:leader="none"/>
          <w:tab w:val="center" w:pos="7920" w:leader="none"/>
        </w:tabs>
        <w:rPr>
          <w:rFonts w:ascii="Arial" w:hAnsi="Arial" w:cs="Arial"/>
          <w:sz w:val="20"/>
        </w:rPr>
      </w:pPr>
      <w:r>
        <w:rPr>
          <w:rFonts w:cs="Arial" w:ascii="Arial" w:hAnsi="Arial"/>
          <w:sz w:val="20"/>
        </w:rPr>
      </w:r>
    </w:p>
    <w:p>
      <w:pPr>
        <w:pStyle w:val="Normal"/>
        <w:tabs>
          <w:tab w:val="left" w:pos="720" w:leader="none"/>
          <w:tab w:val="center" w:pos="3600" w:leader="none"/>
          <w:tab w:val="center" w:pos="5040" w:leader="none"/>
          <w:tab w:val="center" w:pos="6480" w:leader="none"/>
          <w:tab w:val="center" w:pos="7920" w:leader="none"/>
        </w:tabs>
        <w:jc w:val="both"/>
        <w:rPr>
          <w:rFonts w:ascii="Arial" w:hAnsi="Arial" w:cs="Arial"/>
          <w:sz w:val="20"/>
        </w:rPr>
      </w:pPr>
      <w:r>
        <w:rPr>
          <w:rFonts w:cs="Arial" w:ascii="Arial" w:hAnsi="Arial"/>
          <w:sz w:val="20"/>
        </w:rPr>
        <w:t>An off-balance sheet structure will be initially utilized for ownership purposes.</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9882" w:type="dxa"/>
        <w:jc w:val="start"/>
        <w:tblInd w:w="378" w:type="dxa"/>
        <w:tblLayout w:type="fixed"/>
        <w:tblCellMar>
          <w:top w:w="0" w:type="dxa"/>
          <w:start w:w="108" w:type="dxa"/>
          <w:bottom w:w="0" w:type="dxa"/>
          <w:end w:w="108" w:type="dxa"/>
        </w:tblCellMar>
      </w:tblPr>
      <w:tblGrid>
        <w:gridCol w:w="3510"/>
        <w:gridCol w:w="1080"/>
        <w:gridCol w:w="540"/>
        <w:gridCol w:w="3600"/>
        <w:gridCol w:w="1152"/>
      </w:tblGrid>
      <w:tr>
        <w:trPr/>
        <w:tc>
          <w:tcPr>
            <w:tcW w:w="351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jc w:val="end"/>
              <w:rPr>
                <w:rFonts w:ascii="Arial" w:hAnsi="Arial" w:cs="Arial"/>
                <w:sz w:val="20"/>
                <w:u w:val="single"/>
              </w:rPr>
            </w:pPr>
            <w:r>
              <w:rPr>
                <w:rFonts w:cs="Arial" w:ascii="Arial" w:hAnsi="Arial"/>
                <w:sz w:val="20"/>
                <w:u w:val="single"/>
              </w:rPr>
              <w:t>Sources</w:t>
            </w:r>
          </w:p>
        </w:tc>
        <w:tc>
          <w:tcPr>
            <w:tcW w:w="540" w:type="dxa"/>
            <w:tcBorders/>
          </w:tcPr>
          <w:p>
            <w:pPr>
              <w:pStyle w:val="Normal"/>
              <w:snapToGrid w:val="false"/>
              <w:jc w:val="end"/>
              <w:rPr>
                <w:rFonts w:ascii="Arial" w:hAnsi="Arial" w:cs="Arial"/>
                <w:sz w:val="20"/>
                <w:u w:val="single"/>
              </w:rPr>
            </w:pPr>
            <w:r>
              <w:rPr>
                <w:rFonts w:cs="Arial" w:ascii="Arial" w:hAnsi="Arial"/>
                <w:sz w:val="20"/>
                <w:u w:val="single"/>
              </w:rPr>
            </w:r>
          </w:p>
        </w:tc>
        <w:tc>
          <w:tcPr>
            <w:tcW w:w="3600" w:type="dxa"/>
            <w:tcBorders/>
          </w:tcPr>
          <w:p>
            <w:pPr>
              <w:pStyle w:val="Normal"/>
              <w:snapToGrid w:val="false"/>
              <w:jc w:val="end"/>
              <w:rPr>
                <w:rFonts w:ascii="Arial" w:hAnsi="Arial" w:cs="Arial"/>
                <w:sz w:val="20"/>
                <w:u w:val="single"/>
              </w:rPr>
            </w:pPr>
            <w:r>
              <w:rPr>
                <w:rFonts w:cs="Arial" w:ascii="Arial" w:hAnsi="Arial"/>
                <w:sz w:val="20"/>
                <w:u w:val="single"/>
              </w:rPr>
            </w:r>
          </w:p>
        </w:tc>
        <w:tc>
          <w:tcPr>
            <w:tcW w:w="1152" w:type="dxa"/>
            <w:tcBorders/>
          </w:tcPr>
          <w:p>
            <w:pPr>
              <w:pStyle w:val="Normal"/>
              <w:jc w:val="end"/>
              <w:rPr>
                <w:rFonts w:ascii="Arial" w:hAnsi="Arial" w:cs="Arial"/>
                <w:sz w:val="20"/>
                <w:u w:val="single"/>
              </w:rPr>
            </w:pPr>
            <w:r>
              <w:rPr>
                <w:rFonts w:cs="Arial" w:ascii="Arial" w:hAnsi="Arial"/>
                <w:sz w:val="20"/>
                <w:u w:val="single"/>
              </w:rPr>
              <w:t>Uses</w:t>
            </w:r>
          </w:p>
        </w:tc>
      </w:tr>
      <w:tr>
        <w:trPr/>
        <w:tc>
          <w:tcPr>
            <w:tcW w:w="3510" w:type="dxa"/>
            <w:tcBorders/>
          </w:tcPr>
          <w:p>
            <w:pPr>
              <w:pStyle w:val="Normal"/>
              <w:snapToGrid w:val="false"/>
              <w:rPr>
                <w:rFonts w:ascii="Arial" w:hAnsi="Arial" w:cs="Arial"/>
                <w:sz w:val="20"/>
                <w:u w:val="single"/>
              </w:rPr>
            </w:pPr>
            <w:r>
              <w:rPr>
                <w:rFonts w:cs="Arial" w:ascii="Arial" w:hAnsi="Arial"/>
                <w:sz w:val="20"/>
                <w:u w:val="single"/>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152"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rPr>
                <w:rFonts w:ascii="Arial" w:hAnsi="Arial" w:cs="Arial"/>
              </w:rPr>
            </w:pPr>
            <w:r>
              <w:rPr>
                <w:rFonts w:cs="Arial" w:ascii="Arial" w:hAnsi="Arial"/>
              </w:rPr>
              <w:t>Off-Balance Sheet Equity</w:t>
            </w:r>
          </w:p>
        </w:tc>
        <w:tc>
          <w:tcPr>
            <w:tcW w:w="1080" w:type="dxa"/>
            <w:tcBorders/>
          </w:tcPr>
          <w:p>
            <w:pPr>
              <w:pStyle w:val="Normal"/>
              <w:jc w:val="end"/>
              <w:rPr>
                <w:rFonts w:ascii="Arial" w:hAnsi="Arial" w:cs="Arial"/>
                <w:sz w:val="20"/>
              </w:rPr>
            </w:pPr>
            <w:r>
              <w:rPr>
                <w:rFonts w:cs="Arial" w:ascii="Arial" w:hAnsi="Arial"/>
                <w:sz w:val="20"/>
              </w:rPr>
              <w:t>$125,000</w:t>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rPr>
            </w:pPr>
            <w:r>
              <w:rPr>
                <w:rFonts w:cs="Arial" w:ascii="Arial" w:hAnsi="Arial"/>
              </w:rPr>
              <w:t>50% Interest and Subordinated Note (Base Value)</w:t>
            </w:r>
          </w:p>
        </w:tc>
        <w:tc>
          <w:tcPr>
            <w:tcW w:w="1152" w:type="dxa"/>
            <w:tcBorders/>
          </w:tcPr>
          <w:p>
            <w:pPr>
              <w:pStyle w:val="Normal"/>
              <w:jc w:val="end"/>
              <w:rPr>
                <w:rFonts w:ascii="Arial" w:hAnsi="Arial" w:cs="Arial"/>
                <w:sz w:val="20"/>
              </w:rPr>
            </w:pPr>
            <w:r>
              <w:rPr>
                <w:rFonts w:cs="Arial" w:ascii="Arial" w:hAnsi="Arial"/>
                <w:sz w:val="20"/>
              </w:rPr>
              <w:t>$112,929</w:t>
            </w:r>
          </w:p>
        </w:tc>
      </w:tr>
      <w:tr>
        <w:trPr/>
        <w:tc>
          <w:tcPr>
            <w:tcW w:w="35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rPr>
            </w:pPr>
            <w:r>
              <w:rPr>
                <w:rFonts w:cs="Arial" w:ascii="Arial" w:hAnsi="Arial"/>
              </w:rPr>
              <w:t>Option Premium(facility upgrades) *</w:t>
            </w:r>
          </w:p>
        </w:tc>
        <w:tc>
          <w:tcPr>
            <w:tcW w:w="1152" w:type="dxa"/>
            <w:tcBorders/>
          </w:tcPr>
          <w:p>
            <w:pPr>
              <w:pStyle w:val="Normal"/>
              <w:jc w:val="end"/>
              <w:rPr>
                <w:rFonts w:ascii="Arial" w:hAnsi="Arial" w:cs="Arial"/>
                <w:sz w:val="20"/>
              </w:rPr>
            </w:pPr>
            <w:r>
              <w:rPr>
                <w:rFonts w:cs="Arial" w:ascii="Arial" w:hAnsi="Arial"/>
                <w:sz w:val="20"/>
              </w:rPr>
              <w:t>12,071</w:t>
            </w:r>
          </w:p>
        </w:tc>
      </w:tr>
      <w:tr>
        <w:trPr/>
        <w:tc>
          <w:tcPr>
            <w:tcW w:w="35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152"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Normal"/>
              <w:rPr>
                <w:rFonts w:ascii="Arial" w:hAnsi="Arial" w:cs="Arial"/>
                <w:sz w:val="20"/>
              </w:rPr>
            </w:pPr>
            <w:r>
              <w:rPr>
                <w:rFonts w:cs="Arial" w:ascii="Arial" w:hAnsi="Arial"/>
                <w:sz w:val="20"/>
              </w:rPr>
              <w:t>Total</w:t>
            </w:r>
          </w:p>
        </w:tc>
        <w:tc>
          <w:tcPr>
            <w:tcW w:w="1080" w:type="dxa"/>
            <w:tcBorders>
              <w:top w:val="single" w:sz="6" w:space="0" w:color="000000"/>
            </w:tcBorders>
          </w:tcPr>
          <w:p>
            <w:pPr>
              <w:pStyle w:val="Normal"/>
              <w:jc w:val="end"/>
              <w:rPr>
                <w:rFonts w:ascii="Arial" w:hAnsi="Arial" w:cs="Arial"/>
                <w:sz w:val="20"/>
              </w:rPr>
            </w:pPr>
            <w:r>
              <w:rPr>
                <w:rFonts w:cs="Arial" w:ascii="Arial" w:hAnsi="Arial"/>
                <w:sz w:val="20"/>
              </w:rPr>
              <w:t>$125,000</w:t>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Normal"/>
              <w:snapToGrid w:val="false"/>
              <w:jc w:val="end"/>
              <w:rPr>
                <w:rFonts w:ascii="Arial" w:hAnsi="Arial" w:cs="Arial"/>
                <w:sz w:val="20"/>
              </w:rPr>
            </w:pPr>
            <w:r>
              <w:rPr>
                <w:rFonts w:cs="Arial" w:ascii="Arial" w:hAnsi="Arial"/>
                <w:sz w:val="20"/>
              </w:rPr>
            </w:r>
          </w:p>
        </w:tc>
        <w:tc>
          <w:tcPr>
            <w:tcW w:w="1152" w:type="dxa"/>
            <w:tcBorders>
              <w:top w:val="single" w:sz="6" w:space="0" w:color="000000"/>
            </w:tcBorders>
          </w:tcPr>
          <w:p>
            <w:pPr>
              <w:pStyle w:val="Normal"/>
              <w:jc w:val="end"/>
              <w:rPr>
                <w:rFonts w:ascii="Arial" w:hAnsi="Arial" w:cs="Arial"/>
                <w:sz w:val="20"/>
              </w:rPr>
            </w:pPr>
            <w:r>
              <w:rPr>
                <w:rFonts w:cs="Arial" w:ascii="Arial" w:hAnsi="Arial"/>
                <w:sz w:val="20"/>
              </w:rPr>
              <w:t>$125,000</w:t>
            </w:r>
          </w:p>
        </w:tc>
      </w:tr>
    </w:tbl>
    <w:p>
      <w:pPr>
        <w:pStyle w:val="Normal"/>
        <w:pBdr>
          <w:bottom w:val="single" w:sz="8" w:space="1" w:color="000000"/>
        </w:pBdr>
        <w:rPr>
          <w:rFonts w:ascii="Arial" w:hAnsi="Arial" w:cs="Arial"/>
          <w:sz w:val="20"/>
        </w:rPr>
      </w:pPr>
      <w:r>
        <w:rPr>
          <w:rFonts w:cs="Arial" w:ascii="Arial" w:hAnsi="Arial"/>
          <w:sz w:val="20"/>
        </w:rPr>
      </w:r>
    </w:p>
    <w:p>
      <w:pPr>
        <w:pStyle w:val="Normal"/>
        <w:pBdr>
          <w:bottom w:val="single" w:sz="8" w:space="1" w:color="000000"/>
        </w:pBdr>
        <w:rPr>
          <w:rFonts w:ascii="Arial" w:hAnsi="Arial" w:cs="Arial"/>
          <w:sz w:val="20"/>
        </w:rPr>
      </w:pPr>
      <w:r>
        <w:rPr>
          <w:rFonts w:cs="Arial" w:ascii="Arial" w:hAnsi="Arial"/>
          <w:sz w:val="20"/>
        </w:rPr>
      </w:r>
      <w:r>
        <w:br w:type="page"/>
      </w:r>
    </w:p>
    <w:p>
      <w:pPr>
        <w:pStyle w:val="Normal"/>
        <w:pBdr>
          <w:bottom w:val="single" w:sz="8" w:space="1" w:color="000000"/>
        </w:pBdr>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bCs/>
                <w:iCs/>
                <w:sz w:val="20"/>
              </w:rPr>
            </w:pPr>
            <w:r>
              <w:rPr>
                <w:rFonts w:cs="Arial" w:ascii="Arial" w:hAnsi="Arial"/>
                <w:b/>
                <w:bCs/>
                <w:iCs/>
                <w:sz w:val="20"/>
              </w:rPr>
              <w:t>RETURN SUMMARY</w:t>
            </w:r>
          </w:p>
        </w:tc>
        <w:tc>
          <w:tcPr>
            <w:tcW w:w="4414" w:type="dxa"/>
            <w:tcBorders/>
          </w:tcPr>
          <w:p>
            <w:pPr>
              <w:pStyle w:val="Normal"/>
              <w:jc w:val="end"/>
              <w:rPr>
                <w:rFonts w:ascii="Arial" w:hAnsi="Arial" w:cs="Arial"/>
                <w:sz w:val="20"/>
              </w:rPr>
            </w:pPr>
            <w:r>
              <w:rPr>
                <w:rFonts w:cs="Arial" w:ascii="Arial" w:hAnsi="Arial"/>
                <w:sz w:val="20"/>
              </w:rPr>
              <w:t>Levered</w:t>
            </w:r>
          </w:p>
        </w:tc>
      </w:tr>
    </w:tbl>
    <w:p>
      <w:pPr>
        <w:pStyle w:val="Normal"/>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3060"/>
        <w:gridCol w:w="990"/>
      </w:tblGrid>
      <w:tr>
        <w:trPr>
          <w:trHeight w:val="360" w:hRule="atLeast"/>
        </w:trPr>
        <w:tc>
          <w:tcPr>
            <w:tcW w:w="2160" w:type="dxa"/>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Return Components:</w:t>
            </w:r>
          </w:p>
        </w:tc>
        <w:tc>
          <w:tcPr>
            <w:tcW w:w="1260" w:type="dxa"/>
            <w:tcBorders/>
          </w:tcPr>
          <w:p>
            <w:pPr>
              <w:pStyle w:val="Normal"/>
              <w:ind w:end="-63"/>
              <w:jc w:val="center"/>
              <w:rPr>
                <w:rFonts w:ascii="Arial" w:hAnsi="Arial" w:cs="Arial"/>
                <w:sz w:val="19"/>
              </w:rPr>
            </w:pPr>
            <w:r>
              <w:rPr>
                <w:rFonts w:cs="Arial" w:ascii="Arial" w:hAnsi="Arial"/>
                <w:sz w:val="19"/>
              </w:rPr>
              <w:t>PV @</w:t>
            </w:r>
          </w:p>
          <w:p>
            <w:pPr>
              <w:pStyle w:val="Normal"/>
              <w:ind w:end="-63"/>
              <w:jc w:val="center"/>
              <w:rPr>
                <w:rFonts w:ascii="Arial" w:hAnsi="Arial" w:cs="Arial"/>
                <w:sz w:val="20"/>
                <w:u w:val="single"/>
              </w:rPr>
            </w:pPr>
            <w:r>
              <w:rPr>
                <w:rFonts w:cs="Arial" w:ascii="Arial" w:hAnsi="Arial"/>
                <w:sz w:val="19"/>
                <w:u w:val="single"/>
              </w:rPr>
              <w:t>Capital Price</w:t>
            </w:r>
          </w:p>
        </w:tc>
        <w:tc>
          <w:tcPr>
            <w:tcW w:w="1170" w:type="dxa"/>
            <w:tcBorders/>
          </w:tcPr>
          <w:p>
            <w:pPr>
              <w:pStyle w:val="Heading3"/>
              <w:widowControl/>
              <w:ind w:end="-63"/>
              <w:jc w:val="center"/>
              <w:rPr>
                <w:rFonts w:ascii="Arial" w:hAnsi="Arial" w:cs="Arial"/>
                <w:b w:val="false"/>
              </w:rPr>
            </w:pPr>
            <w:r>
              <w:rPr>
                <w:rFonts w:cs="Arial" w:ascii="Arial" w:hAnsi="Arial"/>
                <w:b w:val="false"/>
              </w:rPr>
              <w:t>Cumulative</w:t>
            </w:r>
          </w:p>
          <w:p>
            <w:pPr>
              <w:pStyle w:val="Heading3"/>
              <w:widowControl/>
              <w:ind w:end="-63"/>
              <w:jc w:val="center"/>
              <w:rPr>
                <w:rFonts w:ascii="Arial" w:hAnsi="Arial" w:cs="Arial"/>
                <w:b w:val="false"/>
              </w:rPr>
            </w:pPr>
            <w:r>
              <w:rPr>
                <w:rFonts w:cs="Arial" w:ascii="Arial" w:hAnsi="Arial"/>
                <w:b w:val="false"/>
                <w:u w:val="single"/>
              </w:rPr>
              <w:t>IRR</w:t>
            </w:r>
          </w:p>
        </w:tc>
        <w:tc>
          <w:tcPr>
            <w:tcW w:w="540" w:type="dxa"/>
            <w:tcBorders/>
          </w:tcPr>
          <w:p>
            <w:pPr>
              <w:pStyle w:val="Heading3"/>
              <w:widowControl/>
              <w:snapToGrid w:val="false"/>
              <w:ind w:end="-63"/>
              <w:rPr>
                <w:rFonts w:ascii="Arial" w:hAnsi="Arial" w:cs="Arial"/>
                <w:b w:val="false"/>
              </w:rPr>
            </w:pPr>
            <w:r>
              <w:rPr>
                <w:rFonts w:cs="Arial" w:ascii="Arial" w:hAnsi="Arial"/>
                <w:b w:val="false"/>
              </w:rPr>
            </w:r>
          </w:p>
        </w:tc>
        <w:tc>
          <w:tcPr>
            <w:tcW w:w="3060" w:type="dxa"/>
            <w:tcBorders/>
          </w:tcPr>
          <w:p>
            <w:pPr>
              <w:pStyle w:val="Heading3"/>
              <w:widowControl/>
              <w:snapToGrid w:val="false"/>
              <w:ind w:end="-63"/>
              <w:rPr>
                <w:rFonts w:ascii="Arial" w:hAnsi="Arial" w:cs="Arial"/>
                <w:b w:val="false"/>
              </w:rPr>
            </w:pPr>
            <w:r>
              <w:rPr>
                <w:rFonts w:cs="Arial" w:ascii="Arial" w:hAnsi="Arial"/>
                <w:b w:val="false"/>
              </w:rPr>
            </w:r>
          </w:p>
          <w:p>
            <w:pPr>
              <w:pStyle w:val="Normal"/>
              <w:rPr>
                <w:rFonts w:ascii="Arial" w:hAnsi="Arial" w:cs="Arial"/>
                <w:sz w:val="20"/>
              </w:rPr>
            </w:pPr>
            <w:r>
              <w:rPr>
                <w:rFonts w:cs="Arial" w:ascii="Arial" w:hAnsi="Arial"/>
                <w:sz w:val="20"/>
                <w:u w:val="single"/>
              </w:rPr>
              <w:t>Capital Price Components</w:t>
            </w:r>
          </w:p>
        </w:tc>
        <w:tc>
          <w:tcPr>
            <w:tcW w:w="990" w:type="dxa"/>
            <w:tcBorders/>
          </w:tcPr>
          <w:p>
            <w:pPr>
              <w:pStyle w:val="Normal"/>
              <w:snapToGrid w:val="false"/>
              <w:ind w:end="-63"/>
              <w:rPr>
                <w:rFonts w:ascii="Arial" w:hAnsi="Arial" w:cs="Arial"/>
                <w:sz w:val="20"/>
              </w:rPr>
            </w:pPr>
            <w:r>
              <w:rPr>
                <w:rFonts w:cs="Arial" w:ascii="Arial" w:hAnsi="Arial"/>
                <w:sz w:val="20"/>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Cash Outflows</w:t>
            </w:r>
          </w:p>
        </w:tc>
        <w:tc>
          <w:tcPr>
            <w:tcW w:w="1260" w:type="dxa"/>
            <w:tcBorders/>
          </w:tcPr>
          <w:p>
            <w:pPr>
              <w:pStyle w:val="Normal"/>
              <w:jc w:val="end"/>
              <w:rPr>
                <w:rFonts w:ascii="Arial" w:hAnsi="Arial" w:cs="Arial"/>
                <w:sz w:val="20"/>
              </w:rPr>
            </w:pPr>
            <w:r>
              <w:rPr>
                <w:rFonts w:cs="Arial" w:ascii="Arial" w:hAnsi="Arial"/>
                <w:sz w:val="20"/>
              </w:rPr>
              <w:t>(124,906)</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N/A</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Risk free rate (%):</w:t>
            </w:r>
          </w:p>
        </w:tc>
        <w:tc>
          <w:tcPr>
            <w:tcW w:w="990" w:type="dxa"/>
            <w:tcBorders/>
          </w:tcPr>
          <w:p>
            <w:pPr>
              <w:pStyle w:val="Normal"/>
              <w:ind w:end="-69"/>
              <w:jc w:val="end"/>
              <w:rPr>
                <w:rFonts w:ascii="Arial" w:hAnsi="Arial" w:cs="Arial"/>
                <w:bCs/>
                <w:sz w:val="20"/>
              </w:rPr>
            </w:pPr>
            <w:r>
              <w:rPr>
                <w:rFonts w:cs="Arial" w:ascii="Arial" w:hAnsi="Arial"/>
                <w:bCs/>
                <w:sz w:val="20"/>
              </w:rPr>
              <w:t>4.22%</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Sub Debt</w:t>
            </w:r>
          </w:p>
        </w:tc>
        <w:tc>
          <w:tcPr>
            <w:tcW w:w="1260" w:type="dxa"/>
            <w:tcBorders/>
          </w:tcPr>
          <w:p>
            <w:pPr>
              <w:pStyle w:val="Normal"/>
              <w:jc w:val="end"/>
              <w:rPr>
                <w:rFonts w:ascii="Arial" w:hAnsi="Arial" w:cs="Arial"/>
                <w:sz w:val="20"/>
              </w:rPr>
            </w:pPr>
            <w:r>
              <w:rPr>
                <w:rFonts w:cs="Arial" w:ascii="Arial" w:hAnsi="Arial"/>
                <w:sz w:val="20"/>
              </w:rPr>
              <w:t>86,551</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-11.04%</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Equity Premium (%):</w:t>
            </w:r>
          </w:p>
        </w:tc>
        <w:tc>
          <w:tcPr>
            <w:tcW w:w="990" w:type="dxa"/>
            <w:tcBorders/>
          </w:tcPr>
          <w:p>
            <w:pPr>
              <w:pStyle w:val="Normal"/>
              <w:ind w:end="-69"/>
              <w:jc w:val="end"/>
              <w:rPr>
                <w:rFonts w:ascii="Arial" w:hAnsi="Arial" w:cs="Arial"/>
                <w:bCs/>
                <w:sz w:val="20"/>
              </w:rPr>
            </w:pPr>
            <w:r>
              <w:rPr>
                <w:rFonts w:cs="Arial" w:ascii="Arial" w:hAnsi="Arial"/>
                <w:bCs/>
                <w:sz w:val="20"/>
              </w:rPr>
              <w:t>3.56%</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Intermed. Cash Flows</w:t>
            </w:r>
          </w:p>
        </w:tc>
        <w:tc>
          <w:tcPr>
            <w:tcW w:w="1260" w:type="dxa"/>
            <w:tcBorders/>
          </w:tcPr>
          <w:p>
            <w:pPr>
              <w:pStyle w:val="Normal"/>
              <w:jc w:val="end"/>
              <w:rPr>
                <w:rFonts w:ascii="Arial" w:hAnsi="Arial" w:cs="Arial"/>
                <w:sz w:val="20"/>
              </w:rPr>
            </w:pPr>
            <w:r>
              <w:rPr>
                <w:rFonts w:cs="Arial" w:ascii="Arial" w:hAnsi="Arial"/>
                <w:sz w:val="20"/>
              </w:rPr>
              <w:t>22,148</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eastAsia="Arial" w:cs="Arial" w:ascii="Arial" w:hAnsi="Arial"/>
                <w:b w:val="false"/>
              </w:rPr>
              <w:t xml:space="preserve">  </w:t>
            </w:r>
            <w:r>
              <w:rPr>
                <w:rFonts w:cs="Arial" w:ascii="Arial" w:hAnsi="Arial"/>
                <w:b w:val="false"/>
              </w:rPr>
              <w:t>-9.25%</w:t>
            </w:r>
          </w:p>
        </w:tc>
        <w:tc>
          <w:tcPr>
            <w:tcW w:w="540" w:type="dxa"/>
            <w:tcBorders/>
          </w:tcPr>
          <w:p>
            <w:pPr>
              <w:pStyle w:val="Normal"/>
              <w:snapToGrid w:val="false"/>
              <w:ind w:end="-63"/>
              <w:rPr>
                <w:rFonts w:ascii="Arial" w:hAnsi="Arial" w:cs="Arial"/>
                <w:b w:val="false"/>
                <w:sz w:val="20"/>
              </w:rPr>
            </w:pPr>
            <w:r>
              <w:rPr>
                <w:rFonts w:cs="Arial" w:ascii="Arial" w:hAnsi="Arial"/>
                <w:b w:val="false"/>
                <w:sz w:val="20"/>
              </w:rPr>
            </w:r>
          </w:p>
        </w:tc>
        <w:tc>
          <w:tcPr>
            <w:tcW w:w="3060" w:type="dxa"/>
            <w:tcBorders/>
          </w:tcPr>
          <w:p>
            <w:pPr>
              <w:pStyle w:val="Normal"/>
              <w:ind w:end="-63"/>
              <w:rPr>
                <w:rFonts w:ascii="Arial" w:hAnsi="Arial" w:cs="Arial"/>
                <w:bCs/>
                <w:sz w:val="20"/>
              </w:rPr>
            </w:pPr>
            <w:r>
              <w:rPr>
                <w:rFonts w:cs="Arial" w:ascii="Arial" w:hAnsi="Arial"/>
                <w:bCs/>
                <w:sz w:val="20"/>
              </w:rPr>
              <w:t>Credit Premium (%):</w:t>
            </w:r>
          </w:p>
        </w:tc>
        <w:tc>
          <w:tcPr>
            <w:tcW w:w="990" w:type="dxa"/>
            <w:tcBorders/>
          </w:tcPr>
          <w:p>
            <w:pPr>
              <w:pStyle w:val="Normal"/>
              <w:snapToGrid w:val="false"/>
              <w:ind w:end="-63"/>
              <w:jc w:val="end"/>
              <w:rPr>
                <w:rFonts w:ascii="Arial" w:hAnsi="Arial" w:cs="Arial"/>
                <w:bCs/>
                <w:sz w:val="20"/>
              </w:rPr>
            </w:pPr>
            <w:r>
              <w:rPr>
                <w:rFonts w:cs="Arial" w:ascii="Arial" w:hAnsi="Arial"/>
                <w:bCs/>
                <w:sz w:val="20"/>
              </w:rPr>
            </w:r>
          </w:p>
        </w:tc>
      </w:tr>
      <w:tr>
        <w:trPr>
          <w:trHeight w:val="20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Terminal Value</w:t>
            </w:r>
          </w:p>
        </w:tc>
        <w:tc>
          <w:tcPr>
            <w:tcW w:w="1260" w:type="dxa"/>
            <w:tcBorders/>
          </w:tcPr>
          <w:p>
            <w:pPr>
              <w:pStyle w:val="Normal"/>
              <w:jc w:val="end"/>
              <w:rPr>
                <w:rFonts w:ascii="Arial" w:hAnsi="Arial" w:cs="Arial"/>
                <w:sz w:val="20"/>
              </w:rPr>
            </w:pPr>
            <w:r>
              <w:rPr>
                <w:rFonts w:cs="Arial" w:ascii="Arial" w:hAnsi="Arial"/>
                <w:sz w:val="20"/>
              </w:rPr>
              <w:t>4,135</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eastAsia="Arial" w:cs="Arial" w:ascii="Arial" w:hAnsi="Arial"/>
                <w:b w:val="false"/>
              </w:rPr>
              <w:t xml:space="preserve">   </w:t>
            </w:r>
            <w:r>
              <w:rPr>
                <w:rFonts w:cs="Arial" w:ascii="Arial" w:hAnsi="Arial"/>
                <w:b w:val="false"/>
              </w:rPr>
              <w:t>4.01%</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bCs/>
              </w:rPr>
            </w:pPr>
            <w:r>
              <w:rPr>
                <w:rFonts w:cs="Arial" w:ascii="Arial" w:hAnsi="Arial"/>
                <w:b w:val="false"/>
                <w:bCs/>
              </w:rPr>
              <w:t>Country Premium (%):</w:t>
            </w:r>
          </w:p>
        </w:tc>
        <w:tc>
          <w:tcPr>
            <w:tcW w:w="990" w:type="dxa"/>
            <w:tcBorders/>
          </w:tcPr>
          <w:p>
            <w:pPr>
              <w:pStyle w:val="Normal"/>
              <w:tabs>
                <w:tab w:val="clear" w:pos="720"/>
                <w:tab w:val="left" w:pos="432" w:leader="none"/>
              </w:tabs>
              <w:snapToGrid w:val="false"/>
              <w:ind w:end="-63"/>
              <w:jc w:val="end"/>
              <w:rPr>
                <w:rFonts w:ascii="Arial" w:hAnsi="Arial" w:cs="Arial"/>
                <w:b w:val="false"/>
                <w:bCs/>
                <w:sz w:val="20"/>
              </w:rPr>
            </w:pPr>
            <w:r>
              <w:rPr>
                <w:rFonts w:cs="Arial" w:ascii="Arial" w:hAnsi="Arial"/>
                <w:b w:val="false"/>
                <w:bCs/>
                <w:sz w:val="20"/>
              </w:rPr>
            </w:r>
          </w:p>
        </w:tc>
      </w:tr>
      <w:tr>
        <w:trPr>
          <w:trHeight w:val="202" w:hRule="atLeast"/>
        </w:trPr>
        <w:tc>
          <w:tcPr>
            <w:tcW w:w="2160" w:type="dxa"/>
            <w:tcBorders>
              <w:bottom w:val="single" w:sz="4" w:space="0" w:color="000000"/>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bCs/>
                <w:sz w:val="20"/>
              </w:rPr>
            </w:pPr>
            <w:r>
              <w:rPr>
                <w:rFonts w:cs="Arial" w:ascii="Arial" w:hAnsi="Arial"/>
                <w:b w:val="false"/>
                <w:bCs/>
                <w:sz w:val="20"/>
              </w:rPr>
            </w:r>
          </w:p>
        </w:tc>
        <w:tc>
          <w:tcPr>
            <w:tcW w:w="1260" w:type="dxa"/>
            <w:tcBorders>
              <w:bottom w:val="single" w:sz="4" w:space="0" w:color="000000"/>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bottom w:val="single" w:sz="4" w:space="0" w:color="000000"/>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bottom w:val="single" w:sz="4" w:space="0" w:color="000000"/>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bottom w:val="single" w:sz="4" w:space="0" w:color="000000"/>
            </w:tcBorders>
          </w:tcPr>
          <w:p>
            <w:pPr>
              <w:pStyle w:val="Heading9"/>
              <w:widowControl/>
              <w:ind w:start="0" w:end="-63"/>
              <w:rPr>
                <w:rFonts w:ascii="Arial" w:hAnsi="Arial" w:cs="Arial"/>
                <w:b w:val="false"/>
              </w:rPr>
            </w:pPr>
            <w:r>
              <w:rPr>
                <w:rFonts w:cs="Arial" w:ascii="Arial" w:hAnsi="Arial"/>
                <w:b w:val="false"/>
              </w:rPr>
              <w:t>Transaction-Specific (%):</w:t>
            </w:r>
          </w:p>
        </w:tc>
        <w:tc>
          <w:tcPr>
            <w:tcW w:w="990" w:type="dxa"/>
            <w:tcBorders>
              <w:bottom w:val="single" w:sz="4" w:space="0" w:color="000000"/>
            </w:tcBorders>
          </w:tcPr>
          <w:p>
            <w:pPr>
              <w:pStyle w:val="Normal"/>
              <w:tabs>
                <w:tab w:val="clear" w:pos="720"/>
                <w:tab w:val="left" w:pos="432" w:leader="none"/>
              </w:tabs>
              <w:ind w:end="-63"/>
              <w:jc w:val="end"/>
              <w:rPr>
                <w:rFonts w:ascii="Arial" w:hAnsi="Arial" w:cs="Arial"/>
                <w:bCs/>
                <w:sz w:val="20"/>
              </w:rPr>
            </w:pPr>
            <w:r>
              <w:rPr>
                <w:rFonts w:cs="Arial" w:ascii="Arial" w:hAnsi="Arial"/>
                <w:bCs/>
                <w:sz w:val="20"/>
              </w:rPr>
              <w:t>2.41%</w:t>
            </w:r>
          </w:p>
        </w:tc>
      </w:tr>
      <w:tr>
        <w:trPr>
          <w:trHeight w:val="195" w:hRule="atLeast"/>
        </w:trPr>
        <w:tc>
          <w:tcPr>
            <w:tcW w:w="2160" w:type="dxa"/>
            <w:tcBorders>
              <w:top w:val="single" w:sz="4" w:space="0" w:color="000000"/>
              <w:start w:val="single" w:sz="4" w:space="0" w:color="000000"/>
              <w:bottom w:val="single" w:sz="4"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rPr>
            </w:pPr>
            <w:r>
              <w:rPr>
                <w:rFonts w:cs="Arial" w:ascii="Arial" w:hAnsi="Arial"/>
              </w:rPr>
              <w:t>Total NPV</w:t>
            </w:r>
          </w:p>
        </w:tc>
        <w:tc>
          <w:tcPr>
            <w:tcW w:w="1260" w:type="dxa"/>
            <w:tcBorders>
              <w:top w:val="single" w:sz="4" w:space="0" w:color="000000"/>
              <w:bottom w:val="single" w:sz="4" w:space="0" w:color="000000"/>
            </w:tcBorders>
          </w:tcPr>
          <w:p>
            <w:pPr>
              <w:pStyle w:val="Normal"/>
              <w:jc w:val="end"/>
              <w:rPr>
                <w:rFonts w:ascii="Arial" w:hAnsi="Arial" w:cs="Arial"/>
                <w:b/>
                <w:bCs/>
                <w:sz w:val="20"/>
              </w:rPr>
            </w:pPr>
            <w:r>
              <w:rPr>
                <w:rFonts w:cs="Arial" w:ascii="Arial" w:hAnsi="Arial"/>
                <w:b/>
                <w:bCs/>
                <w:sz w:val="20"/>
              </w:rPr>
              <w:t>$(12,071)</w:t>
            </w:r>
          </w:p>
        </w:tc>
        <w:tc>
          <w:tcPr>
            <w:tcW w:w="1170" w:type="dxa"/>
            <w:tcBorders>
              <w:top w:val="single" w:sz="4" w:space="0" w:color="000000"/>
              <w:bottom w:val="single" w:sz="4"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rFonts w:ascii="Arial" w:hAnsi="Arial" w:cs="Arial"/>
              </w:rPr>
            </w:pPr>
            <w:r>
              <w:rPr>
                <w:rFonts w:eastAsia="Arial" w:cs="Arial" w:ascii="Arial" w:hAnsi="Arial"/>
              </w:rPr>
              <w:t xml:space="preserve">  </w:t>
            </w:r>
            <w:r>
              <w:rPr>
                <w:rFonts w:cs="Arial" w:ascii="Arial" w:hAnsi="Arial"/>
              </w:rPr>
              <w:t>4.01%</w:t>
            </w:r>
          </w:p>
        </w:tc>
        <w:tc>
          <w:tcPr>
            <w:tcW w:w="540" w:type="dxa"/>
            <w:tcBorders>
              <w:top w:val="single" w:sz="4" w:space="0" w:color="000000"/>
              <w:bottom w:val="single" w:sz="4" w:space="0" w:color="000000"/>
            </w:tcBorders>
          </w:tcPr>
          <w:p>
            <w:pPr>
              <w:pStyle w:val="Heading9"/>
              <w:widowControl/>
              <w:snapToGrid w:val="false"/>
              <w:ind w:start="0" w:end="-108"/>
              <w:rPr>
                <w:rFonts w:ascii="Arial" w:hAnsi="Arial" w:cs="Arial"/>
              </w:rPr>
            </w:pPr>
            <w:r>
              <w:rPr>
                <w:rFonts w:cs="Arial" w:ascii="Arial" w:hAnsi="Arial"/>
              </w:rPr>
            </w:r>
          </w:p>
        </w:tc>
        <w:tc>
          <w:tcPr>
            <w:tcW w:w="3060" w:type="dxa"/>
            <w:tcBorders>
              <w:top w:val="single" w:sz="4" w:space="0" w:color="000000"/>
              <w:start w:val="single" w:sz="4" w:space="0" w:color="000000"/>
              <w:bottom w:val="single" w:sz="4" w:space="0" w:color="000000"/>
            </w:tcBorders>
          </w:tcPr>
          <w:p>
            <w:pPr>
              <w:pStyle w:val="Heading9"/>
              <w:widowControl/>
              <w:ind w:start="0" w:end="72"/>
              <w:rPr>
                <w:rFonts w:ascii="Arial" w:hAnsi="Arial" w:cs="Arial"/>
              </w:rPr>
            </w:pPr>
            <w:r>
              <w:rPr>
                <w:rFonts w:cs="Arial" w:ascii="Arial" w:hAnsi="Arial"/>
              </w:rPr>
              <w:t>RAC CAPITAL PRICE:</w:t>
            </w:r>
          </w:p>
        </w:tc>
        <w:tc>
          <w:tcPr>
            <w:tcW w:w="990" w:type="dxa"/>
            <w:tcBorders>
              <w:top w:val="single" w:sz="4" w:space="0" w:color="000000"/>
              <w:bottom w:val="single" w:sz="4" w:space="0" w:color="000000"/>
              <w:end w:val="single" w:sz="4" w:space="0" w:color="000000"/>
            </w:tcBorders>
          </w:tcPr>
          <w:p>
            <w:pPr>
              <w:pStyle w:val="Normal"/>
              <w:tabs>
                <w:tab w:val="clear" w:pos="720"/>
                <w:tab w:val="left" w:pos="432" w:leader="none"/>
              </w:tabs>
              <w:ind w:end="-63"/>
              <w:jc w:val="end"/>
              <w:rPr>
                <w:rFonts w:ascii="Arial" w:hAnsi="Arial" w:cs="Arial"/>
                <w:b/>
                <w:bCs/>
                <w:sz w:val="20"/>
              </w:rPr>
            </w:pPr>
            <w:r>
              <w:rPr>
                <w:rFonts w:cs="Arial" w:ascii="Arial" w:hAnsi="Arial"/>
                <w:b/>
                <w:bCs/>
                <w:sz w:val="20"/>
              </w:rPr>
              <w:t>10.19%</w:t>
            </w:r>
          </w:p>
        </w:tc>
      </w:tr>
    </w:tbl>
    <w:p>
      <w:pPr>
        <w:pStyle w:val="BodyText3"/>
        <w:rPr/>
      </w:pPr>
      <w:r>
        <w:rPr/>
      </w:r>
    </w:p>
    <w:p>
      <w:pPr>
        <w:pStyle w:val="BodyText3"/>
        <w:ind w:hanging="187" w:start="374" w:end="0"/>
        <w:rPr>
          <w:sz w:val="20"/>
        </w:rPr>
      </w:pPr>
      <w:r>
        <w:rPr/>
        <w:t>*</w:t>
        <w:tab/>
        <w:t>Purchase price of $125MM includes premium for option to upgrade the facility outlined in “Transaction Upsides” below.  RAC has only validated the Base Value at approximately $113MM and has not valued the expansion option.  The deal team has placed a value of approximately $12MM on the expansion option into the bid price.</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drawing>
          <wp:anchor behindDoc="0" distT="0" distB="0" distL="114935" distR="114935" simplePos="0" locked="0" layoutInCell="1" allowOverlap="1" relativeHeight="3">
            <wp:simplePos x="0" y="0"/>
            <wp:positionH relativeFrom="column">
              <wp:posOffset>3831590</wp:posOffset>
            </wp:positionH>
            <wp:positionV relativeFrom="paragraph">
              <wp:posOffset>287020</wp:posOffset>
            </wp:positionV>
            <wp:extent cx="2962910" cy="20193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12" t="-17" r="-12" b="-17"/>
                    <a:stretch>
                      <a:fillRect/>
                    </a:stretch>
                  </pic:blipFill>
                  <pic:spPr bwMode="auto">
                    <a:xfrm>
                      <a:off x="0" y="0"/>
                      <a:ext cx="2962910" cy="2019300"/>
                    </a:xfrm>
                    <a:prstGeom prst="rect">
                      <a:avLst/>
                    </a:prstGeom>
                    <a:noFill/>
                  </pic:spPr>
                </pic:pic>
              </a:graphicData>
            </a:graphic>
          </wp:anchor>
        </w:drawing>
      </w:r>
      <w:r>
        <w:rPr>
          <w:rFonts w:cs="Arial" w:ascii="Arial" w:hAnsi="Arial"/>
        </w:rPr>
        <w:t xml:space="preserve">CASH FLOW SUMMARY </w:t>
      </w:r>
    </w:p>
    <w:p>
      <w:pPr>
        <w:pStyle w:val="Normal"/>
        <w:rPr>
          <w:rFonts w:ascii="Arial" w:hAnsi="Arial" w:cs="Arial"/>
          <w:b/>
          <w:sz w:val="20"/>
        </w:rPr>
      </w:pPr>
      <w:r>
        <w:rPr>
          <w:rFonts w:cs="Arial" w:ascii="Arial" w:hAnsi="Arial"/>
          <w:b/>
          <w:sz w:val="20"/>
        </w:rPr>
        <w:drawing>
          <wp:anchor behindDoc="0" distT="0" distB="0" distL="114935" distR="114935" simplePos="0" locked="0" layoutInCell="0" allowOverlap="1" relativeHeight="2">
            <wp:simplePos x="0" y="0"/>
            <wp:positionH relativeFrom="column">
              <wp:posOffset>-19050</wp:posOffset>
            </wp:positionH>
            <wp:positionV relativeFrom="paragraph">
              <wp:posOffset>76835</wp:posOffset>
            </wp:positionV>
            <wp:extent cx="3772535" cy="207645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rcRect l="-9" t="-17" r="-9" b="-17"/>
                    <a:stretch>
                      <a:fillRect/>
                    </a:stretch>
                  </pic:blipFill>
                  <pic:spPr bwMode="auto">
                    <a:xfrm>
                      <a:off x="0" y="0"/>
                      <a:ext cx="3772535" cy="2076450"/>
                    </a:xfrm>
                    <a:prstGeom prst="rect">
                      <a:avLst/>
                    </a:prstGeom>
                    <a:noFill/>
                  </pic:spPr>
                </pic:pic>
              </a:graphicData>
            </a:graphic>
          </wp:anchor>
        </w:drawing>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TRANSACTION UPSIDES/OPTIONALITY </w:t>
      </w:r>
    </w:p>
    <w:p>
      <w:pPr>
        <w:pStyle w:val="Normal"/>
        <w:ind w:end="-36"/>
        <w:rPr>
          <w:rFonts w:ascii="Arial" w:hAnsi="Arial" w:cs="Arial"/>
          <w:b/>
          <w:i/>
          <w:i/>
          <w:sz w:val="20"/>
        </w:rPr>
      </w:pPr>
      <w:r>
        <w:rPr>
          <w:rFonts w:cs="Arial" w:ascii="Arial" w:hAnsi="Arial"/>
          <w:b/>
          <w:i/>
          <w:sz w:val="20"/>
        </w:rPr>
      </w:r>
    </w:p>
    <w:p>
      <w:pPr>
        <w:pStyle w:val="Normal"/>
        <w:jc w:val="both"/>
        <w:rPr>
          <w:rFonts w:ascii="Arial" w:hAnsi="Arial" w:cs="Arial"/>
          <w:b/>
          <w:bCs/>
          <w:i/>
          <w:i/>
          <w:iCs/>
          <w:sz w:val="20"/>
          <w:u w:val="single"/>
        </w:rPr>
      </w:pPr>
      <w:r>
        <w:rPr>
          <w:rFonts w:cs="Arial" w:ascii="Arial" w:hAnsi="Arial"/>
          <w:b/>
          <w:bCs/>
          <w:i/>
          <w:iCs/>
          <w:sz w:val="20"/>
          <w:u w:val="single"/>
        </w:rPr>
        <w:t>Inlet Chilling</w:t>
      </w:r>
    </w:p>
    <w:p>
      <w:pPr>
        <w:pStyle w:val="Normal"/>
        <w:jc w:val="both"/>
        <w:rPr>
          <w:rFonts w:ascii="Arial" w:hAnsi="Arial" w:cs="Arial"/>
          <w:sz w:val="20"/>
        </w:rPr>
      </w:pPr>
      <w:r>
        <w:rPr>
          <w:rFonts w:cs="Arial" w:ascii="Arial" w:hAnsi="Arial"/>
          <w:sz w:val="20"/>
        </w:rPr>
        <w:t>Americas technical support has indicated that mechanical chilling can be installed at the air inlets to the combustion turbines, which would increase net plant capacity by approximately 19 MW during the summer period.  Under the existing Energy Sales Agreement, the partnership is entitled to sell such excess energy at the zonal locational based marginal price (“LBMP”) for Consolidated Edison’s service area (NYPP zone J).  The inlet chilling project would provide 749,000 PV MWH through 2036, which is valued at $28.1MM NPV, net of a capital cost of $3.9MM for installation.</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i/>
          <w:i/>
          <w:iCs/>
          <w:sz w:val="20"/>
          <w:u w:val="single"/>
        </w:rPr>
      </w:pPr>
      <w:r>
        <w:rPr>
          <w:rFonts w:cs="Arial" w:ascii="Arial" w:hAnsi="Arial"/>
          <w:b/>
          <w:bCs/>
          <w:i/>
          <w:iCs/>
          <w:sz w:val="20"/>
          <w:u w:val="single"/>
        </w:rPr>
        <w:t>Steam Boiler Upgrade</w:t>
      </w:r>
    </w:p>
    <w:p>
      <w:pPr>
        <w:pStyle w:val="Normal"/>
        <w:jc w:val="both"/>
        <w:rPr>
          <w:rFonts w:ascii="Arial" w:hAnsi="Arial" w:cs="Arial"/>
          <w:sz w:val="20"/>
        </w:rPr>
      </w:pPr>
      <w:r>
        <w:rPr>
          <w:rFonts w:cs="Arial" w:ascii="Arial" w:hAnsi="Arial"/>
          <w:sz w:val="20"/>
        </w:rPr>
        <w:t>In addition, Americas technical support has indicated that three 250,000 mlb/hour package steam boilers can be installed on-site for a capital cost of $8MM.  The package steam boilers increase the operating flexibility of the project and may be dispatched to replace steam load sent to Consolidated Edison under the existing Energy Sales Agreement.  When the steam boilers are fired, the project can increase its utilization of the existing steam turbines creating incremental capacity (36 MW summer, 65 MW winter).  Using a spread option analysis, the incremental capacity may be dispatched at package steam boiler economics (heat rate approximately 13,000 Btu/KwH) and is valued at $25.7MM NPV, net of the capital cost.</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i/>
          <w:i/>
          <w:iCs/>
          <w:sz w:val="20"/>
          <w:u w:val="single"/>
        </w:rPr>
      </w:pPr>
      <w:r>
        <w:rPr>
          <w:rFonts w:cs="Arial" w:ascii="Arial" w:hAnsi="Arial"/>
          <w:b/>
          <w:bCs/>
          <w:i/>
          <w:iCs/>
          <w:sz w:val="20"/>
          <w:u w:val="single"/>
        </w:rPr>
        <w:t>Site Value</w:t>
      </w:r>
    </w:p>
    <w:p>
      <w:pPr>
        <w:pStyle w:val="Normal"/>
        <w:jc w:val="both"/>
        <w:rPr>
          <w:rFonts w:ascii="Arial" w:hAnsi="Arial" w:cs="Arial"/>
          <w:sz w:val="20"/>
        </w:rPr>
      </w:pPr>
      <w:r>
        <w:rPr>
          <w:rFonts w:cs="Arial" w:ascii="Arial" w:hAnsi="Arial"/>
          <w:sz w:val="20"/>
        </w:rPr>
        <w:t>Property is available adjacent to the existing facility which would be well-suited for the installation of one or more Pratt and Whitney FT8 Twin Pac or General Electric LM6000 turbines.  The project’s thermal host BNYDC has indicated a willingness in the past to negotiate leasing additional property to the partnership.  Americas origination believes that the expansion value at the site utilizing the projects’ existing fuel infrastructure and electrical interconnection is approximately $10.2MM NPV for the installation of a 50 MW FT8 Twin Pac.  Permitting can be facilitated since expansions of existing generation sites stay outside of Article X, as long as they are under 80 MW.</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i/>
          <w:i/>
          <w:iCs/>
          <w:sz w:val="20"/>
          <w:u w:val="single"/>
        </w:rPr>
      </w:pPr>
      <w:r>
        <w:rPr>
          <w:rFonts w:cs="Arial" w:ascii="Arial" w:hAnsi="Arial"/>
          <w:b/>
          <w:bCs/>
          <w:i/>
          <w:iCs/>
          <w:sz w:val="20"/>
          <w:u w:val="single"/>
        </w:rPr>
        <w:t>Restructuring Value</w:t>
      </w:r>
    </w:p>
    <w:p>
      <w:pPr>
        <w:pStyle w:val="Normal"/>
        <w:rPr>
          <w:rFonts w:ascii="Arial" w:hAnsi="Arial" w:cs="Arial"/>
          <w:sz w:val="20"/>
        </w:rPr>
      </w:pPr>
      <w:r>
        <w:rPr>
          <w:rFonts w:cs="Arial" w:ascii="Arial" w:hAnsi="Arial"/>
          <w:sz w:val="20"/>
        </w:rPr>
        <w:t>An opportunity exists to either restructure or receive a buyout of the remaining capacity payments under the Energy Sales Agreement with Consolidated Edison.  The existing contractual capacity payments are valued at NPV $440MM, using a discount rate of 11%.  A 200 basis point enhancement, related to securitizing the capacity payments at Consolidated Edison’s credit would represent $8.5MM of incremental value to the partnership, net of profit sharing with the utility and breakage costs on the project’s existing debt.</w:t>
      </w:r>
    </w:p>
    <w:p>
      <w:pPr>
        <w:pStyle w:val="Normal"/>
        <w:ind w:end="-36"/>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7"/>
        <w:pBdr>
          <w:top w:val="single" w:sz="4" w:space="1" w:color="000000"/>
        </w:pBdr>
        <w:rPr>
          <w:iCs/>
        </w:rPr>
      </w:pPr>
      <w:r>
        <w:rPr>
          <w:iCs/>
        </w:rPr>
        <w:t>EXIT STRATEGY</w:t>
      </w:r>
    </w:p>
    <w:p>
      <w:pPr>
        <w:pStyle w:val="Normal"/>
        <w:ind w:end="-36"/>
        <w:rPr>
          <w:rFonts w:ascii="Arial" w:hAnsi="Arial" w:cs="Arial"/>
          <w:iCs/>
          <w:sz w:val="20"/>
        </w:rPr>
      </w:pPr>
      <w:r>
        <w:rPr>
          <w:rFonts w:cs="Arial" w:ascii="Arial" w:hAnsi="Arial"/>
          <w:iCs/>
          <w:sz w:val="20"/>
        </w:rPr>
      </w:r>
    </w:p>
    <w:p>
      <w:pPr>
        <w:pStyle w:val="Normal"/>
        <w:ind w:end="-36"/>
        <w:rPr>
          <w:rFonts w:ascii="Arial" w:hAnsi="Arial" w:cs="Arial"/>
          <w:sz w:val="20"/>
        </w:rPr>
      </w:pPr>
      <w:r>
        <w:rPr>
          <w:rFonts w:cs="Arial" w:ascii="Arial" w:hAnsi="Arial"/>
          <w:sz w:val="20"/>
        </w:rPr>
        <w:t>Americas expects it will be necessary to maintain its interest in BNYCP for a two-year period in order to maximize the opportunities presented above (“Transaction Upsides”).  Given the political and environmental constraints existing in New York City, we expect that the area will continue to be a robust market in which to hold generation assets.</w:t>
      </w:r>
    </w:p>
    <w:p>
      <w:pPr>
        <w:pStyle w:val="Normal"/>
        <w:ind w:end="-36"/>
        <w:rPr>
          <w:rFonts w:ascii="Arial" w:hAnsi="Arial" w:cs="Arial"/>
          <w:sz w:val="20"/>
        </w:rPr>
      </w:pPr>
      <w:r>
        <w:rPr>
          <w:rFonts w:cs="Arial" w:ascii="Arial" w:hAnsi="Arial"/>
          <w:sz w:val="20"/>
        </w:rPr>
      </w:r>
    </w:p>
    <w:p>
      <w:pPr>
        <w:pStyle w:val="Heading2"/>
        <w:keepNext w:val="false"/>
        <w:widowControl/>
        <w:pBdr>
          <w:top w:val="single" w:sz="8" w:space="1" w:color="000000"/>
        </w:pBdr>
        <w:ind w:hanging="0" w:start="0" w:end="-43"/>
        <w:rPr>
          <w:rFonts w:ascii="Arial" w:hAnsi="Arial" w:cs="Arial"/>
          <w:i w:val="false"/>
          <w:i w:val="false"/>
        </w:rPr>
      </w:pPr>
      <w:r>
        <w:rPr>
          <w:rFonts w:cs="Arial" w:ascii="Arial" w:hAnsi="Arial"/>
          <w:i w:val="false"/>
        </w:rPr>
        <w:t xml:space="preserve">RISK MATRIX </w:t>
      </w:r>
    </w:p>
    <w:p>
      <w:pPr>
        <w:pStyle w:val="Normal"/>
        <w:rPr>
          <w:rFonts w:ascii="Arial" w:hAnsi="Arial" w:cs="Arial"/>
          <w:i/>
          <w:i/>
        </w:rPr>
      </w:pPr>
      <w:r>
        <w:rPr>
          <w:rFonts w:cs="Arial" w:ascii="Arial" w:hAnsi="Arial"/>
          <w:i/>
        </w:rPr>
      </w:r>
    </w:p>
    <w:tbl>
      <w:tblPr>
        <w:tblW w:w="10440" w:type="dxa"/>
        <w:jc w:val="start"/>
        <w:tblInd w:w="18" w:type="dxa"/>
        <w:tblLayout w:type="fixed"/>
        <w:tblCellMar>
          <w:top w:w="0" w:type="dxa"/>
          <w:start w:w="108" w:type="dxa"/>
          <w:bottom w:w="0" w:type="dxa"/>
          <w:end w:w="108" w:type="dxa"/>
        </w:tblCellMar>
      </w:tblPr>
      <w:tblGrid>
        <w:gridCol w:w="4680"/>
        <w:gridCol w:w="5760"/>
      </w:tblGrid>
      <w:tr>
        <w:trPr/>
        <w:tc>
          <w:tcPr>
            <w:tcW w:w="4680" w:type="dxa"/>
            <w:tcBorders>
              <w:top w:val="single" w:sz="6" w:space="0" w:color="000000"/>
              <w:start w:val="single" w:sz="6" w:space="0" w:color="000000"/>
              <w:bottom w:val="single" w:sz="6" w:space="0" w:color="000000"/>
              <w:end w:val="single" w:sz="6" w:space="0" w:color="000000"/>
            </w:tcBorders>
          </w:tcPr>
          <w:p>
            <w:pPr>
              <w:pStyle w:val="Heading6"/>
              <w:keepNext w:val="false"/>
              <w:ind w:hanging="0" w:start="0"/>
              <w:rPr>
                <w:rFonts w:ascii="Arial" w:hAnsi="Arial" w:cs="Arial"/>
                <w:szCs w:val="24"/>
              </w:rPr>
            </w:pPr>
            <w:r>
              <w:rPr>
                <w:rFonts w:cs="Arial" w:ascii="Arial" w:hAnsi="Arial"/>
                <w:szCs w:val="24"/>
              </w:rPr>
              <w:t>RISK DESCRIPTION</w:t>
            </w:r>
          </w:p>
        </w:tc>
        <w:tc>
          <w:tcPr>
            <w:tcW w:w="57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bCs/>
              </w:rPr>
            </w:pPr>
            <w:r>
              <w:rPr>
                <w:rFonts w:cs="Arial" w:ascii="Arial" w:hAnsi="Arial"/>
                <w:bCs/>
              </w:rPr>
              <w:t>Legal Risk</w:t>
            </w:r>
          </w:p>
        </w:tc>
        <w:tc>
          <w:tcPr>
            <w:tcW w:w="57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See attached legal risk memo.</w:t>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rPr>
            </w:pPr>
            <w:r>
              <w:rPr>
                <w:rFonts w:cs="Arial" w:ascii="Arial" w:hAnsi="Arial"/>
              </w:rPr>
              <w:t>Credit Risk</w:t>
            </w:r>
          </w:p>
          <w:p>
            <w:pPr>
              <w:pStyle w:val="Heading1"/>
              <w:keepNext w:val="false"/>
              <w:ind w:hanging="0" w:start="0"/>
              <w:rPr>
                <w:rFonts w:ascii="Arial" w:hAnsi="Arial" w:eastAsia="Arial" w:cs="Arial"/>
              </w:rPr>
            </w:pPr>
            <w:r>
              <w:rPr>
                <w:rFonts w:eastAsia="Arial" w:cs="Arial" w:ascii="Arial" w:hAnsi="Arial"/>
              </w:rPr>
              <w:t xml:space="preserve"> </w:t>
            </w:r>
          </w:p>
          <w:p>
            <w:pPr>
              <w:pStyle w:val="Heading1"/>
              <w:keepNext w:val="false"/>
              <w:ind w:hanging="0" w:start="0"/>
              <w:rPr>
                <w:rFonts w:ascii="Arial" w:hAnsi="Arial" w:cs="Arial"/>
                <w:b w:val="false"/>
                <w:bCs/>
              </w:rPr>
            </w:pPr>
            <w:r>
              <w:rPr>
                <w:rFonts w:cs="Arial" w:ascii="Arial" w:hAnsi="Arial"/>
                <w:b w:val="false"/>
                <w:bCs/>
                <w:i/>
              </w:rPr>
              <w:t>Edison Mission Energy</w:t>
            </w:r>
          </w:p>
        </w:tc>
        <w:tc>
          <w:tcPr>
            <w:tcW w:w="5760" w:type="dxa"/>
            <w:tcBorders>
              <w:top w:val="single" w:sz="6" w:space="0" w:color="000000"/>
              <w:start w:val="single" w:sz="6" w:space="0" w:color="000000"/>
              <w:bottom w:val="single" w:sz="6" w:space="0" w:color="000000"/>
              <w:end w:val="single" w:sz="6" w:space="0" w:color="000000"/>
            </w:tcBorders>
          </w:tcPr>
          <w:p>
            <w:pPr>
              <w:pStyle w:val="BodyText2"/>
              <w:tabs>
                <w:tab w:val="clear" w:pos="720"/>
                <w:tab w:val="clear" w:pos="3600"/>
                <w:tab w:val="clear" w:pos="5040"/>
                <w:tab w:val="clear" w:pos="6480"/>
                <w:tab w:val="clear" w:pos="7920"/>
              </w:tabs>
              <w:rPr/>
            </w:pPr>
            <w:r>
              <w:rPr/>
              <w:t>As a result of disagreements between the turnkey contractor for the project (PMNC) and the partnership, PMNC filed suit against the partnership in 1997 seeking damages in excess of $136MM.  The partnership filed a counter suit claiming damages of $13MM.  In 2000, the partnership entered into settlement negotiations with PMNC, which were unsuccessful.  During November 2000, a New York appellate court issued a ruling granting summary judgment in favor of the partnership, limiting the contractor to its claims under the construction contract.  Based on discussions held with outside counsel retained by Americas and with the litigation firm handling the case for BNYCP, Americas origination believes the case most likely will be settled or litigated with an expected outcome of $37MM in damages against the partnership.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EME has indemnified the Partnership with respect to the PMNC Litigation and would also indemnify Americas under the purchase agreement.  However, the risk exists that when the litigation settles or proceeds to judgment, any amount owed by the Partnership could be in excess of an amount which EME could then pay.  In which event, if the Partnership fails to satisfy such claim, PMNC could obtain and foreclose a judgment lien on the assets of the Partnership.</w:t>
            </w:r>
          </w:p>
          <w:p>
            <w:pPr>
              <w:pStyle w:val="Normal"/>
              <w:jc w:val="both"/>
              <w:rPr>
                <w:rFonts w:ascii="Arial" w:hAnsi="Arial" w:cs="Arial"/>
                <w:sz w:val="20"/>
              </w:rPr>
            </w:pPr>
            <w:r>
              <w:rPr>
                <w:rFonts w:cs="Arial" w:ascii="Arial" w:hAnsi="Arial"/>
                <w:sz w:val="20"/>
              </w:rPr>
            </w:r>
          </w:p>
          <w:p>
            <w:pPr>
              <w:pStyle w:val="BodyText2"/>
              <w:tabs>
                <w:tab w:val="clear" w:pos="720"/>
                <w:tab w:val="clear" w:pos="3600"/>
                <w:tab w:val="clear" w:pos="5040"/>
                <w:tab w:val="clear" w:pos="6480"/>
                <w:tab w:val="clear" w:pos="7920"/>
              </w:tabs>
              <w:rPr/>
            </w:pPr>
            <w:r>
              <w:rPr/>
              <w:t>Concern has been expressed regarding EME’s credit quality (Standard and Poor’s BBB-, Moody’s Baa3) relative to the PMNC litigation indemnification. EME’s First Power investment (UK) is experiencing significant financial difficulties.  In the event that EME becomes bankrupt prior to the settlement of the PMNC Litigation, the Partnership and ENA would have an unsecured claim against EME’s bankrupt estate with respect to EME’s indemnification obligations.</w:t>
            </w:r>
          </w:p>
          <w:p>
            <w:pPr>
              <w:pStyle w:val="BodyText2"/>
              <w:tabs>
                <w:tab w:val="clear" w:pos="720"/>
                <w:tab w:val="clear" w:pos="3600"/>
                <w:tab w:val="clear" w:pos="5040"/>
                <w:tab w:val="clear" w:pos="6480"/>
                <w:tab w:val="clear" w:pos="7920"/>
              </w:tabs>
              <w:rPr/>
            </w:pPr>
            <w:r>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rPr>
            </w:pPr>
            <w:r>
              <w:rPr>
                <w:rFonts w:cs="Arial" w:ascii="Arial" w:hAnsi="Arial"/>
              </w:rPr>
              <w:t>Credit Risk (cont.)</w:t>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t>York Research Corporation</w:t>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t>Consolidated Edison</w:t>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tc>
        <w:tc>
          <w:tcPr>
            <w:tcW w:w="5760" w:type="dxa"/>
            <w:tcBorders>
              <w:top w:val="single" w:sz="6" w:space="0" w:color="000000"/>
              <w:start w:val="single" w:sz="6" w:space="0" w:color="000000"/>
              <w:bottom w:val="single" w:sz="6" w:space="0" w:color="000000"/>
              <w:end w:val="single" w:sz="6" w:space="0" w:color="000000"/>
            </w:tcBorders>
          </w:tcPr>
          <w:p>
            <w:pPr>
              <w:pStyle w:val="BodyText2"/>
              <w:tabs>
                <w:tab w:val="clear" w:pos="720"/>
                <w:tab w:val="clear" w:pos="3600"/>
                <w:tab w:val="clear" w:pos="5040"/>
                <w:tab w:val="clear" w:pos="6480"/>
                <w:tab w:val="clear" w:pos="7920"/>
              </w:tabs>
              <w:rPr/>
            </w:pPr>
            <w:r>
              <w:rPr/>
              <w:t>EME will be required to place $25MM of the purchase price in an escrow account for the benefit of ENE in the event that a judgment is secured by PMNC and EME is unable to meet its obligations under the indemnification provided.  Amounts in escrow will be released with 10% interest if EME resolves the PMNC litigation or achieves and maintains a BBB+ and Baa1 credit rating for six consecutive months prior to July 2003.  In addition, ENE will release $10MM from the escrow account if EME has improved its credit rating to BBB and Baa2 or better by December 2002.  If EME’s credit rating drops and remains below BBB- or Baa3, the amounts in escrow will not be released until the litigation is fully resolved.  EME will have the option to replace the escrow agreement with a letter of credit at a bank rated A/A2, subject to the same fall away provision.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York Research Corporation owns a 5% GP interest and a 45% LP interest in the project through its subsidiary B-41 Associates LP (“B-41”).  In March 2000, a Chapter 11 bankruptcy was filed by York subsidiary North American Energy Conservation (“NAEC”).  The bankruptcy proceeding has not been discharged, pending the resolution of approximately $60MM in claims against NAEC that were guaranteed by the parent company.  A settlement with these creditors has been approved by the court and the bankruptcy case will be discharged pending the funding of the settlement amount by the parent company.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Americas origination believes that a bankruptcy at the York parent will not have a significant impact on B-41 and the management of the BNYCP project, since cash flow from B-41 has been pledged to a portfolio financing and the funding company structure is bankruptcy remote from a bankruptcy at the parent company.  In addition, MENY holds a managing GP interest in the partnership with control over day-to-day operations.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Americas origination has approached York Research regarding the acquisition of their interest in the partnership and believes that a transaction can be completed by 4</w:t>
            </w:r>
            <w:r>
              <w:rPr>
                <w:rFonts w:cs="Arial" w:ascii="Arial" w:hAnsi="Arial"/>
                <w:sz w:val="20"/>
                <w:vertAlign w:val="superscript"/>
              </w:rPr>
              <w:t>th</w:t>
            </w:r>
            <w:r>
              <w:rPr>
                <w:rFonts w:cs="Arial" w:ascii="Arial" w:hAnsi="Arial"/>
                <w:sz w:val="20"/>
              </w:rPr>
              <w:t xml:space="preserve"> quarter 2001.</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t>Consolidated Edison has entered into a PPA with the BNY through 2036 to purchase all of the facility’s electric and steam output net of parasitic load and host sales to BNYDC and Red Hook.  Con Ed is currently rated at an A-, but their bonds are trading at a yield equivalent to a BB- utility.  Under a Con Ed default scenario (which has been reflected in the project valuation), the project would resort to selling power as a merchant facility.</w:t>
            </w:r>
          </w:p>
          <w:p>
            <w:pPr>
              <w:pStyle w:val="Normal"/>
              <w:jc w:val="both"/>
              <w:rPr>
                <w:rFonts w:ascii="Arial" w:hAnsi="Arial" w:cs="Arial"/>
                <w:sz w:val="20"/>
              </w:rPr>
            </w:pPr>
            <w:r>
              <w:rPr>
                <w:rFonts w:cs="Arial" w:ascii="Arial" w:hAnsi="Arial"/>
                <w:sz w:val="20"/>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Technical and Operational Risk</w:t>
            </w:r>
          </w:p>
          <w:p>
            <w:pPr>
              <w:pStyle w:val="Normal"/>
              <w:rPr>
                <w:rFonts w:ascii="Arial" w:hAnsi="Arial" w:cs="Arial"/>
                <w:sz w:val="20"/>
              </w:rPr>
            </w:pPr>
            <w:r>
              <w:rPr>
                <w:rFonts w:cs="Arial" w:ascii="Arial" w:hAnsi="Arial"/>
                <w:sz w:val="20"/>
              </w:rPr>
            </w:r>
          </w:p>
          <w:p>
            <w:pPr>
              <w:pStyle w:val="Normal"/>
              <w:jc w:val="both"/>
              <w:rPr>
                <w:rFonts w:ascii="Arial" w:hAnsi="Arial" w:cs="Arial"/>
                <w:i/>
                <w:i/>
                <w:sz w:val="20"/>
              </w:rPr>
            </w:pPr>
            <w:r>
              <w:rPr>
                <w:rFonts w:cs="Arial" w:ascii="Arial" w:hAnsi="Arial"/>
                <w:i/>
                <w:sz w:val="20"/>
              </w:rPr>
              <w:t>HRSG tube leaks</w:t>
            </w:r>
          </w:p>
          <w:p>
            <w:pPr>
              <w:pStyle w:val="Normal"/>
              <w:rPr>
                <w:rFonts w:ascii="Arial" w:hAnsi="Arial" w:cs="Arial"/>
                <w:i/>
                <w:i/>
                <w:sz w:val="20"/>
                <w:u w:val="single"/>
              </w:rPr>
            </w:pPr>
            <w:r>
              <w:rPr>
                <w:rFonts w:cs="Arial" w:ascii="Arial" w:hAnsi="Arial"/>
                <w:i/>
                <w:sz w:val="20"/>
                <w:u w:val="single"/>
              </w:rPr>
            </w:r>
          </w:p>
        </w:tc>
        <w:tc>
          <w:tcPr>
            <w:tcW w:w="5760" w:type="dxa"/>
            <w:tcBorders>
              <w:top w:val="single" w:sz="6" w:space="0" w:color="000000"/>
              <w:start w:val="single" w:sz="6" w:space="0" w:color="000000"/>
              <w:bottom w:val="single" w:sz="6" w:space="0" w:color="000000"/>
              <w:end w:val="single" w:sz="6" w:space="0" w:color="000000"/>
            </w:tcBorders>
          </w:tcPr>
          <w:p>
            <w:pPr>
              <w:pStyle w:val="Normal"/>
              <w:spacing w:lineRule="atLeast" w:line="240"/>
              <w:jc w:val="both"/>
              <w:rPr>
                <w:rFonts w:ascii="Arial" w:hAnsi="Arial" w:cs="Arial"/>
                <w:color w:val="000000"/>
                <w:sz w:val="20"/>
              </w:rPr>
            </w:pPr>
            <w:r>
              <w:rPr>
                <w:rFonts w:cs="Arial" w:ascii="Arial" w:hAnsi="Arial"/>
                <w:color w:val="000000"/>
                <w:sz w:val="20"/>
              </w:rPr>
              <w:t>The project has experienced significant interruption from forced outages as a result of HRSG tube leaks. At the first major maintenance on combustion turbine #2 in April, 1999, an inspection of the HRSG was conducted by ABB.  ABB determined that there was evidence of erosion/corrosion which would not be expected to occur in such a new plant.  In November 2000, Vogt-NEM Inc. provided a proposal to the project to perform a full surface replacement for both HRSGs utilizing the Vogt-NEM module harp design, which is expected to minimize flow assisted corrosion.  The project economics reflect increased major maintenance expenses ($6MM per each HRSG) to correct the tube leaks</w:t>
            </w:r>
          </w:p>
          <w:p>
            <w:pPr>
              <w:pStyle w:val="Normal"/>
              <w:jc w:val="both"/>
              <w:rPr>
                <w:rFonts w:ascii="Arial" w:hAnsi="Arial" w:cs="Arial"/>
                <w:color w:val="000000"/>
                <w:sz w:val="20"/>
              </w:rPr>
            </w:pPr>
            <w:r>
              <w:rPr>
                <w:rFonts w:cs="Arial" w:ascii="Arial" w:hAnsi="Arial"/>
                <w:color w:val="000000"/>
                <w:sz w:val="20"/>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Gas Transportation Price Risk</w:t>
            </w:r>
          </w:p>
          <w:p>
            <w:pPr>
              <w:pStyle w:val="Normal"/>
              <w:rPr>
                <w:rFonts w:ascii="Arial" w:hAnsi="Arial" w:cs="Arial"/>
                <w:sz w:val="20"/>
              </w:rPr>
            </w:pPr>
            <w:r>
              <w:rPr>
                <w:rFonts w:cs="Arial" w:ascii="Arial" w:hAnsi="Arial"/>
                <w:sz w:val="20"/>
              </w:rPr>
            </w:r>
          </w:p>
          <w:p>
            <w:pPr>
              <w:pStyle w:val="Normal"/>
              <w:spacing w:lineRule="atLeast" w:line="240"/>
              <w:jc w:val="both"/>
              <w:rPr/>
            </w:pPr>
            <w:r>
              <w:rPr>
                <w:rFonts w:cs="Arial" w:ascii="Arial" w:hAnsi="Arial"/>
                <w:i/>
                <w:sz w:val="20"/>
              </w:rPr>
              <w:t>The project holds 30,303 MMBtu/day</w:t>
            </w:r>
            <w:r>
              <w:rPr>
                <w:rFonts w:cs="Arial" w:ascii="Arial" w:hAnsi="Arial"/>
                <w:i/>
                <w:color w:val="000000"/>
                <w:sz w:val="20"/>
              </w:rPr>
              <w:t>100% load factor firm transportation on Transcanada Pipeline(TCPL) through 2016.</w:t>
            </w:r>
          </w:p>
          <w:p>
            <w:pPr>
              <w:pStyle w:val="Normal"/>
              <w:rPr>
                <w:rFonts w:ascii="Arial" w:hAnsi="Arial" w:cs="Arial"/>
                <w:i/>
                <w:i/>
                <w:color w:val="000000"/>
                <w:sz w:val="20"/>
                <w:u w:val="single"/>
              </w:rPr>
            </w:pPr>
            <w:r>
              <w:rPr>
                <w:rFonts w:cs="Arial" w:ascii="Arial" w:hAnsi="Arial"/>
                <w:i/>
                <w:color w:val="000000"/>
                <w:sz w:val="20"/>
                <w:u w:val="single"/>
              </w:rPr>
            </w:r>
          </w:p>
        </w:tc>
        <w:tc>
          <w:tcPr>
            <w:tcW w:w="5760" w:type="dxa"/>
            <w:tcBorders>
              <w:top w:val="single" w:sz="6" w:space="0" w:color="000000"/>
              <w:start w:val="single" w:sz="6" w:space="0" w:color="000000"/>
              <w:bottom w:val="single" w:sz="6" w:space="0" w:color="000000"/>
              <w:end w:val="single" w:sz="6" w:space="0" w:color="000000"/>
            </w:tcBorders>
          </w:tcPr>
          <w:p>
            <w:pPr>
              <w:pStyle w:val="Normal"/>
              <w:spacing w:lineRule="atLeast" w:line="240"/>
              <w:jc w:val="both"/>
              <w:rPr>
                <w:rFonts w:ascii="Arial" w:hAnsi="Arial" w:cs="Arial"/>
                <w:color w:val="000000"/>
                <w:sz w:val="20"/>
              </w:rPr>
            </w:pPr>
            <w:r>
              <w:rPr>
                <w:rFonts w:cs="Arial" w:ascii="Arial" w:hAnsi="Arial"/>
                <w:color w:val="000000"/>
                <w:sz w:val="20"/>
              </w:rPr>
              <w:t>As a consequence of over 2 bcf of capacity turn-back expected over the next two years, firm transportation rates on TCPL are expected to increase by 5.2% in 2002 and by 30% in 2003, which is reflected in the project valuation.  Since the partnership holds firm transportation through 2016, it is subject to price risk related to further increases on TCPL.</w:t>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In the event of a default by a gas supplier, the project would be able to purchase gas at market-based prices.  A liquid market exists for spot gas at Transco Zone 6, which would be accessible to the project.</w:t>
            </w:r>
          </w:p>
          <w:p>
            <w:pPr>
              <w:pStyle w:val="Normal"/>
              <w:jc w:val="both"/>
              <w:rPr>
                <w:rFonts w:ascii="Arial" w:hAnsi="Arial" w:cs="Arial"/>
                <w:color w:val="000000"/>
                <w:sz w:val="20"/>
              </w:rPr>
            </w:pPr>
            <w:r>
              <w:rPr>
                <w:rFonts w:cs="Arial" w:ascii="Arial" w:hAnsi="Arial"/>
                <w:color w:val="000000"/>
                <w:sz w:val="20"/>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1"/>
        <w:pBdr>
          <w:top w:val="single" w:sz="8" w:space="1" w:color="000000"/>
        </w:pBdr>
        <w:ind w:hanging="0" w:start="0"/>
        <w:rPr>
          <w:rFonts w:ascii="Arial" w:hAnsi="Arial" w:cs="Arial"/>
          <w:b w:val="false"/>
        </w:rPr>
      </w:pPr>
      <w:r>
        <w:rPr>
          <w:rFonts w:cs="Arial" w:ascii="Arial" w:hAnsi="Arial"/>
        </w:rPr>
        <w:t xml:space="preserve">KEY SUCCESS FACTORS </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52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5220" w:type="dxa"/>
            <w:tcBorders>
              <w:top w:val="single" w:sz="4" w:space="0" w:color="000000"/>
              <w:start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Poor                                                                  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rPr>
          <w:rFonts w:ascii="Arial" w:hAnsi="Arial" w:cs="Arial"/>
          <w:b/>
          <w:sz w:val="20"/>
        </w:rPr>
      </w:pPr>
      <w:r>
        <w:rPr>
          <w:rFonts w:cs="Arial" w:ascii="Arial" w:hAnsi="Arial"/>
          <w:b/>
          <w:sz w:val="20"/>
        </w:rPr>
      </w:r>
    </w:p>
    <w:p>
      <w:pPr>
        <w:pStyle w:val="BodyText"/>
        <w:rPr/>
      </w:pPr>
      <w:r>
        <w:rPr/>
        <w:t xml:space="preserve">Enron Americas has assigned approximately $12MM of additional value related to the aforementioned transaction upsides into its bid price.  Whether or not value can be extracted from these possibilities will depend upon several factors including physical space availability, and the status of the market into which the project would operate.  RAC has placed a 10% liquidity discount on all cashflows occurring after the anticipated exit date in the middle of 2003.  This represents transactions costs and potential frustration / uncertainty associated with the timing of sale and the status of York as a partner in the investment.  In the event that Enron is able to purchase York’s interest, the corresponding piece of the liquidity discount would be removed from further revaluations of the value of our ownership.  The assumed exit in 2003 creates an investment profile with a relatively short duration.  This results in a capital price of 10.19% that would need to be adjusted upwards if it was anticipated that Enron would not be able to exit before 6/30/2003.  The sensitivity to exit timing is at a noticeable level and would affect the returns negatively by approximately $7MM if the exit date were moved out to 12/31/2006. </w:t>
      </w:r>
    </w:p>
    <w:p>
      <w:pPr>
        <w:pStyle w:val="Normal"/>
        <w:rPr>
          <w:rFonts w:ascii="Arial" w:hAnsi="Arial" w:cs="Arial"/>
          <w:bCs/>
          <w:sz w:val="20"/>
        </w:rPr>
      </w:pPr>
      <w:r>
        <w:rPr>
          <w:rFonts w:cs="Arial" w:ascii="Arial" w:hAnsi="Arial"/>
          <w:bCs/>
          <w:sz w:val="20"/>
        </w:rPr>
      </w:r>
    </w:p>
    <w:p>
      <w:pPr>
        <w:pStyle w:val="Normal"/>
        <w:rPr>
          <w:rFonts w:ascii="Arial" w:hAnsi="Arial" w:cs="Arial"/>
          <w:b/>
          <w:bCs/>
          <w:sz w:val="20"/>
        </w:rPr>
      </w:pPr>
      <w:r>
        <w:rPr>
          <w:rFonts w:cs="Arial" w:ascii="Arial" w:hAnsi="Arial"/>
          <w:b/>
          <w:bCs/>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Header"/>
        <w:widowControl/>
        <w:tabs>
          <w:tab w:val="clear" w:pos="4320"/>
          <w:tab w:val="clear" w:pos="8640"/>
        </w:tabs>
        <w:rPr>
          <w:rFonts w:ascii="Arial" w:hAnsi="Arial" w:cs="Arial"/>
          <w:bCs/>
          <w:szCs w:val="24"/>
        </w:rPr>
      </w:pPr>
      <w:r>
        <w:rPr>
          <w:rFonts w:cs="Arial" w:ascii="Arial" w:hAnsi="Arial"/>
          <w:bCs/>
          <w:szCs w:val="24"/>
        </w:rPr>
        <w:t>N/A</w:t>
      </w:r>
    </w:p>
    <w:p>
      <w:pPr>
        <w:pStyle w:val="Normal"/>
        <w:rPr>
          <w:rFonts w:ascii="Arial" w:hAnsi="Arial" w:cs="Arial"/>
          <w:bCs/>
          <w:szCs w:val="24"/>
        </w:rPr>
      </w:pPr>
      <w:r>
        <w:rPr>
          <w:rFonts w:cs="Arial" w:ascii="Arial" w:hAnsi="Arial"/>
          <w:bCs/>
          <w:szCs w:val="24"/>
        </w:rPr>
      </w:r>
    </w:p>
    <w:p>
      <w:pPr>
        <w:pStyle w:val="Normal"/>
        <w:rPr>
          <w:rFonts w:ascii="Arial" w:hAnsi="Arial" w:cs="Arial"/>
          <w:b/>
          <w:bCs/>
          <w:sz w:val="20"/>
        </w:rPr>
      </w:pPr>
      <w:r>
        <w:rPr>
          <w:rFonts w:cs="Arial" w:ascii="Arial" w:hAnsi="Arial"/>
          <w:b/>
          <w:bCs/>
          <w:sz w:val="20"/>
        </w:rPr>
      </w:r>
    </w:p>
    <w:p>
      <w:pPr>
        <w:pStyle w:val="Normal"/>
        <w:pBdr>
          <w:top w:val="single" w:sz="8" w:space="1" w:color="000000"/>
        </w:pBdr>
        <w:rPr>
          <w:rFonts w:ascii="Arial" w:hAnsi="Arial" w:cs="Arial"/>
          <w:b/>
          <w:sz w:val="20"/>
        </w:rPr>
      </w:pPr>
      <w:r>
        <w:rPr>
          <w:rFonts w:cs="Arial" w:ascii="Arial" w:hAnsi="Arial"/>
          <w:b/>
          <w:sz w:val="20"/>
        </w:rPr>
        <w:t>MILESTONES</w:t>
      </w:r>
    </w:p>
    <w:p>
      <w:pPr>
        <w:pStyle w:val="Normal"/>
        <w:rPr>
          <w:rFonts w:ascii="Arial" w:hAnsi="Arial" w:cs="Arial"/>
          <w:b/>
          <w:sz w:val="20"/>
        </w:rPr>
      </w:pPr>
      <w:r>
        <w:rPr>
          <w:rFonts w:cs="Arial" w:ascii="Arial" w:hAnsi="Arial"/>
          <w:b/>
          <w:sz w:val="20"/>
        </w:rPr>
      </w:r>
    </w:p>
    <w:p>
      <w:pPr>
        <w:pStyle w:val="Normal"/>
        <w:numPr>
          <w:ilvl w:val="0"/>
          <w:numId w:val="4"/>
        </w:numPr>
        <w:rPr>
          <w:rFonts w:ascii="Arial" w:hAnsi="Arial" w:cs="Arial"/>
          <w:sz w:val="20"/>
        </w:rPr>
      </w:pPr>
      <w:r>
        <w:rPr>
          <w:rFonts w:cs="Arial" w:ascii="Arial" w:hAnsi="Arial"/>
          <w:sz w:val="20"/>
        </w:rPr>
        <w:t>Update on PMNC litigation</w:t>
        <w:tab/>
        <w:tab/>
        <w:tab/>
        <w:t>03/31/02 and quarterly</w:t>
      </w:r>
    </w:p>
    <w:p>
      <w:pPr>
        <w:pStyle w:val="Normal"/>
        <w:numPr>
          <w:ilvl w:val="0"/>
          <w:numId w:val="4"/>
        </w:numPr>
        <w:rPr>
          <w:rFonts w:ascii="Arial" w:hAnsi="Arial" w:cs="Arial"/>
          <w:sz w:val="20"/>
        </w:rPr>
      </w:pPr>
      <w:r>
        <w:rPr>
          <w:rFonts w:cs="Arial" w:ascii="Arial" w:hAnsi="Arial"/>
          <w:sz w:val="20"/>
        </w:rPr>
        <w:t>Realization of transaction upsides</w:t>
        <w:tab/>
        <w:tab/>
        <w:t>12/31/02</w:t>
      </w:r>
    </w:p>
    <w:p>
      <w:pPr>
        <w:pStyle w:val="Normal"/>
        <w:ind w:firstLine="360" w:end="0"/>
        <w:rPr>
          <w:rFonts w:ascii="Arial" w:hAnsi="Arial" w:cs="Arial"/>
          <w:sz w:val="20"/>
        </w:rPr>
      </w:pPr>
      <w:r>
        <w:rPr>
          <w:rFonts w:cs="Arial" w:ascii="Arial" w:hAnsi="Arial"/>
          <w:sz w:val="20"/>
        </w:rPr>
        <w:t>3.   Sale of project</w:t>
        <w:tab/>
        <w:tab/>
        <w:tab/>
        <w:tab/>
        <w:tab/>
        <w:t>06/30/03</w:t>
      </w:r>
      <w:r>
        <w:br w:type="page"/>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bottom w:val="single" w:sz="6"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EAE 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David Marks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David Duran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Tech Services</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Brian Redmond</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Tax</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Stephen Douglas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Accounting</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Cris Sherman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Lavorato/Louise Kitchen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Jeff Skilling</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Normal"/>
        <w:rPr>
          <w:rFonts w:ascii="Arial" w:hAnsi="Arial" w:cs="Arial"/>
          <w:b/>
          <w:sz w:val="20"/>
        </w:rPr>
      </w:pPr>
      <w:r>
        <w:rPr>
          <w:rFonts w:cs="Arial" w:ascii="Arial" w:hAnsi="Arial"/>
          <w:b/>
          <w:sz w:val="20"/>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2"/>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op w:val="single" w:sz="4" w:space="0" w:color="000000"/>
              <w:bottom w:val="single" w:sz="4"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r>
        <w:trPr>
          <w:trHeight w:val="60"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op w:val="single" w:sz="4" w:space="0" w:color="000000"/>
              <w:bottom w:val="single" w:sz="4" w:space="0" w:color="000000"/>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cPr>
          <w:p>
            <w:pPr>
              <w:pStyle w:val="Normal"/>
              <w:jc w:val="end"/>
              <w:rPr>
                <w:rFonts w:ascii="Arial" w:hAnsi="Arial" w:cs="Arial"/>
                <w:sz w:val="20"/>
              </w:rPr>
            </w:pPr>
            <w:r>
              <w:rPr>
                <w:rFonts w:cs="Arial" w:ascii="Arial" w:hAnsi="Arial"/>
                <w:sz w:val="20"/>
              </w:rPr>
              <w:br/>
            </w:r>
          </w:p>
        </w:tc>
      </w:tr>
    </w:tbl>
    <w:p>
      <w:pPr>
        <w:pStyle w:val="Normal"/>
        <w:rPr>
          <w:rFonts w:ascii="Arial" w:hAnsi="Arial" w:cs="Arial"/>
          <w:sz w:val="20"/>
        </w:rPr>
      </w:pPr>
      <w:r>
        <w:rPr>
          <w:rFonts w:cs="Arial" w:ascii="Arial" w:hAnsi="Arial"/>
          <w:sz w:val="20"/>
        </w:rPr>
      </w:r>
    </w:p>
    <w:p>
      <w:pPr>
        <w:pStyle w:val="Normal"/>
        <w:numPr>
          <w:ilvl w:val="0"/>
          <w:numId w:val="7"/>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7"/>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7"/>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bCs/>
          <w:sz w:val="20"/>
        </w:rPr>
        <w:t>Unrestricted</w:t>
      </w:r>
      <w:r>
        <w:rPr>
          <w:rFonts w:cs="Arial" w:ascii="Arial" w:hAnsi="Arial"/>
          <w:sz w:val="20"/>
        </w:rPr>
        <w:t>,</w:t>
      </w:r>
      <w:r>
        <w:rPr>
          <w:rFonts w:cs="Arial" w:ascii="Arial" w:hAnsi="Arial"/>
          <w:b/>
          <w:bCs/>
          <w:sz w:val="20"/>
        </w:rPr>
        <w:t xml:space="preserve"> Legally Restricted </w:t>
      </w:r>
      <w:r>
        <w:rPr>
          <w:rFonts w:cs="Arial" w:ascii="Arial" w:hAnsi="Arial"/>
          <w:sz w:val="20"/>
        </w:rPr>
        <w:t>or</w:t>
      </w:r>
      <w:r>
        <w:rPr>
          <w:rFonts w:cs="Arial" w:ascii="Arial" w:hAnsi="Arial"/>
          <w:b/>
          <w:bCs/>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Describe (if necessary):</w:t>
        <w:br/>
        <w:br/>
        <w:br/>
      </w:r>
    </w:p>
    <w:p>
      <w:pPr>
        <w:pStyle w:val="Normal"/>
        <w:numPr>
          <w:ilvl w:val="0"/>
          <w:numId w:val="7"/>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bCs/>
          <w:sz w:val="20"/>
        </w:rPr>
        <w:t xml:space="preserve">Recourse </w:t>
      </w:r>
      <w:r>
        <w:rPr>
          <w:rFonts w:cs="Arial" w:ascii="Arial" w:hAnsi="Arial"/>
          <w:sz w:val="20"/>
        </w:rPr>
        <w:t>or</w:t>
      </w:r>
      <w:r>
        <w:rPr>
          <w:rFonts w:cs="Arial" w:ascii="Arial" w:hAnsi="Arial"/>
          <w:b/>
          <w:bCs/>
          <w:sz w:val="20"/>
        </w:rPr>
        <w:t xml:space="preserve"> No Recourse</w:t>
      </w:r>
      <w:r>
        <w:rPr>
          <w:rFonts w:cs="Arial" w:ascii="Arial" w:hAnsi="Arial"/>
          <w:sz w:val="20"/>
        </w:rPr>
        <w:br/>
        <w:br/>
        <w:t>Describe (if any):</w:t>
        <w:br/>
        <w:br/>
        <w:br/>
      </w:r>
    </w:p>
    <w:p>
      <w:pPr>
        <w:pStyle w:val="Normal"/>
        <w:numPr>
          <w:ilvl w:val="0"/>
          <w:numId w:val="5"/>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bCs/>
          <w:sz w:val="20"/>
        </w:rPr>
        <w:t>None</w:t>
      </w:r>
      <w:r>
        <w:rPr>
          <w:rFonts w:cs="Arial" w:ascii="Arial" w:hAnsi="Arial"/>
          <w:sz w:val="20"/>
        </w:rPr>
        <w:t>,</w:t>
      </w:r>
      <w:r>
        <w:rPr>
          <w:rFonts w:cs="Arial" w:ascii="Arial" w:hAnsi="Arial"/>
          <w:b/>
          <w:bCs/>
          <w:sz w:val="20"/>
        </w:rPr>
        <w:t xml:space="preserve"> Partial </w:t>
      </w:r>
      <w:r>
        <w:rPr>
          <w:rFonts w:cs="Arial" w:ascii="Arial" w:hAnsi="Arial"/>
          <w:sz w:val="20"/>
        </w:rPr>
        <w:t>or</w:t>
      </w:r>
      <w:r>
        <w:rPr>
          <w:rFonts w:cs="Arial" w:ascii="Arial" w:hAnsi="Arial"/>
          <w:b/>
          <w:bCs/>
          <w:sz w:val="20"/>
        </w:rPr>
        <w:t xml:space="preserve"> All</w:t>
      </w:r>
      <w:r>
        <w:rPr>
          <w:rFonts w:cs="Arial" w:ascii="Arial" w:hAnsi="Arial"/>
          <w:sz w:val="20"/>
        </w:rPr>
        <w:br/>
        <w:br/>
        <w:t>Describe (if necessary):</w:t>
        <w:br/>
        <w:br/>
      </w:r>
    </w:p>
    <w:p>
      <w:pPr>
        <w:pStyle w:val="Normal"/>
        <w:numPr>
          <w:ilvl w:val="0"/>
          <w:numId w:val="8"/>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3"/>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2750" w:type="dxa"/>
            <w:tcBorders/>
          </w:tcPr>
          <w:p>
            <w:pPr>
              <w:pStyle w:val="Normal"/>
              <w:rPr>
                <w:rFonts w:ascii="Arial" w:hAnsi="Arial" w:cs="Arial"/>
                <w:sz w:val="20"/>
              </w:rPr>
            </w:pPr>
            <w:r>
              <w:rPr>
                <w:rFonts w:cs="Arial" w:ascii="Arial" w:hAnsi="Arial"/>
                <w:b/>
                <w:bCs/>
                <w:sz w:val="20"/>
              </w:rPr>
              <w:t>M</w:t>
            </w:r>
            <w:r>
              <w:rPr>
                <w:rFonts w:cs="Arial" w:ascii="Arial" w:hAnsi="Arial"/>
                <w:b/>
                <w:sz w:val="20"/>
              </w:rPr>
              <w:t>argaux</w:t>
            </w:r>
          </w:p>
        </w:tc>
      </w:tr>
    </w:tbl>
    <w:p>
      <w:pPr>
        <w:pStyle w:val="Normal"/>
        <w:tabs>
          <w:tab w:val="left" w:pos="720" w:leader="none"/>
        </w:tabs>
        <w:ind w:start="360" w:end="0"/>
        <w:rPr/>
      </w:pPr>
      <w:r>
        <w:rPr>
          <w:rFonts w:cs="Arial" w:ascii="Arial" w:hAnsi="Arial"/>
          <w:sz w:val="20"/>
        </w:rPr>
        <w:tab/>
        <w:tab/>
      </w:r>
      <w:r>
        <w:rPr>
          <w:rFonts w:cs="Arial" w:ascii="Arial" w:hAnsi="Arial"/>
          <w:b/>
          <w:sz w:val="20"/>
        </w:rPr>
        <w:tab/>
        <w:tab/>
      </w:r>
    </w:p>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6"/>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bCs/>
          <w:sz w:val="20"/>
        </w:rPr>
        <w:t xml:space="preserve">Yes </w:t>
      </w:r>
      <w:r>
        <w:rPr>
          <w:rFonts w:cs="Arial" w:ascii="Arial" w:hAnsi="Arial"/>
          <w:sz w:val="20"/>
        </w:rPr>
        <w:t>or</w:t>
      </w:r>
      <w:r>
        <w:rPr>
          <w:rFonts w:cs="Arial" w:ascii="Arial" w:hAnsi="Arial"/>
          <w:b/>
          <w:bCs/>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10</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DASH_Dodger_071201.doc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1"/>
      <w:numFmt w:val="decimal"/>
      <w:lvlText w:val="%1."/>
      <w:lvlJc w:val="start"/>
      <w:pPr>
        <w:tabs>
          <w:tab w:val="num" w:pos="720"/>
        </w:tabs>
        <w:ind w:start="720" w:hanging="360"/>
      </w:pPr>
      <w:rPr/>
    </w:lvl>
  </w:abstractNum>
  <w:abstractNum w:abstractNumId="5">
    <w:lvl w:ilvl="0">
      <w:start w:val="6"/>
      <w:numFmt w:val="decimal"/>
      <w:lvlText w:val="%1a."/>
      <w:lvlJc w:val="start"/>
      <w:pPr>
        <w:tabs>
          <w:tab w:val="num" w:pos="360"/>
        </w:tabs>
        <w:ind w:start="360" w:hanging="360"/>
      </w:pPr>
    </w:lvl>
  </w:abstractNum>
  <w:abstractNum w:abstractNumId="6">
    <w:lvl w:ilvl="0">
      <w:start w:val="6"/>
      <w:numFmt w:val="decimal"/>
      <w:lvlText w:val="%1d."/>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ind w:hanging="0" w:start="0" w:end="-36"/>
      <w:outlineLvl w:val="6"/>
    </w:pPr>
    <w:rPr>
      <w:rFonts w:ascii="Arial" w:hAnsi="Arial" w:cs="Arial"/>
      <w:b/>
      <w:bCs/>
      <w:sz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b w:val="false"/>
      <w:i w:val="false"/>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tabs>
        <w:tab w:val="left" w:pos="720" w:leader="none"/>
        <w:tab w:val="center" w:pos="3600" w:leader="none"/>
        <w:tab w:val="center" w:pos="5040" w:leader="none"/>
        <w:tab w:val="center" w:pos="6480" w:leader="none"/>
        <w:tab w:val="center" w:pos="7920" w:leader="none"/>
      </w:tabs>
      <w:jc w:val="both"/>
    </w:pPr>
    <w:rPr>
      <w:rFonts w:ascii="Arial" w:hAnsi="Arial" w:cs="Arial"/>
      <w:sz w:val="20"/>
    </w:rPr>
  </w:style>
  <w:style w:type="paragraph" w:styleId="BodyText3">
    <w:name w:val="Body Text 3"/>
    <w:basedOn w:val="Normal"/>
    <w:qFormat/>
    <w:pPr/>
    <w:rPr>
      <w:rFonts w:ascii="Arial" w:hAnsi="Arial" w:cs="Arial"/>
      <w:sz w:val="16"/>
    </w:rPr>
  </w:style>
  <w:style w:type="paragraph" w:styleId="BodyTextIndent3">
    <w:name w:val="Body Text Indent 3"/>
    <w:basedOn w:val="Normal"/>
    <w:qFormat/>
    <w:pPr>
      <w:ind w:hanging="0" w:start="720" w:end="0"/>
      <w:jc w:val="both"/>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2001-07-12T17:53:00Z</dcterms:created>
  <dc:creator>kjolly</dc:creator>
  <dc:description>V3.3
Updated to add filename to headers
</dc:description>
  <dc:language>en-CA</dc:language>
  <cp:lastModifiedBy>wkeeney</cp:lastModifiedBy>
  <cp:lastPrinted>2001-07-12T14:37:00Z</cp:lastPrinted>
  <dcterms:modified xsi:type="dcterms:W3CDTF">2001-07-12T17:53:00Z</dcterms:modified>
  <cp:revision>2</cp:revision>
  <dc:subject/>
  <dc:title>ENRON RISK ASSESSMENT AND CONTROL</dc:title>
</cp:coreProperties>
</file>