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pStyle w:val="Normal"/>
        <w:ind w:firstLine="720" w:start="720" w:end="0"/>
        <w:jc w:val="end"/>
        <w:rPr>
          <w:rFonts w:ascii="Arial" w:hAnsi="Arial" w:cs="Arial"/>
          <w:b/>
          <w:bCs/>
        </w:rPr>
      </w:pPr>
      <w:r>
        <w:fldChar w:fldCharType="begin">
          <w:ffData>
            <w:name w:val="Dropdown9"/>
            <w:enabled/>
            <w:ddList>
              <w:result w:val="4"/>
              <w:listEntry w:val="SELECT DEAL TYPE"/>
              <w:listEntry w:val="NEW DEAL"/>
              <w:listEntry w:val="SUBSEQUENT INVESTMENT"/>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DPR Accelerated Put</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DPR Holding Company, LLC ("DPR")</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9"/>
                          <w:listEntry w:val="SELECT BUSINESS UNIT"/>
                          <w:listEntry w:val="Enron Americas"/>
                          <w:listEntry w:val="Enron Broadband Services"/>
                          <w:listEntry w:val="Enron Corp."/>
                          <w:listEntry w:val="Enron Energy Asset Services"/>
                          <w:listEntry w:val="Enron Energy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Mike Beyer</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Energy-Coal</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4" w:name="Unnamed"/>
                  <w:bookmarkStart w:id="5" w:name="Unnamed"/>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1"/>
                        <w:enabled/>
                        <w:ddList>
                          <w:result w:val="1"/>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1"/>
                  <w:bookmarkStart w:id="7" w:name="Unnamed_Copy_1"/>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2"/>
                        <w:enabled/>
                        <w:ddList>
                          <w:result w:val="1"/>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8" w:name="Unnamed_Copy_2"/>
                  <w:bookmarkStart w:id="9" w:name="Unnamed_Copy_2"/>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rPr>
                    <w:instrText xml:space="preserve"> FORMTEXT </w:instrText>
                  </w:r>
                  <w:r>
                    <w:rPr>
                      <w:rFonts w:cs="Arial" w:ascii="Arial" w:hAnsi="Arial"/>
                      <w:sz w:val="20"/>
                    </w:rPr>
                  </w:r>
                  <w:r>
                    <w:rPr>
                      <w:sz w:val="20"/>
                      <w:rFonts w:cs="Arial" w:ascii="Arial" w:hAnsi="Arial"/>
                    </w:rPr>
                    <w:fldChar w:fldCharType="separate"/>
                  </w:r>
                  <w:r>
                    <w:rPr>
                      <w:rFonts w:cs="Arial" w:ascii="Arial" w:hAnsi="Arial"/>
                      <w:sz w:val="20"/>
                    </w:rPr>
                    <w:t>June</w:t>
                  </w:r>
                  <w:r>
                    <w:rPr>
                      <w:rFonts w:cs="Arial" w:ascii="Arial" w:hAnsi="Arial"/>
                      <w:sz w:val="20"/>
                      <w:lang w:val="en-CA" w:eastAsia="en-CA"/>
                    </w:rPr>
                    <w:t xml:space="preserve"> 6, 2001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Underwriter:</w:t>
                  </w:r>
                </w:p>
              </w:tc>
              <w:tc>
                <w:tcPr>
                  <w:tcW w:w="2795" w:type="dxa"/>
                  <w:tcBorders/>
                </w:tcPr>
                <w:p>
                  <w:pPr>
                    <w:pStyle w:val="Normal"/>
                    <w:ind w:end="-738"/>
                    <w:rPr>
                      <w:rFonts w:ascii="Arial" w:hAnsi="Arial" w:cs="Arial"/>
                      <w:sz w:val="20"/>
                    </w:rPr>
                  </w:pPr>
                  <w:r>
                    <w:fldChar w:fldCharType="begin">
                      <w:ffData>
                        <w:name w:val="Dropdown7"/>
                        <w:enabled/>
                        <w:ddList>
                          <w:result w:val="2"/>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Pauline Reyes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5"/>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United States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June 19,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10"/>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10"/>
            <w:bookmarkStart w:id="23" w:name="Check10"/>
            <w:bookmarkEnd w:id="23"/>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BOARD APPROVAL STATUS"/>
                    <w:listEntry w:val="Pending     "/>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4" w:name="Dropdown1"/>
            <w:bookmarkStart w:id="25" w:name="Dropdown1"/>
            <w:bookmarkEnd w:id="25"/>
            <w:r/>
            <w:r>
              <w:rPr>
                <w:sz w:val="20"/>
                <w:rFonts w:cs="Arial" w:ascii="Arial" w:hAnsi="Arial"/>
              </w:rPr>
              <w:fldChar w:fldCharType="end"/>
            </w:r>
            <w:r>
              <w:rPr>
                <w:rFonts w:cs="Arial" w:ascii="Arial" w:hAnsi="Arial"/>
                <w:sz w:val="20"/>
              </w:rPr>
            </w:r>
          </w:p>
        </w:tc>
      </w:tr>
    </w:tbl>
    <w:p>
      <w:pPr>
        <w:sectPr>
          <w:headerReference w:type="default" r:id="rId2"/>
          <w:headerReference w:type="first" r:id="rId3"/>
          <w:footerReference w:type="default" r:id="rId4"/>
          <w:footerReference w:type="first" r:id="rId5"/>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rFonts w:ascii="Arial" w:hAnsi="Arial" w:cs="Arial"/>
        </w:rPr>
      </w:pPr>
      <w:r>
        <w:rPr>
          <w:rFonts w:cs="Arial" w:ascii="Arial" w:hAnsi="Arial"/>
        </w:rPr>
        <w:t xml:space="preserve">APPROVAL AMOUNT REQUESTED </w:t>
      </w:r>
    </w:p>
    <w:p>
      <w:pPr>
        <w:pStyle w:val="Normal"/>
        <w:numPr>
          <w:ilvl w:val="0"/>
          <w:numId w:val="8"/>
        </w:numPr>
        <w:rPr>
          <w:rFonts w:ascii="Arial" w:hAnsi="Arial" w:cs="Arial"/>
          <w:sz w:val="20"/>
        </w:rPr>
      </w:pPr>
      <w:r>
        <w:rPr>
          <w:rFonts w:cs="Arial" w:ascii="Arial" w:hAnsi="Arial"/>
          <w:sz w:val="20"/>
        </w:rPr>
        <w:t xml:space="preserve">Approval for EGM/JEDI II to exercise $11 million put to DPR and its subsidiaries in exchange for a $9.24 million note plus an option valued at $1.76 million  </w:t>
      </w:r>
    </w:p>
    <w:p>
      <w:pPr>
        <w:pStyle w:val="Normal"/>
        <w:numPr>
          <w:ilvl w:val="0"/>
          <w:numId w:val="8"/>
        </w:numPr>
        <w:rPr>
          <w:rFonts w:ascii="Arial" w:hAnsi="Arial" w:cs="Arial"/>
          <w:sz w:val="20"/>
        </w:rPr>
      </w:pPr>
      <w:r>
        <w:rPr>
          <w:rFonts w:cs="Arial" w:ascii="Arial" w:hAnsi="Arial"/>
          <w:sz w:val="20"/>
        </w:rPr>
        <w:t>Approval to accept, subject to satisfaction of conditions precedent, certain other assets or contracts in exchange for forgoing cash payments of up to $5.94 million of this $9.24 million note.  These assets or contracts are as follows:</w:t>
      </w:r>
    </w:p>
    <w:p>
      <w:pPr>
        <w:pStyle w:val="Normal"/>
        <w:ind w:start="720" w:end="0"/>
        <w:rPr>
          <w:rFonts w:ascii="Arial" w:hAnsi="Arial" w:cs="Arial"/>
          <w:sz w:val="20"/>
        </w:rPr>
      </w:pPr>
      <w:r>
        <w:rPr>
          <w:rFonts w:cs="Arial" w:ascii="Arial" w:hAnsi="Arial"/>
          <w:bCs/>
          <w:sz w:val="20"/>
        </w:rPr>
        <w:t>a) An option to transload coal and/or synfuel at the Shrewsbury Dock with a credit of $1.76 million</w:t>
        <w:br/>
        <w:t>b) An amended marketing agreement to market additional volumes of Panther LLC coal with a credit of $2.41 million</w:t>
        <w:br/>
        <w:t>c) A marketing agreement for coal from the Wildcat LLC mine with a credit of $1.76 million</w:t>
      </w:r>
    </w:p>
    <w:p>
      <w:pPr>
        <w:pStyle w:val="Heading1"/>
        <w:pBdr>
          <w:top w:val="single" w:sz="8" w:space="1" w:color="000000"/>
        </w:pBdr>
        <w:ind w:hanging="0" w:start="0" w:end="-36"/>
        <w:rPr/>
      </w:pPr>
      <w:r>
        <w:rPr/>
        <w:t>EXPOSURE SUMMARY (million)</w:t>
      </w:r>
    </w:p>
    <w:tbl>
      <w:tblPr>
        <w:tblW w:w="10098" w:type="dxa"/>
        <w:jc w:val="start"/>
        <w:tblInd w:w="360" w:type="dxa"/>
        <w:tblLayout w:type="fixed"/>
        <w:tblCellMar>
          <w:top w:w="0" w:type="dxa"/>
          <w:start w:w="108" w:type="dxa"/>
          <w:bottom w:w="0" w:type="dxa"/>
          <w:end w:w="108" w:type="dxa"/>
        </w:tblCellMar>
      </w:tblPr>
      <w:tblGrid>
        <w:gridCol w:w="4428"/>
        <w:gridCol w:w="1260"/>
        <w:gridCol w:w="4410"/>
      </w:tblGrid>
      <w:tr>
        <w:trPr/>
        <w:tc>
          <w:tcPr>
            <w:tcW w:w="4428" w:type="dxa"/>
            <w:tcBorders/>
          </w:tcPr>
          <w:p>
            <w:pPr>
              <w:pStyle w:val="Normal"/>
              <w:ind w:end="-36"/>
              <w:rPr>
                <w:rFonts w:ascii="Arial" w:hAnsi="Arial" w:cs="Arial"/>
                <w:sz w:val="20"/>
              </w:rPr>
            </w:pPr>
            <w:r>
              <w:rPr>
                <w:rFonts w:cs="Arial" w:ascii="Arial" w:hAnsi="Arial"/>
                <w:sz w:val="20"/>
              </w:rPr>
              <w:t>This Transaction</w:t>
            </w:r>
          </w:p>
        </w:tc>
        <w:tc>
          <w:tcPr>
            <w:tcW w:w="1260" w:type="dxa"/>
            <w:tcBorders/>
          </w:tcPr>
          <w:p>
            <w:pPr>
              <w:pStyle w:val="Normal"/>
              <w:ind w:end="-36"/>
              <w:jc w:val="end"/>
              <w:rPr>
                <w:rFonts w:ascii="Arial" w:hAnsi="Arial" w:cs="Arial"/>
                <w:sz w:val="20"/>
              </w:rPr>
            </w:pPr>
            <w:r>
              <w:rPr>
                <w:rFonts w:cs="Arial" w:ascii="Arial" w:hAnsi="Arial"/>
                <w:sz w:val="20"/>
              </w:rPr>
              <w:t>$11.0</w:t>
            </w:r>
          </w:p>
        </w:tc>
        <w:tc>
          <w:tcPr>
            <w:tcW w:w="4410"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Existing Exposure</w:t>
            </w:r>
          </w:p>
        </w:tc>
        <w:tc>
          <w:tcPr>
            <w:tcW w:w="1260" w:type="dxa"/>
            <w:tcBorders/>
          </w:tcPr>
          <w:p>
            <w:pPr>
              <w:pStyle w:val="Normal"/>
              <w:snapToGrid w:val="false"/>
              <w:ind w:end="-36"/>
              <w:jc w:val="end"/>
              <w:rPr>
                <w:rFonts w:ascii="Arial" w:hAnsi="Arial" w:cs="Arial"/>
                <w:sz w:val="20"/>
              </w:rPr>
            </w:pPr>
            <w:r>
              <w:rPr>
                <w:rFonts w:cs="Arial" w:ascii="Arial" w:hAnsi="Arial"/>
                <w:sz w:val="20"/>
              </w:rPr>
            </w:r>
          </w:p>
        </w:tc>
        <w:tc>
          <w:tcPr>
            <w:tcW w:w="4410"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(1) DPR       -equity</w:t>
            </w:r>
          </w:p>
        </w:tc>
        <w:tc>
          <w:tcPr>
            <w:tcW w:w="1260" w:type="dxa"/>
            <w:tcBorders/>
          </w:tcPr>
          <w:p>
            <w:pPr>
              <w:pStyle w:val="Normal"/>
              <w:ind w:end="-36"/>
              <w:jc w:val="end"/>
              <w:rPr>
                <w:rFonts w:ascii="Arial" w:hAnsi="Arial" w:cs="Arial"/>
                <w:sz w:val="20"/>
              </w:rPr>
            </w:pPr>
            <w:r>
              <w:rPr>
                <w:rFonts w:cs="Arial" w:ascii="Arial" w:hAnsi="Arial"/>
                <w:sz w:val="20"/>
              </w:rPr>
              <w:t>$24.2</w:t>
            </w:r>
          </w:p>
        </w:tc>
        <w:tc>
          <w:tcPr>
            <w:tcW w:w="4410" w:type="dxa"/>
            <w:tcBorders/>
          </w:tcPr>
          <w:p>
            <w:pPr>
              <w:pStyle w:val="Normal"/>
              <w:ind w:end="-36"/>
              <w:rPr>
                <w:rFonts w:ascii="Arial" w:hAnsi="Arial" w:cs="Arial"/>
                <w:sz w:val="20"/>
              </w:rPr>
            </w:pPr>
            <w:r>
              <w:rPr>
                <w:rFonts w:cs="Arial" w:ascii="Arial" w:hAnsi="Arial"/>
                <w:sz w:val="20"/>
              </w:rPr>
              <w:t>(includes $11.0 above)</w:t>
            </w:r>
          </w:p>
        </w:tc>
      </w:tr>
      <w:tr>
        <w:trPr/>
        <w:tc>
          <w:tcPr>
            <w:tcW w:w="4428" w:type="dxa"/>
            <w:tcBorders/>
          </w:tcPr>
          <w:p>
            <w:pPr>
              <w:pStyle w:val="Normal"/>
              <w:ind w:end="-36"/>
              <w:rPr>
                <w:rFonts w:ascii="Arial" w:hAnsi="Arial" w:cs="Arial"/>
                <w:sz w:val="20"/>
              </w:rPr>
            </w:pPr>
            <w:r>
              <w:rPr>
                <w:rFonts w:cs="Arial" w:ascii="Arial" w:hAnsi="Arial"/>
                <w:sz w:val="20"/>
              </w:rPr>
              <w:t>(2)               -debt</w:t>
            </w:r>
          </w:p>
        </w:tc>
        <w:tc>
          <w:tcPr>
            <w:tcW w:w="1260" w:type="dxa"/>
            <w:tcBorders/>
          </w:tcPr>
          <w:p>
            <w:pPr>
              <w:pStyle w:val="Normal"/>
              <w:ind w:end="-36"/>
              <w:jc w:val="end"/>
              <w:rPr>
                <w:rFonts w:ascii="Arial" w:hAnsi="Arial" w:cs="Arial"/>
                <w:sz w:val="20"/>
              </w:rPr>
            </w:pPr>
            <w:r>
              <w:rPr>
                <w:rFonts w:cs="Arial" w:ascii="Arial" w:hAnsi="Arial"/>
                <w:sz w:val="20"/>
              </w:rPr>
              <w:t>$8.9</w:t>
            </w:r>
          </w:p>
        </w:tc>
        <w:tc>
          <w:tcPr>
            <w:tcW w:w="4410"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(3) Jupiter    -equity</w:t>
            </w:r>
          </w:p>
        </w:tc>
        <w:tc>
          <w:tcPr>
            <w:tcW w:w="1260" w:type="dxa"/>
            <w:tcBorders/>
          </w:tcPr>
          <w:p>
            <w:pPr>
              <w:pStyle w:val="Normal"/>
              <w:ind w:end="-36"/>
              <w:jc w:val="end"/>
              <w:rPr>
                <w:rFonts w:ascii="Arial" w:hAnsi="Arial" w:cs="Arial"/>
                <w:sz w:val="20"/>
              </w:rPr>
            </w:pPr>
            <w:r>
              <w:rPr>
                <w:rFonts w:cs="Arial" w:ascii="Arial" w:hAnsi="Arial"/>
                <w:sz w:val="20"/>
              </w:rPr>
              <w:t>$9.5</w:t>
            </w:r>
          </w:p>
        </w:tc>
        <w:tc>
          <w:tcPr>
            <w:tcW w:w="4410"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(4)               -debt</w:t>
            </w:r>
          </w:p>
        </w:tc>
        <w:tc>
          <w:tcPr>
            <w:tcW w:w="1260" w:type="dxa"/>
            <w:tcBorders/>
          </w:tcPr>
          <w:p>
            <w:pPr>
              <w:pStyle w:val="Normal"/>
              <w:ind w:end="-36"/>
              <w:jc w:val="end"/>
              <w:rPr>
                <w:rFonts w:ascii="Arial" w:hAnsi="Arial" w:cs="Arial"/>
                <w:sz w:val="20"/>
              </w:rPr>
            </w:pPr>
            <w:r>
              <w:rPr>
                <w:rFonts w:cs="Arial" w:ascii="Arial" w:hAnsi="Arial"/>
                <w:sz w:val="20"/>
              </w:rPr>
              <w:t>$18.7</w:t>
            </w:r>
          </w:p>
        </w:tc>
        <w:tc>
          <w:tcPr>
            <w:tcW w:w="4410"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(5) Panther  -equity (remaining payment)</w:t>
            </w:r>
          </w:p>
        </w:tc>
        <w:tc>
          <w:tcPr>
            <w:tcW w:w="1260" w:type="dxa"/>
            <w:tcBorders/>
          </w:tcPr>
          <w:p>
            <w:pPr>
              <w:pStyle w:val="Normal"/>
              <w:ind w:end="-36"/>
              <w:jc w:val="end"/>
              <w:rPr>
                <w:rFonts w:ascii="Arial" w:hAnsi="Arial" w:cs="Arial"/>
                <w:sz w:val="20"/>
              </w:rPr>
            </w:pPr>
            <w:r>
              <w:rPr>
                <w:rFonts w:cs="Arial" w:ascii="Arial" w:hAnsi="Arial"/>
                <w:sz w:val="20"/>
              </w:rPr>
              <w:t>$1.0</w:t>
            </w:r>
          </w:p>
        </w:tc>
        <w:tc>
          <w:tcPr>
            <w:tcW w:w="4410"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(6)               -debt</w:t>
            </w:r>
          </w:p>
        </w:tc>
        <w:tc>
          <w:tcPr>
            <w:tcW w:w="1260" w:type="dxa"/>
            <w:tcBorders/>
          </w:tcPr>
          <w:p>
            <w:pPr>
              <w:pStyle w:val="Normal"/>
              <w:ind w:end="-36"/>
              <w:jc w:val="end"/>
              <w:rPr>
                <w:rFonts w:ascii="Arial" w:hAnsi="Arial" w:cs="Arial"/>
                <w:sz w:val="20"/>
              </w:rPr>
            </w:pPr>
            <w:r>
              <w:rPr>
                <w:rFonts w:cs="Arial" w:ascii="Arial" w:hAnsi="Arial"/>
                <w:sz w:val="20"/>
              </w:rPr>
              <w:t>$15.0</w:t>
            </w:r>
          </w:p>
        </w:tc>
        <w:tc>
          <w:tcPr>
            <w:tcW w:w="4410"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260" w:type="dxa"/>
            <w:tcBorders>
              <w:top w:val="single" w:sz="4" w:space="0" w:color="000000"/>
            </w:tcBorders>
          </w:tcPr>
          <w:p>
            <w:pPr>
              <w:pStyle w:val="Normal"/>
              <w:ind w:end="-36"/>
              <w:jc w:val="end"/>
              <w:rPr>
                <w:rFonts w:ascii="Arial" w:hAnsi="Arial" w:cs="Arial"/>
                <w:sz w:val="20"/>
              </w:rPr>
            </w:pPr>
            <w:r>
              <w:rPr>
                <w:rFonts w:cs="Arial" w:ascii="Arial" w:hAnsi="Arial"/>
                <w:sz w:val="20"/>
              </w:rPr>
              <w:t>$77.3</w:t>
            </w:r>
          </w:p>
        </w:tc>
        <w:tc>
          <w:tcPr>
            <w:tcW w:w="4410" w:type="dxa"/>
            <w:tcBorders/>
          </w:tcPr>
          <w:p>
            <w:pPr>
              <w:pStyle w:val="Normal"/>
              <w:snapToGrid w:val="false"/>
              <w:ind w:end="-36"/>
              <w:rPr>
                <w:rFonts w:ascii="Arial" w:hAnsi="Arial" w:cs="Arial"/>
                <w:sz w:val="20"/>
              </w:rPr>
            </w:pPr>
            <w:r>
              <w:rPr>
                <w:rFonts w:cs="Arial" w:ascii="Arial" w:hAnsi="Arial"/>
                <w:sz w:val="20"/>
              </w:rPr>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b w:val="false"/>
          <w:bCs/>
          <w:i w:val="false"/>
          <w:i w:val="false"/>
        </w:rPr>
      </w:pPr>
      <w:r>
        <w:rPr>
          <w:rFonts w:cs="Arial" w:ascii="Arial" w:hAnsi="Arial"/>
          <w:i w:val="false"/>
        </w:rPr>
        <w:t>DEAL DESCRIPTION</w:t>
      </w:r>
    </w:p>
    <w:p>
      <w:pPr>
        <w:pStyle w:val="BodyText"/>
        <w:jc w:val="both"/>
        <w:rPr/>
      </w:pPr>
      <w:r>
        <w:rPr>
          <w:b w:val="false"/>
          <w:bCs w:val="false"/>
          <w:iCs/>
        </w:rPr>
        <w:t xml:space="preserve">On November 6, 1998 ENA/JEDI II invested $33 million in exchange for a 49% equity interest in DPR and its three mining subsidiaries, Dakota LLC, Panther LLC, and Remington LLC.  DPR, as well as another coal investment of EGM—Jupiter, are controlled by Christopher Cline (“Cline”). The equity interest is comprised of a 19% interest in the holding company, and a 37% Income Participation Certificate (“IPC”) interest in each of the subsidiaries.  The cash flow of each subsidiary is distributed first to the IPC holders, with the remainder paid to the holding company.  In addition, ENA/JEDI II provided $34 million of debt to the mining subsidiaries. </w:t>
      </w:r>
      <w:r>
        <w:rPr>
          <w:b w:val="false"/>
        </w:rPr>
        <w:t>The transaction included a provision for an Accelerated Put Option of ENA/JEDI’s equity interests to the holding company and/or any or all of the subsidiaries in the event that the consolidated entities failed to achieve 80% of projected EBITDA for any rolling four-quarter period ending June 30, 2001, or thereafter.  The Accelerated Put Option provisions allow EGM/JEDI II to put up to 13,000 of the 19,000 membership units to DPR at $870 per unit, and up to 40% of the IPC interest in each subsidiary at a preset price equal to 166% of the original price paid for the IPCs subject to a cap of $11 million. The consolidated entities will not achieve required EBITDA levels as of June 30, 2001, thus triggering ENA’s and JEDI II’s put right (required EBITDA of $22.5 million vs. estimated EBITDA of $18 million). EGM/JEDI II have given notice of their intention to exercise the Accelerated Put Option to Dakota LLC (40% of IPCs for $9.8 million) and to DPR (1,378 membership units for $1.2 million).  After exercise of the put option, EGM/JEDI II will be entitled to 22.2% IPC distributions of Dakota Free Cash Flow, and 17.62% membership unit distributions of DPR.</w:t>
      </w:r>
    </w:p>
    <w:p>
      <w:pPr>
        <w:pStyle w:val="BodyText"/>
        <w:jc w:val="both"/>
        <w:rPr>
          <w:b w:val="false"/>
        </w:rPr>
      </w:pPr>
      <w:r>
        <w:rPr>
          <w:b w:val="false"/>
        </w:rPr>
      </w:r>
    </w:p>
    <w:p>
      <w:pPr>
        <w:pStyle w:val="BodyText"/>
        <w:jc w:val="both"/>
        <w:rPr>
          <w:b w:val="false"/>
        </w:rPr>
      </w:pPr>
      <w:r>
        <w:rPr>
          <w:b w:val="false"/>
        </w:rPr>
        <w:t>The $11 million accelerated put is proposed to be paid in six to eight quarterly installments, commencing August 24, 2001 depending on whether certain credits are given to DPR. Since DPR will not have $11 million in cash available at June 30, 2001, DPR requested the $11 million be paid in eight quarterly installments.  While EGM has the right to require the full $11 million payment, including the right to foreclose, the coal group feels the value received on this transaction adequately compensates EGM for its agreement to defer payment over time with interest. This value includes two coal contracts worth $4.3 million, the dock option, additional marketing fees, and cash plus interest which, together, may result in more than $11 million in value.  These non-cash transactions are summarized on Attachment I. If certain conditions precedent are satisfied, credit against cash payments will be given accordingly:</w:t>
      </w:r>
    </w:p>
    <w:p>
      <w:pPr>
        <w:pStyle w:val="BodyText"/>
        <w:jc w:val="both"/>
        <w:rPr>
          <w:b w:val="false"/>
        </w:rPr>
      </w:pPr>
      <w:r>
        <w:rPr>
          <w:b w:val="false"/>
        </w:rPr>
      </w:r>
    </w:p>
    <w:p>
      <w:pPr>
        <w:pStyle w:val="BodyText"/>
        <w:jc w:val="both"/>
        <w:rPr>
          <w:bCs w:val="false"/>
          <w:u w:val="single"/>
        </w:rPr>
      </w:pPr>
      <w:r>
        <w:rPr>
          <w:bCs w:val="false"/>
          <w:u w:val="single"/>
        </w:rPr>
        <w:t>Estimated value to EGM/JEDI II*</w:t>
      </w:r>
    </w:p>
    <w:p>
      <w:pPr>
        <w:pStyle w:val="BodyText"/>
        <w:jc w:val="both"/>
        <w:rPr>
          <w:b w:val="false"/>
        </w:rPr>
      </w:pPr>
      <w:r>
        <w:rPr>
          <w:rFonts w:eastAsia="Arial"/>
          <w:b w:val="false"/>
        </w:rPr>
        <w:t xml:space="preserve">                                                                                               </w:t>
      </w:r>
      <w:r>
        <w:rPr>
          <w:b w:val="false"/>
          <w:u w:val="single"/>
        </w:rPr>
        <w:t>Amount</w:t>
      </w:r>
      <w:r>
        <w:rPr>
          <w:b w:val="false"/>
        </w:rPr>
        <w:t xml:space="preserve">    </w:t>
      </w:r>
      <w:r>
        <w:rPr>
          <w:b w:val="false"/>
          <w:u w:val="single"/>
        </w:rPr>
        <w:t>(With 10.625% interest)</w:t>
      </w:r>
    </w:p>
    <w:tbl>
      <w:tblPr>
        <w:tblW w:w="7772" w:type="dxa"/>
        <w:jc w:val="start"/>
        <w:tblInd w:w="0" w:type="dxa"/>
        <w:tblLayout w:type="fixed"/>
        <w:tblCellMar>
          <w:top w:w="0" w:type="dxa"/>
          <w:start w:w="0" w:type="dxa"/>
          <w:bottom w:w="0" w:type="dxa"/>
          <w:end w:w="0" w:type="dxa"/>
        </w:tblCellMar>
      </w:tblPr>
      <w:tblGrid>
        <w:gridCol w:w="5332"/>
        <w:gridCol w:w="2440"/>
      </w:tblGrid>
      <w:tr>
        <w:trPr>
          <w:trHeight w:val="255" w:hRule="atLeast"/>
        </w:trPr>
        <w:tc>
          <w:tcPr>
            <w:tcW w:w="5332" w:type="dxa"/>
            <w:tcBorders/>
            <w:vAlign w:val="bottom"/>
          </w:tcPr>
          <w:p>
            <w:pPr>
              <w:pStyle w:val="Header"/>
              <w:widowControl/>
              <w:tabs>
                <w:tab w:val="clear" w:pos="4320"/>
                <w:tab w:val="clear" w:pos="8640"/>
              </w:tabs>
              <w:rPr>
                <w:rFonts w:ascii="Arial" w:hAnsi="Arial" w:eastAsia="Arial Unicode MS" w:cs="Arial"/>
              </w:rPr>
            </w:pPr>
            <w:r>
              <w:rPr>
                <w:rFonts w:cs="Arial" w:ascii="Arial" w:hAnsi="Arial"/>
              </w:rPr>
              <w:t>Total Payment Due on Accelerated Put (millions)</w:t>
            </w:r>
          </w:p>
        </w:tc>
        <w:tc>
          <w:tcPr>
            <w:tcW w:w="2440" w:type="dxa"/>
            <w:tcBorders/>
            <w:vAlign w:val="bottom"/>
          </w:tcPr>
          <w:p>
            <w:pPr>
              <w:pStyle w:val="Normal"/>
              <w:rPr>
                <w:rFonts w:ascii="Arial" w:hAnsi="Arial" w:eastAsia="Arial Unicode MS" w:cs="Arial"/>
                <w:sz w:val="20"/>
                <w:szCs w:val="20"/>
              </w:rPr>
            </w:pPr>
            <w:r>
              <w:rPr>
                <w:rFonts w:cs="Arial" w:ascii="Arial" w:hAnsi="Arial"/>
                <w:sz w:val="20"/>
                <w:szCs w:val="20"/>
              </w:rPr>
              <w:t>$11.00                    $11.68</w:t>
            </w:r>
          </w:p>
        </w:tc>
      </w:tr>
      <w:tr>
        <w:trPr>
          <w:trHeight w:val="255" w:hRule="atLeast"/>
        </w:trPr>
        <w:tc>
          <w:tcPr>
            <w:tcW w:w="5332" w:type="dxa"/>
            <w:tcBorders/>
            <w:vAlign w:val="bottom"/>
          </w:tcPr>
          <w:p>
            <w:pPr>
              <w:pStyle w:val="Normal"/>
              <w:rPr>
                <w:rFonts w:ascii="Arial" w:hAnsi="Arial" w:eastAsia="Arial Unicode MS" w:cs="Arial"/>
                <w:sz w:val="20"/>
                <w:szCs w:val="20"/>
              </w:rPr>
            </w:pPr>
            <w:r>
              <w:rPr>
                <w:rFonts w:cs="Arial" w:ascii="Arial" w:hAnsi="Arial"/>
                <w:sz w:val="20"/>
                <w:szCs w:val="20"/>
              </w:rPr>
              <w:t>Credit on dock option lease upon closing</w:t>
            </w:r>
          </w:p>
        </w:tc>
        <w:tc>
          <w:tcPr>
            <w:tcW w:w="2440"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(1.76)                      (1.76)</w:t>
            </w:r>
          </w:p>
        </w:tc>
      </w:tr>
      <w:tr>
        <w:trPr/>
        <w:tc>
          <w:tcPr>
            <w:tcW w:w="5332" w:type="dxa"/>
            <w:tcBorders/>
            <w:vAlign w:val="bottom"/>
          </w:tcPr>
          <w:p>
            <w:pPr>
              <w:pStyle w:val="Normal"/>
              <w:snapToGrid w:val="false"/>
              <w:rPr>
                <w:rFonts w:ascii="Arial Unicode MS" w:hAnsi="Arial Unicode MS" w:eastAsia="Arial Unicode MS" w:cs="Arial Unicode MS"/>
                <w:vanish/>
                <w:sz w:val="20"/>
                <w:szCs w:val="20"/>
              </w:rPr>
            </w:pPr>
            <w:r>
              <w:rPr>
                <w:rFonts w:eastAsia="Arial Unicode MS" w:cs="Arial Unicode MS" w:ascii="Arial Unicode MS" w:hAnsi="Arial Unicode MS"/>
                <w:vanish/>
                <w:sz w:val="20"/>
                <w:szCs w:val="20"/>
              </w:rPr>
            </w:r>
          </w:p>
        </w:tc>
        <w:tc>
          <w:tcPr>
            <w:tcW w:w="2440" w:type="dxa"/>
            <w:tcBorders/>
            <w:vAlign w:val="bottom"/>
          </w:tcPr>
          <w:p>
            <w:pPr>
              <w:pStyle w:val="Normal"/>
              <w:snapToGrid w:val="false"/>
              <w:rPr>
                <w:rFonts w:ascii="Arial Unicode MS" w:hAnsi="Arial Unicode MS" w:eastAsia="Arial Unicode MS" w:cs="Arial Unicode MS"/>
                <w:vanish/>
              </w:rPr>
            </w:pPr>
            <w:r>
              <w:rPr>
                <w:rFonts w:eastAsia="Arial Unicode MS" w:cs="Arial Unicode MS" w:ascii="Arial Unicode MS" w:hAnsi="Arial Unicode MS"/>
                <w:vanish/>
              </w:rPr>
            </w:r>
          </w:p>
        </w:tc>
      </w:tr>
      <w:tr>
        <w:trPr/>
        <w:tc>
          <w:tcPr>
            <w:tcW w:w="5332" w:type="dxa"/>
            <w:tcBorders/>
            <w:vAlign w:val="bottom"/>
          </w:tcPr>
          <w:p>
            <w:pPr>
              <w:pStyle w:val="Normal"/>
              <w:snapToGrid w:val="false"/>
              <w:rPr>
                <w:rFonts w:ascii="Arial Unicode MS" w:hAnsi="Arial Unicode MS" w:eastAsia="Arial Unicode MS" w:cs="Arial Unicode MS"/>
                <w:vanish/>
                <w:sz w:val="20"/>
                <w:szCs w:val="20"/>
              </w:rPr>
            </w:pPr>
            <w:r>
              <w:rPr>
                <w:rFonts w:eastAsia="Arial Unicode MS" w:cs="Arial Unicode MS" w:ascii="Arial Unicode MS" w:hAnsi="Arial Unicode MS"/>
                <w:vanish/>
                <w:sz w:val="20"/>
                <w:szCs w:val="20"/>
              </w:rPr>
            </w:r>
          </w:p>
        </w:tc>
        <w:tc>
          <w:tcPr>
            <w:tcW w:w="2440" w:type="dxa"/>
            <w:tcBorders/>
            <w:vAlign w:val="bottom"/>
          </w:tcPr>
          <w:p>
            <w:pPr>
              <w:pStyle w:val="Normal"/>
              <w:snapToGrid w:val="false"/>
              <w:rPr>
                <w:rFonts w:ascii="Arial Unicode MS" w:hAnsi="Arial Unicode MS" w:eastAsia="Arial Unicode MS" w:cs="Arial Unicode MS"/>
                <w:vanish/>
              </w:rPr>
            </w:pPr>
            <w:r>
              <w:rPr>
                <w:rFonts w:eastAsia="Arial Unicode MS" w:cs="Arial Unicode MS" w:ascii="Arial Unicode MS" w:hAnsi="Arial Unicode MS"/>
                <w:vanish/>
              </w:rPr>
            </w:r>
          </w:p>
        </w:tc>
      </w:tr>
      <w:tr>
        <w:trPr/>
        <w:tc>
          <w:tcPr>
            <w:tcW w:w="5332" w:type="dxa"/>
            <w:tcBorders/>
            <w:vAlign w:val="bottom"/>
          </w:tcPr>
          <w:p>
            <w:pPr>
              <w:pStyle w:val="Normal"/>
              <w:snapToGrid w:val="false"/>
              <w:rPr>
                <w:rFonts w:ascii="Arial Unicode MS" w:hAnsi="Arial Unicode MS" w:eastAsia="Arial Unicode MS" w:cs="Arial Unicode MS"/>
                <w:vanish/>
                <w:sz w:val="20"/>
                <w:szCs w:val="20"/>
              </w:rPr>
            </w:pPr>
            <w:r>
              <w:rPr>
                <w:rFonts w:eastAsia="Arial Unicode MS" w:cs="Arial Unicode MS" w:ascii="Arial Unicode MS" w:hAnsi="Arial Unicode MS"/>
                <w:vanish/>
                <w:sz w:val="20"/>
                <w:szCs w:val="20"/>
              </w:rPr>
            </w:r>
          </w:p>
        </w:tc>
        <w:tc>
          <w:tcPr>
            <w:tcW w:w="2440" w:type="dxa"/>
            <w:tcBorders/>
            <w:vAlign w:val="bottom"/>
          </w:tcPr>
          <w:p>
            <w:pPr>
              <w:pStyle w:val="Normal"/>
              <w:snapToGrid w:val="false"/>
              <w:rPr>
                <w:rFonts w:ascii="Arial Unicode MS" w:hAnsi="Arial Unicode MS" w:eastAsia="Arial Unicode MS" w:cs="Arial Unicode MS"/>
                <w:vanish/>
              </w:rPr>
            </w:pPr>
            <w:r>
              <w:rPr>
                <w:rFonts w:eastAsia="Arial Unicode MS" w:cs="Arial Unicode MS" w:ascii="Arial Unicode MS" w:hAnsi="Arial Unicode MS"/>
                <w:vanish/>
              </w:rPr>
            </w:r>
          </w:p>
        </w:tc>
      </w:tr>
      <w:tr>
        <w:trPr/>
        <w:tc>
          <w:tcPr>
            <w:tcW w:w="5332" w:type="dxa"/>
            <w:tcBorders/>
            <w:vAlign w:val="bottom"/>
          </w:tcPr>
          <w:p>
            <w:pPr>
              <w:pStyle w:val="Normal"/>
              <w:snapToGrid w:val="false"/>
              <w:rPr>
                <w:rFonts w:ascii="Arial Unicode MS" w:hAnsi="Arial Unicode MS" w:eastAsia="Arial Unicode MS" w:cs="Arial Unicode MS"/>
                <w:vanish/>
                <w:sz w:val="20"/>
                <w:szCs w:val="20"/>
              </w:rPr>
            </w:pPr>
            <w:r>
              <w:rPr>
                <w:rFonts w:eastAsia="Arial Unicode MS" w:cs="Arial Unicode MS" w:ascii="Arial Unicode MS" w:hAnsi="Arial Unicode MS"/>
                <w:vanish/>
                <w:sz w:val="20"/>
                <w:szCs w:val="20"/>
              </w:rPr>
            </w:r>
          </w:p>
        </w:tc>
        <w:tc>
          <w:tcPr>
            <w:tcW w:w="2440" w:type="dxa"/>
            <w:tcBorders/>
            <w:vAlign w:val="bottom"/>
          </w:tcPr>
          <w:p>
            <w:pPr>
              <w:pStyle w:val="Normal"/>
              <w:snapToGrid w:val="false"/>
              <w:rPr>
                <w:rFonts w:ascii="Arial Unicode MS" w:hAnsi="Arial Unicode MS" w:eastAsia="Arial Unicode MS" w:cs="Arial Unicode MS"/>
                <w:vanish/>
              </w:rPr>
            </w:pPr>
            <w:r>
              <w:rPr>
                <w:rFonts w:eastAsia="Arial Unicode MS" w:cs="Arial Unicode MS" w:ascii="Arial Unicode MS" w:hAnsi="Arial Unicode MS"/>
                <w:vanish/>
              </w:rPr>
            </w:r>
          </w:p>
        </w:tc>
      </w:tr>
      <w:tr>
        <w:trPr>
          <w:trHeight w:val="255" w:hRule="atLeast"/>
        </w:trPr>
        <w:tc>
          <w:tcPr>
            <w:tcW w:w="5332" w:type="dxa"/>
            <w:tcBorders/>
            <w:vAlign w:val="bottom"/>
          </w:tcPr>
          <w:p>
            <w:pPr>
              <w:pStyle w:val="Heading1"/>
              <w:ind w:hanging="0" w:start="0"/>
              <w:rPr>
                <w:rFonts w:ascii="Arial" w:hAnsi="Arial" w:eastAsia="Arial Unicode MS" w:cs="Arial"/>
                <w:i/>
                <w:i/>
                <w:iCs/>
              </w:rPr>
            </w:pPr>
            <w:r>
              <w:rPr>
                <w:rFonts w:cs="Arial" w:ascii="Arial" w:hAnsi="Arial"/>
              </w:rPr>
              <w:t>Cash Payment Due in Eight Quarterly Installments</w:t>
            </w:r>
          </w:p>
        </w:tc>
        <w:tc>
          <w:tcPr>
            <w:tcW w:w="2440" w:type="dxa"/>
            <w:tcBorders>
              <w:top w:val="single" w:sz="4" w:space="0" w:color="000000"/>
              <w:bottom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9.24                         9.92</w:t>
            </w:r>
          </w:p>
        </w:tc>
      </w:tr>
      <w:tr>
        <w:trPr>
          <w:trHeight w:val="270" w:hRule="atLeast"/>
        </w:trPr>
        <w:tc>
          <w:tcPr>
            <w:tcW w:w="5332" w:type="dxa"/>
            <w:tcBorders/>
            <w:vAlign w:val="bottom"/>
          </w:tcPr>
          <w:p>
            <w:pPr>
              <w:pStyle w:val="Heading1"/>
              <w:snapToGrid w:val="false"/>
              <w:ind w:hanging="0" w:start="0"/>
              <w:rPr>
                <w:rFonts w:ascii="Arial" w:hAnsi="Arial" w:eastAsia="Arial Unicode MS" w:cs="Arial"/>
                <w:b w:val="false"/>
                <w:sz w:val="20"/>
                <w:szCs w:val="20"/>
              </w:rPr>
            </w:pPr>
            <w:r>
              <w:rPr>
                <w:rFonts w:eastAsia="Arial Unicode MS" w:cs="Arial" w:ascii="Arial" w:hAnsi="Arial"/>
                <w:b w:val="false"/>
                <w:sz w:val="20"/>
                <w:szCs w:val="20"/>
              </w:rPr>
            </w:r>
          </w:p>
        </w:tc>
        <w:tc>
          <w:tcPr>
            <w:tcW w:w="2440" w:type="dxa"/>
            <w:tcBorders/>
            <w:vAlign w:val="bottom"/>
          </w:tcPr>
          <w:p>
            <w:pPr>
              <w:pStyle w:val="Normal"/>
              <w:snapToGrid w:val="false"/>
              <w:rPr>
                <w:rFonts w:ascii="Arial" w:hAnsi="Arial" w:cs="Arial"/>
                <w:b w:val="false"/>
                <w:sz w:val="20"/>
                <w:szCs w:val="20"/>
              </w:rPr>
            </w:pPr>
            <w:r>
              <w:rPr>
                <w:rFonts w:cs="Arial" w:ascii="Arial" w:hAnsi="Arial"/>
                <w:b w:val="false"/>
                <w:sz w:val="20"/>
                <w:szCs w:val="20"/>
              </w:rPr>
            </w:r>
          </w:p>
        </w:tc>
      </w:tr>
      <w:tr>
        <w:trPr>
          <w:trHeight w:val="270" w:hRule="atLeast"/>
        </w:trPr>
        <w:tc>
          <w:tcPr>
            <w:tcW w:w="5332" w:type="dxa"/>
            <w:tcBorders/>
            <w:vAlign w:val="bottom"/>
          </w:tcPr>
          <w:p>
            <w:pPr>
              <w:pStyle w:val="Heading1"/>
              <w:ind w:hanging="0" w:start="0"/>
              <w:rPr>
                <w:rFonts w:ascii="Arial" w:hAnsi="Arial" w:cs="Arial"/>
                <w:b w:val="false"/>
              </w:rPr>
            </w:pPr>
            <w:r>
              <w:rPr>
                <w:rFonts w:cs="Arial" w:ascii="Arial" w:hAnsi="Arial"/>
                <w:b w:val="false"/>
              </w:rPr>
              <w:t>Non-cash Transactions Credited Against Payment**</w:t>
            </w:r>
          </w:p>
        </w:tc>
        <w:tc>
          <w:tcPr>
            <w:tcW w:w="2440" w:type="dxa"/>
            <w:tcBorders/>
            <w:vAlign w:val="bottom"/>
          </w:tcPr>
          <w:p>
            <w:pPr>
              <w:pStyle w:val="Normal"/>
              <w:snapToGrid w:val="false"/>
              <w:rPr>
                <w:rFonts w:ascii="Arial" w:hAnsi="Arial" w:cs="Arial"/>
                <w:b w:val="false"/>
                <w:sz w:val="20"/>
                <w:szCs w:val="20"/>
              </w:rPr>
            </w:pPr>
            <w:r>
              <w:rPr>
                <w:rFonts w:cs="Arial" w:ascii="Arial" w:hAnsi="Arial"/>
                <w:b w:val="false"/>
                <w:sz w:val="20"/>
                <w:szCs w:val="20"/>
              </w:rPr>
            </w:r>
          </w:p>
        </w:tc>
      </w:tr>
      <w:tr>
        <w:trPr>
          <w:trHeight w:val="270" w:hRule="atLeast"/>
        </w:trPr>
        <w:tc>
          <w:tcPr>
            <w:tcW w:w="5332" w:type="dxa"/>
            <w:tcBorders/>
            <w:vAlign w:val="bottom"/>
          </w:tcPr>
          <w:p>
            <w:pPr>
              <w:pStyle w:val="Normal"/>
              <w:rPr>
                <w:rFonts w:ascii="Arial" w:hAnsi="Arial" w:eastAsia="Arial Unicode MS" w:cs="Arial"/>
                <w:sz w:val="20"/>
                <w:szCs w:val="20"/>
              </w:rPr>
            </w:pPr>
            <w:r>
              <w:rPr>
                <w:rFonts w:cs="Arial" w:ascii="Arial" w:hAnsi="Arial"/>
                <w:sz w:val="20"/>
                <w:szCs w:val="20"/>
              </w:rPr>
              <w:t>Shrewsbury dock synfuel/coal transloading option</w:t>
            </w:r>
          </w:p>
        </w:tc>
        <w:tc>
          <w:tcPr>
            <w:tcW w:w="2440"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(1.76)                       (1.96)</w:t>
            </w:r>
          </w:p>
        </w:tc>
      </w:tr>
      <w:tr>
        <w:trPr>
          <w:trHeight w:val="270" w:hRule="atLeast"/>
        </w:trPr>
        <w:tc>
          <w:tcPr>
            <w:tcW w:w="5332" w:type="dxa"/>
            <w:tcBorders/>
            <w:vAlign w:val="bottom"/>
          </w:tcPr>
          <w:p>
            <w:pPr>
              <w:pStyle w:val="Normal"/>
              <w:rPr>
                <w:rFonts w:ascii="Arial" w:hAnsi="Arial" w:eastAsia="Arial Unicode MS" w:cs="Arial"/>
                <w:sz w:val="20"/>
                <w:szCs w:val="20"/>
              </w:rPr>
            </w:pPr>
            <w:r>
              <w:rPr>
                <w:rFonts w:cs="Arial" w:ascii="Arial" w:hAnsi="Arial"/>
                <w:sz w:val="20"/>
                <w:szCs w:val="20"/>
              </w:rPr>
              <w:t>Additional Panther LLC coal reserves</w:t>
            </w:r>
          </w:p>
        </w:tc>
        <w:tc>
          <w:tcPr>
            <w:tcW w:w="2440"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(2.41)                       (2.70)</w:t>
            </w:r>
          </w:p>
        </w:tc>
      </w:tr>
      <w:tr>
        <w:trPr>
          <w:trHeight w:val="255" w:hRule="atLeast"/>
        </w:trPr>
        <w:tc>
          <w:tcPr>
            <w:tcW w:w="5332" w:type="dxa"/>
            <w:tcBorders/>
            <w:vAlign w:val="bottom"/>
          </w:tcPr>
          <w:p>
            <w:pPr>
              <w:pStyle w:val="Normal"/>
              <w:rPr>
                <w:rFonts w:ascii="Arial" w:hAnsi="Arial" w:eastAsia="Arial Unicode MS" w:cs="Arial"/>
                <w:sz w:val="20"/>
                <w:szCs w:val="20"/>
              </w:rPr>
            </w:pPr>
            <w:r>
              <w:rPr>
                <w:rFonts w:cs="Arial" w:ascii="Arial" w:hAnsi="Arial"/>
                <w:sz w:val="20"/>
                <w:szCs w:val="20"/>
              </w:rPr>
              <w:t>Wildcat LLC coal reserves</w:t>
            </w:r>
          </w:p>
        </w:tc>
        <w:tc>
          <w:tcPr>
            <w:tcW w:w="2440"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(1.76)                       (1.96)</w:t>
            </w:r>
          </w:p>
        </w:tc>
      </w:tr>
      <w:tr>
        <w:trPr>
          <w:trHeight w:val="255" w:hRule="atLeast"/>
        </w:trPr>
        <w:tc>
          <w:tcPr>
            <w:tcW w:w="5332" w:type="dxa"/>
            <w:tcBorders/>
            <w:vAlign w:val="bottom"/>
          </w:tcPr>
          <w:p>
            <w:pPr>
              <w:pStyle w:val="Heading7"/>
              <w:snapToGrid w:val="false"/>
              <w:ind w:hanging="0" w:start="0"/>
              <w:rPr>
                <w:rFonts w:ascii="Arial" w:hAnsi="Arial" w:eastAsia="Arial Unicode MS" w:cs="Arial"/>
                <w:sz w:val="20"/>
                <w:szCs w:val="20"/>
              </w:rPr>
            </w:pPr>
            <w:r>
              <w:rPr>
                <w:rFonts w:eastAsia="Arial Unicode MS" w:cs="Arial"/>
                <w:sz w:val="20"/>
                <w:szCs w:val="20"/>
              </w:rPr>
            </w:r>
          </w:p>
        </w:tc>
        <w:tc>
          <w:tcPr>
            <w:tcW w:w="2440" w:type="dxa"/>
            <w:tcBorders>
              <w:top w:val="single" w:sz="4" w:space="0" w:color="000000"/>
              <w:bottom w:val="single" w:sz="4" w:space="0" w:color="000000"/>
            </w:tcBorders>
            <w:vAlign w:val="bottom"/>
          </w:tcPr>
          <w:p>
            <w:pPr>
              <w:pStyle w:val="Normal"/>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(5.94)                       (6.62)</w:t>
            </w:r>
          </w:p>
        </w:tc>
      </w:tr>
      <w:tr>
        <w:trPr>
          <w:trHeight w:val="255" w:hRule="atLeast"/>
        </w:trPr>
        <w:tc>
          <w:tcPr>
            <w:tcW w:w="5332" w:type="dxa"/>
            <w:tcBorders/>
            <w:vAlign w:val="bottom"/>
          </w:tcPr>
          <w:p>
            <w:pPr>
              <w:pStyle w:val="Normal"/>
              <w:rPr>
                <w:rFonts w:ascii="Arial" w:hAnsi="Arial" w:cs="Arial"/>
                <w:b/>
                <w:bCs/>
                <w:sz w:val="20"/>
                <w:szCs w:val="20"/>
              </w:rPr>
            </w:pPr>
            <w:r>
              <w:rPr>
                <w:rFonts w:cs="Arial" w:ascii="Arial" w:hAnsi="Arial"/>
                <w:b/>
                <w:bCs/>
                <w:sz w:val="20"/>
                <w:szCs w:val="20"/>
              </w:rPr>
              <w:t>Cash Payment Due in Six Quarterly Installments</w:t>
            </w:r>
          </w:p>
        </w:tc>
        <w:tc>
          <w:tcPr>
            <w:tcW w:w="2440" w:type="dxa"/>
            <w:tcBorders>
              <w:top w:val="single" w:sz="4" w:space="0" w:color="000000"/>
              <w:bottom w:val="single" w:sz="4" w:space="0" w:color="000000"/>
            </w:tcBorders>
            <w:vAlign w:val="bottom"/>
          </w:tcPr>
          <w:p>
            <w:pPr>
              <w:pStyle w:val="Header"/>
              <w:widowControl/>
              <w:tabs>
                <w:tab w:val="clear" w:pos="4320"/>
                <w:tab w:val="clear" w:pos="8640"/>
              </w:tabs>
              <w:rPr>
                <w:rFonts w:ascii="Arial" w:hAnsi="Arial" w:cs="Arial"/>
                <w:b/>
                <w:bCs/>
              </w:rPr>
            </w:pPr>
            <w:r>
              <w:rPr>
                <w:rFonts w:eastAsia="Arial" w:cs="Arial" w:ascii="Arial" w:hAnsi="Arial"/>
                <w:b/>
                <w:bCs/>
              </w:rPr>
              <w:t xml:space="preserve">  </w:t>
            </w:r>
            <w:r>
              <w:rPr>
                <w:rFonts w:cs="Arial" w:ascii="Arial" w:hAnsi="Arial"/>
                <w:b/>
                <w:bCs/>
              </w:rPr>
              <w:t>3.30                          3.30</w:t>
            </w:r>
          </w:p>
        </w:tc>
      </w:tr>
      <w:tr>
        <w:trPr>
          <w:trHeight w:val="255" w:hRule="atLeast"/>
        </w:trPr>
        <w:tc>
          <w:tcPr>
            <w:tcW w:w="5332" w:type="dxa"/>
            <w:tcBorders/>
            <w:vAlign w:val="bottom"/>
          </w:tcPr>
          <w:p>
            <w:pPr>
              <w:pStyle w:val="Normal"/>
              <w:rPr>
                <w:rFonts w:ascii="Arial" w:hAnsi="Arial" w:cs="Arial"/>
                <w:sz w:val="18"/>
                <w:szCs w:val="20"/>
              </w:rPr>
            </w:pPr>
            <w:r>
              <w:rPr>
                <w:rFonts w:cs="Arial" w:ascii="Arial" w:hAnsi="Arial"/>
                <w:sz w:val="18"/>
                <w:szCs w:val="20"/>
              </w:rPr>
              <w:t>*As estimated by RAC following satisfaction of all conditions precedent</w:t>
            </w:r>
          </w:p>
        </w:tc>
        <w:tc>
          <w:tcPr>
            <w:tcW w:w="2440" w:type="dxa"/>
            <w:tcBorders>
              <w:top w:val="single" w:sz="4" w:space="0" w:color="000000"/>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r>
      <w:tr>
        <w:trPr>
          <w:trHeight w:val="255" w:hRule="atLeast"/>
        </w:trPr>
        <w:tc>
          <w:tcPr>
            <w:tcW w:w="5332" w:type="dxa"/>
            <w:tcBorders/>
            <w:vAlign w:val="bottom"/>
          </w:tcPr>
          <w:p>
            <w:pPr>
              <w:pStyle w:val="Normal"/>
              <w:rPr>
                <w:rFonts w:ascii="Arial" w:hAnsi="Arial" w:eastAsia="Arial Unicode MS" w:cs="Arial"/>
                <w:b/>
                <w:bCs/>
                <w:sz w:val="18"/>
                <w:szCs w:val="20"/>
              </w:rPr>
            </w:pPr>
            <w:r>
              <w:rPr>
                <w:rFonts w:cs="Arial" w:ascii="Arial" w:hAnsi="Arial"/>
                <w:sz w:val="18"/>
                <w:szCs w:val="20"/>
              </w:rPr>
              <w:t>**</w:t>
            </w:r>
            <w:r>
              <w:rPr>
                <w:rFonts w:cs="Arial" w:ascii="Arial" w:hAnsi="Arial"/>
                <w:i/>
                <w:iCs/>
                <w:sz w:val="18"/>
                <w:szCs w:val="20"/>
              </w:rPr>
              <w:t>includes credit on 17.62% distribution of DPR</w:t>
            </w:r>
          </w:p>
        </w:tc>
        <w:tc>
          <w:tcPr>
            <w:tcW w:w="2440"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r>
    </w:tbl>
    <w:p>
      <w:pPr>
        <w:pStyle w:val="BodyText"/>
        <w:jc w:val="both"/>
        <w:rPr>
          <w:b w:val="false"/>
        </w:rPr>
      </w:pPr>
      <w:r>
        <w:rPr>
          <w:b w:val="false"/>
        </w:rPr>
      </w:r>
    </w:p>
    <w:p>
      <w:pPr>
        <w:pStyle w:val="BodyText"/>
        <w:jc w:val="both"/>
        <w:rPr>
          <w:b w:val="false"/>
        </w:rPr>
      </w:pPr>
      <w:r>
        <w:rPr>
          <w:b w:val="false"/>
        </w:rPr>
        <w:t>If all the proposed transactions are consummated, Dakota and DPR would be credited a total of $5.9 million.  The remaining $3.3 million would be paid in cash in six equal quarterly installments of principal and interest of $629,493 each, commencing August 24, 2001, and thereafter within 55 days of the end of each calendar quarter.  If any transaction is not consummated, DPR would be charged 10.625% interest on cash payments due.</w:t>
      </w:r>
    </w:p>
    <w:p>
      <w:pPr>
        <w:pStyle w:val="BodyText"/>
        <w:jc w:val="both"/>
        <w:rPr>
          <w:b w:val="false"/>
        </w:rPr>
      </w:pPr>
      <w:r>
        <w:rPr>
          <w:b w:val="false"/>
        </w:rPr>
      </w:r>
    </w:p>
    <w:p>
      <w:pPr>
        <w:pStyle w:val="BodyText"/>
        <w:jc w:val="both"/>
        <w:rPr>
          <w:b w:val="false"/>
        </w:rPr>
      </w:pPr>
      <w:r>
        <w:rPr>
          <w:b w:val="false"/>
        </w:rPr>
        <w:t xml:space="preserve">EGM/JEDI II has elected to trade present value of $11 million in cash upfront in exchange for non-cash transactions which could potentially generate additional value to current mark to market value and generate upside potential from the location at the Shrewsbury Dock of a synfuel project site option with an estimated value of $6.16 million—assuming 50% probability of successfully relocating to the Dock.  If the synfuel option to which RAC attaches a 50% probability is consummated along with the other non-cash transactions, RAC estimates the net value to EGM at $9.56 million in excess of the $11.68 million due to EGM/JEDI II (including interest). If all transactions are successfully consummated, the value could be as high as $27.4 million, or $15.72 million in excess of the $11.68 million put amount (including interest).  These transactions have the potential advantage of redeeming $11 million of Enron’s equity interest with a minimum cash flow impact to DPR and Dakota.  Hence, Cline will continue to be incented to maximize performance of DPR and subsidiaries.  </w:t>
      </w:r>
    </w:p>
    <w:p>
      <w:pPr>
        <w:pStyle w:val="BodyText"/>
        <w:jc w:val="both"/>
        <w:rPr>
          <w:b w:val="false"/>
        </w:rPr>
      </w:pPr>
      <w:r>
        <w:rPr>
          <w:b w:val="false"/>
        </w:rPr>
      </w:r>
    </w:p>
    <w:p>
      <w:pPr>
        <w:pStyle w:val="Heading2"/>
        <w:widowControl/>
        <w:pBdr>
          <w:top w:val="single" w:sz="8" w:space="1" w:color="000000"/>
        </w:pBdr>
        <w:ind w:hanging="0" w:start="0" w:end="-36"/>
        <w:rPr/>
      </w:pPr>
      <w:r>
        <w:rPr/>
        <w:t>TRANSACTION SOURCES AND USES OF FUNDS (millions)</w:t>
      </w:r>
    </w:p>
    <w:tbl>
      <w:tblPr>
        <w:tblW w:w="9360" w:type="dxa"/>
        <w:jc w:val="start"/>
        <w:tblInd w:w="378" w:type="dxa"/>
        <w:tblLayout w:type="fixed"/>
        <w:tblCellMar>
          <w:top w:w="0" w:type="dxa"/>
          <w:start w:w="108" w:type="dxa"/>
          <w:bottom w:w="0" w:type="dxa"/>
          <w:end w:w="108" w:type="dxa"/>
        </w:tblCellMar>
      </w:tblPr>
      <w:tblGrid>
        <w:gridCol w:w="3330"/>
        <w:gridCol w:w="1440"/>
        <w:gridCol w:w="540"/>
        <w:gridCol w:w="3060"/>
        <w:gridCol w:w="990"/>
      </w:tblGrid>
      <w:tr>
        <w:trPr/>
        <w:tc>
          <w:tcPr>
            <w:tcW w:w="3330"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jc w:val="end"/>
              <w:rPr>
                <w:rFonts w:ascii="Arial" w:hAnsi="Arial" w:cs="Arial"/>
                <w:sz w:val="20"/>
                <w:u w:val="single"/>
              </w:rPr>
            </w:pPr>
            <w:r>
              <w:rPr>
                <w:rFonts w:cs="Arial" w:ascii="Arial" w:hAnsi="Arial"/>
                <w:sz w:val="20"/>
                <w:u w:val="single"/>
              </w:rPr>
              <w:t>Sources</w:t>
            </w:r>
          </w:p>
        </w:tc>
        <w:tc>
          <w:tcPr>
            <w:tcW w:w="540" w:type="dxa"/>
            <w:tcBorders/>
          </w:tcPr>
          <w:p>
            <w:pPr>
              <w:pStyle w:val="Normal"/>
              <w:snapToGrid w:val="false"/>
              <w:jc w:val="end"/>
              <w:rPr>
                <w:rFonts w:ascii="Arial" w:hAnsi="Arial" w:cs="Arial"/>
                <w:sz w:val="20"/>
                <w:u w:val="single"/>
              </w:rPr>
            </w:pPr>
            <w:r>
              <w:rPr>
                <w:rFonts w:cs="Arial" w:ascii="Arial" w:hAnsi="Arial"/>
                <w:sz w:val="20"/>
                <w:u w:val="single"/>
              </w:rPr>
            </w:r>
          </w:p>
        </w:tc>
        <w:tc>
          <w:tcPr>
            <w:tcW w:w="3060" w:type="dxa"/>
            <w:tcBorders/>
          </w:tcPr>
          <w:p>
            <w:pPr>
              <w:pStyle w:val="Normal"/>
              <w:snapToGrid w:val="false"/>
              <w:jc w:val="end"/>
              <w:rPr>
                <w:rFonts w:ascii="Arial" w:hAnsi="Arial" w:cs="Arial"/>
                <w:sz w:val="20"/>
                <w:u w:val="single"/>
              </w:rPr>
            </w:pPr>
            <w:r>
              <w:rPr>
                <w:rFonts w:cs="Arial" w:ascii="Arial" w:hAnsi="Arial"/>
                <w:sz w:val="20"/>
                <w:u w:val="single"/>
              </w:rPr>
            </w:r>
          </w:p>
        </w:tc>
        <w:tc>
          <w:tcPr>
            <w:tcW w:w="990" w:type="dxa"/>
            <w:tcBorders/>
          </w:tcPr>
          <w:p>
            <w:pPr>
              <w:pStyle w:val="Normal"/>
              <w:jc w:val="end"/>
              <w:rPr>
                <w:rFonts w:ascii="Arial" w:hAnsi="Arial" w:cs="Arial"/>
                <w:sz w:val="20"/>
                <w:u w:val="single"/>
              </w:rPr>
            </w:pPr>
            <w:r>
              <w:rPr>
                <w:rFonts w:cs="Arial" w:ascii="Arial" w:hAnsi="Arial"/>
                <w:sz w:val="20"/>
                <w:u w:val="single"/>
              </w:rPr>
              <w:t>Uses</w:t>
            </w:r>
          </w:p>
        </w:tc>
      </w:tr>
      <w:tr>
        <w:trPr/>
        <w:tc>
          <w:tcPr>
            <w:tcW w:w="3330" w:type="dxa"/>
            <w:tcBorders/>
          </w:tcPr>
          <w:p>
            <w:pPr>
              <w:pStyle w:val="Normal"/>
              <w:rPr>
                <w:rFonts w:ascii="Arial" w:hAnsi="Arial" w:cs="Arial"/>
                <w:sz w:val="20"/>
              </w:rPr>
            </w:pPr>
            <w:r>
              <w:rPr>
                <w:rFonts w:cs="Arial" w:ascii="Arial" w:hAnsi="Arial"/>
                <w:sz w:val="20"/>
              </w:rPr>
              <w:t>DPR Note</w:t>
            </w:r>
          </w:p>
        </w:tc>
        <w:tc>
          <w:tcPr>
            <w:tcW w:w="1440" w:type="dxa"/>
            <w:tcBorders/>
          </w:tcPr>
          <w:p>
            <w:pPr>
              <w:pStyle w:val="Normal"/>
              <w:ind w:end="-108"/>
              <w:rPr>
                <w:rFonts w:ascii="Arial" w:hAnsi="Arial" w:cs="Arial"/>
                <w:sz w:val="20"/>
              </w:rPr>
            </w:pPr>
            <w:r>
              <w:rPr>
                <w:rFonts w:eastAsia="Arial" w:cs="Arial" w:ascii="Arial" w:hAnsi="Arial"/>
                <w:sz w:val="20"/>
              </w:rPr>
              <w:t xml:space="preserve"> </w:t>
            </w:r>
            <w:r>
              <w:rPr>
                <w:rFonts w:cs="Arial" w:ascii="Arial" w:hAnsi="Arial"/>
                <w:sz w:val="20"/>
              </w:rPr>
              <w:t>$3.30 - 9.24</w:t>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rPr>
                <w:rFonts w:ascii="Arial" w:hAnsi="Arial" w:cs="Arial"/>
              </w:rPr>
            </w:pPr>
            <w:r>
              <w:rPr>
                <w:rFonts w:cs="Arial" w:ascii="Arial" w:hAnsi="Arial"/>
              </w:rPr>
              <w:t>Requirement of Dakota, Remington and DPR equity interests</w:t>
            </w:r>
          </w:p>
        </w:tc>
        <w:tc>
          <w:tcPr>
            <w:tcW w:w="990" w:type="dxa"/>
            <w:tcBorders/>
          </w:tcPr>
          <w:p>
            <w:pPr>
              <w:pStyle w:val="Normal"/>
              <w:jc w:val="center"/>
              <w:rPr>
                <w:rFonts w:ascii="Arial" w:hAnsi="Arial" w:cs="Arial"/>
                <w:sz w:val="20"/>
              </w:rPr>
            </w:pPr>
            <w:r>
              <w:rPr>
                <w:rFonts w:cs="Arial" w:ascii="Arial" w:hAnsi="Arial"/>
                <w:sz w:val="20"/>
              </w:rPr>
              <w:t>$11.00</w:t>
            </w:r>
          </w:p>
        </w:tc>
      </w:tr>
      <w:tr>
        <w:trPr/>
        <w:tc>
          <w:tcPr>
            <w:tcW w:w="3330" w:type="dxa"/>
            <w:tcBorders/>
          </w:tcPr>
          <w:p>
            <w:pPr>
              <w:pStyle w:val="Header"/>
              <w:widowControl/>
              <w:tabs>
                <w:tab w:val="clear" w:pos="4320"/>
                <w:tab w:val="clear" w:pos="8640"/>
              </w:tabs>
              <w:rPr>
                <w:rFonts w:ascii="Arial" w:hAnsi="Arial" w:cs="Arial"/>
              </w:rPr>
            </w:pPr>
            <w:r>
              <w:rPr>
                <w:rFonts w:cs="Arial" w:ascii="Arial" w:hAnsi="Arial"/>
              </w:rPr>
              <w:t>Shrewsbury Dock Option</w:t>
            </w:r>
          </w:p>
        </w:tc>
        <w:tc>
          <w:tcPr>
            <w:tcW w:w="1440" w:type="dxa"/>
            <w:tcBorders/>
          </w:tcPr>
          <w:p>
            <w:pPr>
              <w:pStyle w:val="Normal"/>
              <w:jc w:val="center"/>
              <w:rPr>
                <w:rFonts w:ascii="Arial" w:hAnsi="Arial" w:cs="Arial"/>
                <w:sz w:val="20"/>
              </w:rPr>
            </w:pPr>
            <w:r>
              <w:rPr>
                <w:rFonts w:eastAsia="Arial" w:cs="Arial" w:ascii="Arial" w:hAnsi="Arial"/>
                <w:sz w:val="20"/>
              </w:rPr>
              <w:t xml:space="preserve">          </w:t>
            </w:r>
            <w:r>
              <w:rPr>
                <w:rFonts w:cs="Arial" w:ascii="Arial" w:hAnsi="Arial"/>
                <w:sz w:val="20"/>
              </w:rPr>
              <w:t>1.76</w:t>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990" w:type="dxa"/>
            <w:tcBorders/>
          </w:tcPr>
          <w:p>
            <w:pPr>
              <w:pStyle w:val="Normal"/>
              <w:snapToGrid w:val="false"/>
              <w:jc w:val="end"/>
              <w:rPr>
                <w:rFonts w:ascii="Arial" w:hAnsi="Arial" w:cs="Arial"/>
                <w:sz w:val="20"/>
              </w:rPr>
            </w:pPr>
            <w:r>
              <w:rPr>
                <w:rFonts w:cs="Arial" w:ascii="Arial" w:hAnsi="Arial"/>
                <w:sz w:val="20"/>
              </w:rPr>
            </w:r>
          </w:p>
        </w:tc>
      </w:tr>
      <w:tr>
        <w:trPr/>
        <w:tc>
          <w:tcPr>
            <w:tcW w:w="3330" w:type="dxa"/>
            <w:tcBorders/>
          </w:tcPr>
          <w:p>
            <w:pPr>
              <w:pStyle w:val="Header"/>
              <w:widowControl/>
              <w:tabs>
                <w:tab w:val="clear" w:pos="4320"/>
                <w:tab w:val="clear" w:pos="8640"/>
              </w:tabs>
              <w:rPr>
                <w:rFonts w:ascii="Arial" w:hAnsi="Arial" w:cs="Arial"/>
              </w:rPr>
            </w:pPr>
            <w:r>
              <w:rPr>
                <w:rFonts w:cs="Arial" w:ascii="Arial" w:hAnsi="Arial"/>
              </w:rPr>
              <w:t>Other Cline Options</w:t>
            </w:r>
          </w:p>
        </w:tc>
        <w:tc>
          <w:tcPr>
            <w:tcW w:w="1440" w:type="dxa"/>
            <w:tcBorders/>
          </w:tcPr>
          <w:p>
            <w:pPr>
              <w:pStyle w:val="Normal"/>
              <w:rPr>
                <w:rFonts w:ascii="Arial" w:hAnsi="Arial" w:cs="Arial"/>
                <w:sz w:val="20"/>
              </w:rPr>
            </w:pPr>
            <w:r>
              <w:rPr>
                <w:rFonts w:eastAsia="Arial" w:cs="Arial" w:ascii="Arial" w:hAnsi="Arial"/>
                <w:sz w:val="20"/>
              </w:rPr>
              <w:t xml:space="preserve">   </w:t>
            </w:r>
            <w:r>
              <w:rPr>
                <w:rFonts w:cs="Arial" w:ascii="Arial" w:hAnsi="Arial"/>
                <w:sz w:val="20"/>
              </w:rPr>
              <w:t>0.00 - 5.94</w:t>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990" w:type="dxa"/>
            <w:tcBorders/>
          </w:tcPr>
          <w:p>
            <w:pPr>
              <w:pStyle w:val="Normal"/>
              <w:snapToGrid w:val="false"/>
              <w:jc w:val="end"/>
              <w:rPr>
                <w:rFonts w:ascii="Arial" w:hAnsi="Arial" w:cs="Arial"/>
                <w:sz w:val="20"/>
              </w:rPr>
            </w:pPr>
            <w:r>
              <w:rPr>
                <w:rFonts w:cs="Arial" w:ascii="Arial" w:hAnsi="Arial"/>
                <w:sz w:val="20"/>
              </w:rPr>
            </w:r>
          </w:p>
        </w:tc>
      </w:tr>
      <w:tr>
        <w:trPr/>
        <w:tc>
          <w:tcPr>
            <w:tcW w:w="3330" w:type="dxa"/>
            <w:tcBorders/>
          </w:tcPr>
          <w:p>
            <w:pPr>
              <w:pStyle w:val="Normal"/>
              <w:rPr>
                <w:rFonts w:ascii="Arial" w:hAnsi="Arial" w:cs="Arial"/>
                <w:sz w:val="20"/>
              </w:rPr>
            </w:pPr>
            <w:r>
              <w:rPr>
                <w:rFonts w:cs="Arial" w:ascii="Arial" w:hAnsi="Arial"/>
                <w:sz w:val="20"/>
              </w:rPr>
              <w:t>Total</w:t>
            </w:r>
          </w:p>
        </w:tc>
        <w:tc>
          <w:tcPr>
            <w:tcW w:w="1440" w:type="dxa"/>
            <w:tcBorders>
              <w:top w:val="single" w:sz="6" w:space="0" w:color="000000"/>
              <w:bottom w:val="single" w:sz="6" w:space="0" w:color="000000"/>
            </w:tcBorders>
          </w:tcPr>
          <w:p>
            <w:pPr>
              <w:pStyle w:val="Normal"/>
              <w:jc w:val="center"/>
              <w:rPr/>
            </w:pPr>
            <w:r>
              <w:rPr>
                <w:rFonts w:eastAsia="Arial" w:cs="Arial" w:ascii="Arial" w:hAnsi="Arial"/>
                <w:sz w:val="20"/>
              </w:rPr>
              <w:t xml:space="preserve">    </w:t>
            </w: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11.0</w:t>
            </w:r>
            <w:r>
              <w:rPr>
                <w:rFonts w:cs="Arial" w:ascii="Arial" w:hAnsi="Arial"/>
                <w:sz w:val="20"/>
                <w:lang w:val="en-CA" w:eastAsia="en-CA"/>
              </w:rPr>
            </w:r>
            <w:r>
              <w:rPr>
                <w:sz w:val="20"/>
                <w:rFonts w:cs="Arial" w:ascii="Arial" w:hAnsi="Arial"/>
                <w:lang w:val="en-CA" w:eastAsia="en-CA"/>
              </w:rPr>
              <w:fldChar w:fldCharType="end"/>
            </w:r>
            <w:r>
              <w:rPr>
                <w:rFonts w:cs="Arial" w:ascii="Arial" w:hAnsi="Arial"/>
                <w:sz w:val="20"/>
              </w:rPr>
              <w:t>0</w:t>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Normal"/>
              <w:snapToGrid w:val="false"/>
              <w:jc w:val="end"/>
              <w:rPr>
                <w:rFonts w:ascii="Arial" w:hAnsi="Arial" w:cs="Arial"/>
                <w:sz w:val="20"/>
              </w:rPr>
            </w:pPr>
            <w:r>
              <w:rPr>
                <w:rFonts w:cs="Arial" w:ascii="Arial" w:hAnsi="Arial"/>
                <w:sz w:val="20"/>
              </w:rPr>
            </w:r>
          </w:p>
        </w:tc>
        <w:tc>
          <w:tcPr>
            <w:tcW w:w="990" w:type="dxa"/>
            <w:tcBorders>
              <w:top w:val="single" w:sz="6" w:space="0" w:color="000000"/>
              <w:bottom w:val="single" w:sz="6" w:space="0" w:color="000000"/>
            </w:tcBorders>
          </w:tcPr>
          <w:p>
            <w:pPr>
              <w:pStyle w:val="Normal"/>
              <w:jc w:val="center"/>
              <w:rPr>
                <w:rFonts w:ascii="Arial" w:hAnsi="Arial" w:cs="Arial"/>
                <w:sz w:val="20"/>
              </w:rPr>
            </w:pPr>
            <w:r>
              <w:rPr>
                <w:rFonts w:cs="Arial" w:ascii="Arial" w:hAnsi="Arial"/>
                <w:sz w:val="20"/>
              </w:rPr>
              <w:t>$11.00</w:t>
            </w:r>
          </w:p>
        </w:tc>
      </w:tr>
      <w:tr>
        <w:trPr/>
        <w:tc>
          <w:tcPr>
            <w:tcW w:w="3330" w:type="dxa"/>
            <w:tcBorders/>
          </w:tcPr>
          <w:p>
            <w:pPr>
              <w:pStyle w:val="Normal"/>
              <w:snapToGrid w:val="false"/>
              <w:rPr>
                <w:rFonts w:ascii="Arial" w:hAnsi="Arial" w:cs="Arial"/>
                <w:sz w:val="20"/>
              </w:rPr>
            </w:pPr>
            <w:r>
              <w:rPr>
                <w:rFonts w:cs="Arial" w:ascii="Arial" w:hAnsi="Arial"/>
                <w:sz w:val="20"/>
              </w:rPr>
            </w:r>
          </w:p>
        </w:tc>
        <w:tc>
          <w:tcPr>
            <w:tcW w:w="1440" w:type="dxa"/>
            <w:tcBorders>
              <w:top w:val="single" w:sz="6" w:space="0" w:color="000000"/>
            </w:tcBorders>
          </w:tcPr>
          <w:p>
            <w:pPr>
              <w:pStyle w:val="Normal"/>
              <w:snapToGrid w:val="false"/>
              <w:jc w:val="end"/>
              <w:rPr>
                <w:rFonts w:ascii="Arial" w:hAnsi="Arial" w:cs="Arial"/>
                <w:sz w:val="20"/>
              </w:rPr>
            </w:pPr>
            <w:r>
              <w:rPr>
                <w:rFonts w:cs="Arial" w:ascii="Arial" w:hAnsi="Arial"/>
                <w:sz w:val="20"/>
              </w:rPr>
            </w:r>
          </w:p>
        </w:tc>
        <w:tc>
          <w:tcPr>
            <w:tcW w:w="540" w:type="dxa"/>
            <w:tcBorders/>
          </w:tcPr>
          <w:p>
            <w:pPr>
              <w:pStyle w:val="Normal"/>
              <w:snapToGrid w:val="false"/>
              <w:rPr>
                <w:rFonts w:ascii="Arial" w:hAnsi="Arial" w:cs="Arial"/>
                <w:sz w:val="20"/>
              </w:rPr>
            </w:pPr>
            <w:r>
              <w:rPr>
                <w:rFonts w:cs="Arial" w:ascii="Arial" w:hAnsi="Arial"/>
                <w:sz w:val="20"/>
              </w:rPr>
            </w:r>
          </w:p>
        </w:tc>
        <w:tc>
          <w:tcPr>
            <w:tcW w:w="3060" w:type="dxa"/>
            <w:tcBorders/>
          </w:tcPr>
          <w:p>
            <w:pPr>
              <w:pStyle w:val="Normal"/>
              <w:snapToGrid w:val="false"/>
              <w:jc w:val="end"/>
              <w:rPr>
                <w:rFonts w:ascii="Arial" w:hAnsi="Arial" w:cs="Arial"/>
                <w:sz w:val="20"/>
              </w:rPr>
            </w:pPr>
            <w:r>
              <w:rPr>
                <w:rFonts w:cs="Arial" w:ascii="Arial" w:hAnsi="Arial"/>
                <w:sz w:val="20"/>
              </w:rPr>
            </w:r>
          </w:p>
        </w:tc>
        <w:tc>
          <w:tcPr>
            <w:tcW w:w="990" w:type="dxa"/>
            <w:tcBorders>
              <w:top w:val="single" w:sz="6" w:space="0" w:color="000000"/>
            </w:tcBorders>
          </w:tcPr>
          <w:p>
            <w:pPr>
              <w:pStyle w:val="Normal"/>
              <w:snapToGrid w:val="false"/>
              <w:jc w:val="end"/>
              <w:rPr>
                <w:rFonts w:ascii="Arial" w:hAnsi="Arial" w:cs="Arial"/>
                <w:sz w:val="20"/>
              </w:rPr>
            </w:pPr>
            <w:r>
              <w:rPr>
                <w:rFonts w:cs="Arial" w:ascii="Arial" w:hAnsi="Arial"/>
                <w:sz w:val="20"/>
              </w:rPr>
            </w:r>
          </w:p>
        </w:tc>
      </w:tr>
    </w:tbl>
    <w:p>
      <w:pPr>
        <w:pStyle w:val="Normal"/>
        <w:pBdr>
          <w:bottom w:val="single" w:sz="8" w:space="1" w:color="000000"/>
        </w:pBdr>
        <w:rPr>
          <w:rFonts w:ascii="Arial" w:hAnsi="Arial" w:cs="Arial"/>
          <w:sz w:val="20"/>
        </w:rPr>
      </w:pPr>
      <w:r>
        <w:rPr>
          <w:rFonts w:cs="Arial" w:ascii="Arial" w:hAnsi="Arial"/>
          <w:sz w:val="20"/>
        </w:rPr>
      </w:r>
    </w:p>
    <w:tbl>
      <w:tblPr>
        <w:tblW w:w="11614" w:type="dxa"/>
        <w:jc w:val="start"/>
        <w:tblInd w:w="108" w:type="dxa"/>
        <w:tblLayout w:type="fixed"/>
        <w:tblCellMar>
          <w:top w:w="0" w:type="dxa"/>
          <w:start w:w="108" w:type="dxa"/>
          <w:bottom w:w="0" w:type="dxa"/>
          <w:end w:w="108" w:type="dxa"/>
        </w:tblCellMar>
      </w:tblPr>
      <w:tblGrid>
        <w:gridCol w:w="4860"/>
        <w:gridCol w:w="1080"/>
        <w:gridCol w:w="900"/>
        <w:gridCol w:w="1080"/>
        <w:gridCol w:w="2790"/>
        <w:gridCol w:w="270"/>
        <w:gridCol w:w="634"/>
      </w:tblGrid>
      <w:tr>
        <w:trPr>
          <w:trHeight w:val="342" w:hRule="atLeast"/>
        </w:trPr>
        <w:tc>
          <w:tcPr>
            <w:tcW w:w="7920" w:type="dxa"/>
            <w:gridSpan w:val="4"/>
            <w:tcBorders/>
          </w:tcPr>
          <w:p>
            <w:pPr>
              <w:pStyle w:val="Normal"/>
              <w:rPr>
                <w:rFonts w:ascii="Arial" w:hAnsi="Arial" w:cs="Arial"/>
                <w:b/>
                <w:bCs/>
                <w:iCs/>
                <w:sz w:val="20"/>
              </w:rPr>
            </w:pPr>
            <w:r>
              <w:rPr>
                <w:rFonts w:cs="Arial" w:ascii="Arial" w:hAnsi="Arial"/>
                <w:b/>
                <w:bCs/>
                <w:iCs/>
                <w:sz w:val="20"/>
              </w:rPr>
              <w:t>RETURN SUMMARY (millions)</w:t>
            </w:r>
          </w:p>
        </w:tc>
        <w:tc>
          <w:tcPr>
            <w:tcW w:w="3694" w:type="dxa"/>
            <w:gridSpan w:val="3"/>
            <w:tcBorders/>
          </w:tcPr>
          <w:p>
            <w:pPr>
              <w:pStyle w:val="Normal"/>
              <w:snapToGrid w:val="false"/>
              <w:jc w:val="end"/>
              <w:rPr>
                <w:rFonts w:ascii="Arial" w:hAnsi="Arial" w:cs="Arial"/>
                <w:b/>
                <w:bCs/>
                <w:iCs/>
                <w:sz w:val="20"/>
              </w:rPr>
            </w:pPr>
            <w:r>
              <w:rPr>
                <w:rFonts w:cs="Arial" w:ascii="Arial" w:hAnsi="Arial"/>
                <w:b/>
                <w:bCs/>
                <w:iCs/>
                <w:sz w:val="20"/>
              </w:rPr>
            </w:r>
          </w:p>
        </w:tc>
      </w:tr>
      <w:tr>
        <w:trPr>
          <w:trHeight w:val="189" w:hRule="atLeast"/>
        </w:trPr>
        <w:tc>
          <w:tcPr>
            <w:tcW w:w="4860" w:type="dxa"/>
            <w:tcBorders/>
          </w:tcPr>
          <w:p>
            <w:pPr>
              <w:pStyle w:val="Heading9"/>
              <w:widowControl/>
              <w:tabs>
                <w:tab w:val="clear" w:pos="2870"/>
                <w:tab w:val="clear" w:pos="3617"/>
                <w:tab w:val="center" w:pos="2909" w:leader="none"/>
                <w:tab w:val="center" w:pos="4079" w:leader="none"/>
              </w:tabs>
              <w:snapToGrid w:val="false"/>
              <w:ind w:start="0" w:end="-217"/>
              <w:rPr>
                <w:rFonts w:ascii="Arial" w:hAnsi="Arial" w:cs="Arial"/>
                <w:b w:val="false"/>
                <w:sz w:val="20"/>
              </w:rPr>
            </w:pPr>
            <w:r>
              <w:rPr>
                <w:rFonts w:cs="Arial" w:ascii="Arial" w:hAnsi="Arial"/>
                <w:b w:val="false"/>
                <w:sz w:val="20"/>
              </w:rPr>
            </w:r>
          </w:p>
        </w:tc>
        <w:tc>
          <w:tcPr>
            <w:tcW w:w="1080" w:type="dxa"/>
            <w:tcBorders/>
          </w:tcPr>
          <w:p>
            <w:pPr>
              <w:pStyle w:val="Normal"/>
              <w:snapToGrid w:val="false"/>
              <w:jc w:val="end"/>
              <w:rPr>
                <w:rFonts w:ascii="Arial" w:hAnsi="Arial" w:cs="Arial"/>
                <w:b w:val="false"/>
                <w:sz w:val="20"/>
              </w:rPr>
            </w:pPr>
            <w:r>
              <w:rPr>
                <w:rFonts w:cs="Arial" w:ascii="Arial" w:hAnsi="Arial"/>
                <w:b w:val="false"/>
                <w:sz w:val="20"/>
              </w:rPr>
            </w:r>
          </w:p>
        </w:tc>
        <w:tc>
          <w:tcPr>
            <w:tcW w:w="90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1080" w:type="dxa"/>
            <w:tcBorders/>
          </w:tcPr>
          <w:p>
            <w:pPr>
              <w:pStyle w:val="Heading9"/>
              <w:widowControl/>
              <w:snapToGrid w:val="false"/>
              <w:ind w:start="0" w:end="-63"/>
              <w:rPr>
                <w:rFonts w:ascii="Arial" w:hAnsi="Arial" w:cs="Arial"/>
                <w:b w:val="false"/>
              </w:rPr>
            </w:pPr>
            <w:r>
              <w:rPr>
                <w:rFonts w:cs="Arial" w:ascii="Arial" w:hAnsi="Arial"/>
                <w:b w:val="false"/>
              </w:rPr>
            </w:r>
          </w:p>
        </w:tc>
        <w:tc>
          <w:tcPr>
            <w:tcW w:w="2790" w:type="dxa"/>
            <w:tcBorders/>
          </w:tcPr>
          <w:p>
            <w:pPr>
              <w:pStyle w:val="Heading9"/>
              <w:widowControl/>
              <w:snapToGrid w:val="false"/>
              <w:ind w:start="0" w:end="-63"/>
              <w:rPr>
                <w:rFonts w:ascii="Arial" w:hAnsi="Arial" w:cs="Arial"/>
                <w:b w:val="false"/>
              </w:rPr>
            </w:pPr>
            <w:r>
              <w:rPr>
                <w:rFonts w:cs="Arial" w:ascii="Arial" w:hAnsi="Arial"/>
                <w:b w:val="false"/>
              </w:rPr>
            </w:r>
          </w:p>
        </w:tc>
        <w:tc>
          <w:tcPr>
            <w:tcW w:w="270" w:type="dxa"/>
            <w:tcBorders/>
          </w:tcPr>
          <w:p>
            <w:pPr>
              <w:pStyle w:val="Normal"/>
              <w:snapToGrid w:val="false"/>
              <w:ind w:end="-69"/>
              <w:jc w:val="end"/>
              <w:rPr>
                <w:rFonts w:ascii="Arial" w:hAnsi="Arial" w:cs="Arial"/>
                <w:b w:val="false"/>
                <w:bCs/>
                <w:sz w:val="20"/>
              </w:rPr>
            </w:pPr>
            <w:r>
              <w:rPr>
                <w:rFonts w:cs="Arial" w:ascii="Arial" w:hAnsi="Arial"/>
                <w:b w:val="false"/>
                <w:bCs/>
                <w:sz w:val="20"/>
              </w:rPr>
            </w:r>
          </w:p>
        </w:tc>
        <w:tc>
          <w:tcPr>
            <w:tcW w:w="634" w:type="dxa"/>
            <w:tcBorders/>
            <w:tcMar>
              <w:start w:w="0" w:type="dxa"/>
              <w:end w:w="0" w:type="dxa"/>
            </w:tcMar>
          </w:tcPr>
          <w:p>
            <w:pPr>
              <w:pStyle w:val="Normal"/>
              <w:snapToGrid w:val="false"/>
              <w:rPr>
                <w:rFonts w:ascii="Arial" w:hAnsi="Arial" w:cs="Arial"/>
                <w:b/>
                <w:bCs/>
                <w:sz w:val="20"/>
              </w:rPr>
            </w:pPr>
            <w:r>
              <w:rPr>
                <w:rFonts w:cs="Arial" w:ascii="Arial" w:hAnsi="Arial"/>
                <w:b/>
                <w:bCs/>
                <w:sz w:val="20"/>
              </w:rPr>
            </w:r>
          </w:p>
        </w:tc>
      </w:tr>
      <w:tr>
        <w:trPr>
          <w:trHeight w:val="189" w:hRule="atLeast"/>
        </w:trPr>
        <w:tc>
          <w:tcPr>
            <w:tcW w:w="48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 xml:space="preserve">Net value assuming no credits consummated </w:t>
            </w:r>
          </w:p>
        </w:tc>
        <w:tc>
          <w:tcPr>
            <w:tcW w:w="1080" w:type="dxa"/>
            <w:tcBorders/>
          </w:tcPr>
          <w:p>
            <w:pPr>
              <w:pStyle w:val="Normal"/>
              <w:jc w:val="center"/>
              <w:rPr>
                <w:rFonts w:ascii="Arial" w:hAnsi="Arial" w:cs="Arial"/>
                <w:sz w:val="20"/>
              </w:rPr>
            </w:pPr>
            <w:r>
              <w:rPr>
                <w:rFonts w:eastAsia="Arial" w:cs="Arial" w:ascii="Arial" w:hAnsi="Arial"/>
                <w:sz w:val="20"/>
              </w:rPr>
              <w:t xml:space="preserve">    </w:t>
            </w:r>
            <w:r>
              <w:rPr>
                <w:rFonts w:cs="Arial" w:ascii="Arial" w:hAnsi="Arial"/>
                <w:sz w:val="20"/>
              </w:rPr>
              <w:t>$2.54</w:t>
            </w:r>
          </w:p>
        </w:tc>
        <w:tc>
          <w:tcPr>
            <w:tcW w:w="90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1080" w:type="dxa"/>
            <w:tcBorders/>
          </w:tcPr>
          <w:p>
            <w:pPr>
              <w:pStyle w:val="Heading9"/>
              <w:widowControl/>
              <w:snapToGrid w:val="false"/>
              <w:ind w:start="0" w:end="-63"/>
              <w:rPr>
                <w:rFonts w:ascii="Arial" w:hAnsi="Arial" w:cs="Arial"/>
                <w:b w:val="false"/>
              </w:rPr>
            </w:pPr>
            <w:r>
              <w:rPr>
                <w:rFonts w:cs="Arial" w:ascii="Arial" w:hAnsi="Arial"/>
                <w:b w:val="false"/>
              </w:rPr>
            </w:r>
          </w:p>
        </w:tc>
        <w:tc>
          <w:tcPr>
            <w:tcW w:w="2790" w:type="dxa"/>
            <w:tcBorders/>
          </w:tcPr>
          <w:p>
            <w:pPr>
              <w:pStyle w:val="Heading9"/>
              <w:widowControl/>
              <w:snapToGrid w:val="false"/>
              <w:ind w:start="0" w:end="-63"/>
              <w:rPr>
                <w:rFonts w:ascii="Arial" w:hAnsi="Arial" w:cs="Arial"/>
                <w:b w:val="false"/>
              </w:rPr>
            </w:pPr>
            <w:r>
              <w:rPr>
                <w:rFonts w:cs="Arial" w:ascii="Arial" w:hAnsi="Arial"/>
                <w:b w:val="false"/>
              </w:rPr>
            </w:r>
          </w:p>
        </w:tc>
        <w:tc>
          <w:tcPr>
            <w:tcW w:w="270" w:type="dxa"/>
            <w:tcBorders/>
          </w:tcPr>
          <w:p>
            <w:pPr>
              <w:pStyle w:val="Normal"/>
              <w:snapToGrid w:val="false"/>
              <w:ind w:end="-69"/>
              <w:jc w:val="end"/>
              <w:rPr>
                <w:rFonts w:ascii="Arial" w:hAnsi="Arial" w:cs="Arial"/>
                <w:b w:val="false"/>
                <w:bCs/>
                <w:sz w:val="20"/>
              </w:rPr>
            </w:pPr>
            <w:r>
              <w:rPr>
                <w:rFonts w:cs="Arial" w:ascii="Arial" w:hAnsi="Arial"/>
                <w:b w:val="false"/>
                <w:bCs/>
                <w:sz w:val="20"/>
              </w:rPr>
            </w:r>
          </w:p>
        </w:tc>
        <w:tc>
          <w:tcPr>
            <w:tcW w:w="634" w:type="dxa"/>
            <w:tcBorders/>
            <w:tcMar>
              <w:start w:w="0" w:type="dxa"/>
              <w:end w:w="0" w:type="dxa"/>
            </w:tcMar>
          </w:tcPr>
          <w:p>
            <w:pPr>
              <w:pStyle w:val="Normal"/>
              <w:snapToGrid w:val="false"/>
              <w:rPr>
                <w:rFonts w:ascii="Arial" w:hAnsi="Arial" w:cs="Arial"/>
                <w:b/>
                <w:bCs/>
                <w:sz w:val="20"/>
              </w:rPr>
            </w:pPr>
            <w:r>
              <w:rPr>
                <w:rFonts w:cs="Arial" w:ascii="Arial" w:hAnsi="Arial"/>
                <w:b/>
                <w:bCs/>
                <w:sz w:val="20"/>
              </w:rPr>
            </w:r>
          </w:p>
        </w:tc>
      </w:tr>
      <w:tr>
        <w:trPr>
          <w:trHeight w:val="189" w:hRule="atLeast"/>
        </w:trPr>
        <w:tc>
          <w:tcPr>
            <w:tcW w:w="48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 xml:space="preserve">RAC net value assuming all credits consummated </w:t>
            </w:r>
          </w:p>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(with 50% probability of synfuel option)</w:t>
            </w:r>
          </w:p>
        </w:tc>
        <w:tc>
          <w:tcPr>
            <w:tcW w:w="1080" w:type="dxa"/>
            <w:tcBorders/>
          </w:tcPr>
          <w:p>
            <w:pPr>
              <w:pStyle w:val="Normal"/>
              <w:jc w:val="center"/>
              <w:rPr>
                <w:rFonts w:ascii="Arial" w:hAnsi="Arial" w:cs="Arial"/>
                <w:sz w:val="20"/>
              </w:rPr>
            </w:pPr>
            <w:r>
              <w:rPr>
                <w:rFonts w:eastAsia="Arial" w:cs="Arial" w:ascii="Arial" w:hAnsi="Arial"/>
                <w:sz w:val="20"/>
              </w:rPr>
              <w:t xml:space="preserve">    </w:t>
            </w:r>
            <w:r>
              <w:rPr>
                <w:rFonts w:cs="Arial" w:ascii="Arial" w:hAnsi="Arial"/>
                <w:sz w:val="20"/>
              </w:rPr>
              <w:t>$9.56</w:t>
            </w:r>
          </w:p>
        </w:tc>
        <w:tc>
          <w:tcPr>
            <w:tcW w:w="90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1080" w:type="dxa"/>
            <w:tcBorders/>
          </w:tcPr>
          <w:p>
            <w:pPr>
              <w:pStyle w:val="Heading9"/>
              <w:widowControl/>
              <w:snapToGrid w:val="false"/>
              <w:ind w:start="0" w:end="-63"/>
              <w:rPr>
                <w:rFonts w:ascii="Arial" w:hAnsi="Arial" w:cs="Arial"/>
                <w:b w:val="false"/>
              </w:rPr>
            </w:pPr>
            <w:r>
              <w:rPr>
                <w:rFonts w:cs="Arial" w:ascii="Arial" w:hAnsi="Arial"/>
                <w:b w:val="false"/>
              </w:rPr>
            </w:r>
          </w:p>
        </w:tc>
        <w:tc>
          <w:tcPr>
            <w:tcW w:w="2790" w:type="dxa"/>
            <w:tcBorders/>
          </w:tcPr>
          <w:p>
            <w:pPr>
              <w:pStyle w:val="Heading9"/>
              <w:widowControl/>
              <w:snapToGrid w:val="false"/>
              <w:ind w:start="0" w:end="-63"/>
              <w:rPr>
                <w:rFonts w:ascii="Arial" w:hAnsi="Arial" w:cs="Arial"/>
                <w:b w:val="false"/>
              </w:rPr>
            </w:pPr>
            <w:r>
              <w:rPr>
                <w:rFonts w:cs="Arial" w:ascii="Arial" w:hAnsi="Arial"/>
                <w:b w:val="false"/>
              </w:rPr>
            </w:r>
          </w:p>
        </w:tc>
        <w:tc>
          <w:tcPr>
            <w:tcW w:w="270" w:type="dxa"/>
            <w:tcBorders/>
          </w:tcPr>
          <w:p>
            <w:pPr>
              <w:pStyle w:val="Normal"/>
              <w:snapToGrid w:val="false"/>
              <w:ind w:end="-69"/>
              <w:jc w:val="end"/>
              <w:rPr>
                <w:rFonts w:ascii="Arial" w:hAnsi="Arial" w:cs="Arial"/>
                <w:b w:val="false"/>
                <w:bCs/>
                <w:sz w:val="20"/>
              </w:rPr>
            </w:pPr>
            <w:r>
              <w:rPr>
                <w:rFonts w:cs="Arial" w:ascii="Arial" w:hAnsi="Arial"/>
                <w:b w:val="false"/>
                <w:bCs/>
                <w:sz w:val="20"/>
              </w:rPr>
            </w:r>
          </w:p>
        </w:tc>
        <w:tc>
          <w:tcPr>
            <w:tcW w:w="634" w:type="dxa"/>
            <w:tcBorders/>
            <w:tcMar>
              <w:start w:w="0" w:type="dxa"/>
              <w:end w:w="0" w:type="dxa"/>
            </w:tcMar>
          </w:tcPr>
          <w:p>
            <w:pPr>
              <w:pStyle w:val="Normal"/>
              <w:snapToGrid w:val="false"/>
              <w:rPr>
                <w:rFonts w:ascii="Arial" w:hAnsi="Arial" w:cs="Arial"/>
                <w:b/>
                <w:bCs/>
                <w:sz w:val="20"/>
              </w:rPr>
            </w:pPr>
            <w:r>
              <w:rPr>
                <w:rFonts w:cs="Arial" w:ascii="Arial" w:hAnsi="Arial"/>
                <w:b/>
                <w:bCs/>
                <w:sz w:val="20"/>
              </w:rPr>
            </w:r>
          </w:p>
        </w:tc>
      </w:tr>
      <w:tr>
        <w:trPr>
          <w:trHeight w:val="207" w:hRule="atLeast"/>
        </w:trPr>
        <w:tc>
          <w:tcPr>
            <w:tcW w:w="4860" w:type="dxa"/>
            <w:tcBorders/>
          </w:tcPr>
          <w:p>
            <w:pPr>
              <w:pStyle w:val="Heading9"/>
              <w:widowControl/>
              <w:tabs>
                <w:tab w:val="clear" w:pos="2870"/>
                <w:tab w:val="clear" w:pos="3617"/>
                <w:tab w:val="center" w:pos="2909" w:leader="none"/>
                <w:tab w:val="center" w:pos="4079" w:leader="none"/>
              </w:tabs>
              <w:snapToGrid w:val="false"/>
              <w:ind w:start="0" w:end="-217"/>
              <w:rPr>
                <w:rFonts w:ascii="Arial" w:hAnsi="Arial" w:cs="Arial"/>
                <w:b w:val="false"/>
                <w:sz w:val="20"/>
              </w:rPr>
            </w:pPr>
            <w:r>
              <w:rPr>
                <w:rFonts w:cs="Arial" w:ascii="Arial" w:hAnsi="Arial"/>
                <w:b w:val="false"/>
                <w:sz w:val="20"/>
              </w:rPr>
            </w:r>
          </w:p>
        </w:tc>
        <w:tc>
          <w:tcPr>
            <w:tcW w:w="1080" w:type="dxa"/>
            <w:tcBorders/>
          </w:tcPr>
          <w:p>
            <w:pPr>
              <w:pStyle w:val="Normal"/>
              <w:snapToGrid w:val="false"/>
              <w:jc w:val="end"/>
              <w:rPr>
                <w:rFonts w:ascii="Arial" w:hAnsi="Arial" w:cs="Arial"/>
                <w:b w:val="false"/>
                <w:sz w:val="20"/>
              </w:rPr>
            </w:pPr>
            <w:r>
              <w:rPr>
                <w:rFonts w:cs="Arial" w:ascii="Arial" w:hAnsi="Arial"/>
                <w:b w:val="false"/>
                <w:sz w:val="20"/>
              </w:rPr>
            </w:r>
          </w:p>
        </w:tc>
        <w:tc>
          <w:tcPr>
            <w:tcW w:w="90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1080" w:type="dxa"/>
            <w:tcBorders/>
          </w:tcPr>
          <w:p>
            <w:pPr>
              <w:pStyle w:val="Normal"/>
              <w:snapToGrid w:val="false"/>
              <w:ind w:end="-63"/>
              <w:rPr>
                <w:rFonts w:ascii="Arial" w:hAnsi="Arial" w:cs="Arial"/>
                <w:b w:val="false"/>
                <w:sz w:val="20"/>
              </w:rPr>
            </w:pPr>
            <w:r>
              <w:rPr>
                <w:rFonts w:cs="Arial" w:ascii="Arial" w:hAnsi="Arial"/>
                <w:b w:val="false"/>
                <w:sz w:val="20"/>
              </w:rPr>
            </w:r>
          </w:p>
        </w:tc>
        <w:tc>
          <w:tcPr>
            <w:tcW w:w="2790" w:type="dxa"/>
            <w:tcBorders/>
          </w:tcPr>
          <w:p>
            <w:pPr>
              <w:pStyle w:val="Normal"/>
              <w:snapToGrid w:val="false"/>
              <w:ind w:end="-63"/>
              <w:rPr>
                <w:rFonts w:ascii="Arial" w:hAnsi="Arial" w:cs="Arial"/>
                <w:bCs/>
                <w:sz w:val="20"/>
              </w:rPr>
            </w:pPr>
            <w:r>
              <w:rPr>
                <w:rFonts w:cs="Arial" w:ascii="Arial" w:hAnsi="Arial"/>
                <w:bCs/>
                <w:sz w:val="20"/>
              </w:rPr>
            </w:r>
          </w:p>
        </w:tc>
        <w:tc>
          <w:tcPr>
            <w:tcW w:w="270" w:type="dxa"/>
            <w:tcBorders/>
          </w:tcPr>
          <w:p>
            <w:pPr>
              <w:pStyle w:val="Normal"/>
              <w:snapToGrid w:val="false"/>
              <w:ind w:end="-63"/>
              <w:jc w:val="end"/>
              <w:rPr>
                <w:rFonts w:ascii="Arial" w:hAnsi="Arial" w:cs="Arial"/>
                <w:bCs/>
                <w:sz w:val="20"/>
              </w:rPr>
            </w:pPr>
            <w:r>
              <w:rPr>
                <w:rFonts w:cs="Arial" w:ascii="Arial" w:hAnsi="Arial"/>
                <w:bCs/>
                <w:sz w:val="20"/>
              </w:rPr>
            </w:r>
          </w:p>
        </w:tc>
        <w:tc>
          <w:tcPr>
            <w:tcW w:w="634" w:type="dxa"/>
            <w:tcBorders/>
            <w:tcMar>
              <w:start w:w="0" w:type="dxa"/>
              <w:end w:w="0" w:type="dxa"/>
            </w:tcMar>
          </w:tcPr>
          <w:p>
            <w:pPr>
              <w:pStyle w:val="Normal"/>
              <w:snapToGrid w:val="false"/>
              <w:rPr>
                <w:rFonts w:ascii="Arial" w:hAnsi="Arial" w:cs="Arial"/>
                <w:b/>
                <w:bCs/>
                <w:sz w:val="20"/>
              </w:rPr>
            </w:pPr>
            <w:r>
              <w:rPr>
                <w:rFonts w:cs="Arial" w:ascii="Arial" w:hAnsi="Arial"/>
                <w:b/>
                <w:bCs/>
                <w:sz w:val="20"/>
              </w:rPr>
            </w:r>
          </w:p>
        </w:tc>
      </w:tr>
      <w:tr>
        <w:trPr>
          <w:trHeight w:val="207" w:hRule="atLeast"/>
        </w:trPr>
        <w:tc>
          <w:tcPr>
            <w:tcW w:w="48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RAC Capital Price</w:t>
            </w:r>
          </w:p>
        </w:tc>
        <w:tc>
          <w:tcPr>
            <w:tcW w:w="1080" w:type="dxa"/>
            <w:tcBorders/>
          </w:tcPr>
          <w:p>
            <w:pPr>
              <w:pStyle w:val="Normal"/>
              <w:snapToGrid w:val="false"/>
              <w:jc w:val="end"/>
              <w:rPr>
                <w:rFonts w:ascii="Arial" w:hAnsi="Arial" w:cs="Arial"/>
                <w:b w:val="false"/>
                <w:sz w:val="20"/>
              </w:rPr>
            </w:pPr>
            <w:r>
              <w:rPr>
                <w:rFonts w:cs="Arial" w:ascii="Arial" w:hAnsi="Arial"/>
                <w:b w:val="false"/>
                <w:sz w:val="20"/>
              </w:rPr>
            </w:r>
          </w:p>
        </w:tc>
        <w:tc>
          <w:tcPr>
            <w:tcW w:w="90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1080" w:type="dxa"/>
            <w:tcBorders/>
          </w:tcPr>
          <w:p>
            <w:pPr>
              <w:pStyle w:val="Normal"/>
              <w:snapToGrid w:val="false"/>
              <w:ind w:end="-63"/>
              <w:rPr>
                <w:rFonts w:ascii="Arial" w:hAnsi="Arial" w:cs="Arial"/>
                <w:b w:val="false"/>
                <w:sz w:val="20"/>
              </w:rPr>
            </w:pPr>
            <w:r>
              <w:rPr>
                <w:rFonts w:cs="Arial" w:ascii="Arial" w:hAnsi="Arial"/>
                <w:b w:val="false"/>
                <w:sz w:val="20"/>
              </w:rPr>
            </w:r>
          </w:p>
        </w:tc>
        <w:tc>
          <w:tcPr>
            <w:tcW w:w="2790" w:type="dxa"/>
            <w:tcBorders/>
          </w:tcPr>
          <w:p>
            <w:pPr>
              <w:pStyle w:val="Normal"/>
              <w:snapToGrid w:val="false"/>
              <w:ind w:end="-63"/>
              <w:rPr>
                <w:rFonts w:ascii="Arial" w:hAnsi="Arial" w:cs="Arial"/>
                <w:bCs/>
                <w:sz w:val="20"/>
              </w:rPr>
            </w:pPr>
            <w:r>
              <w:rPr>
                <w:rFonts w:cs="Arial" w:ascii="Arial" w:hAnsi="Arial"/>
                <w:bCs/>
                <w:sz w:val="20"/>
              </w:rPr>
            </w:r>
          </w:p>
        </w:tc>
        <w:tc>
          <w:tcPr>
            <w:tcW w:w="270" w:type="dxa"/>
            <w:tcBorders/>
          </w:tcPr>
          <w:p>
            <w:pPr>
              <w:pStyle w:val="Normal"/>
              <w:snapToGrid w:val="false"/>
              <w:ind w:end="-63"/>
              <w:jc w:val="end"/>
              <w:rPr>
                <w:rFonts w:ascii="Arial" w:hAnsi="Arial" w:cs="Arial"/>
                <w:bCs/>
                <w:sz w:val="20"/>
              </w:rPr>
            </w:pPr>
            <w:r>
              <w:rPr>
                <w:rFonts w:cs="Arial" w:ascii="Arial" w:hAnsi="Arial"/>
                <w:bCs/>
                <w:sz w:val="20"/>
              </w:rPr>
            </w:r>
          </w:p>
        </w:tc>
        <w:tc>
          <w:tcPr>
            <w:tcW w:w="634" w:type="dxa"/>
            <w:tcBorders/>
            <w:tcMar>
              <w:start w:w="0" w:type="dxa"/>
              <w:end w:w="0" w:type="dxa"/>
            </w:tcMar>
          </w:tcPr>
          <w:p>
            <w:pPr>
              <w:pStyle w:val="Normal"/>
              <w:snapToGrid w:val="false"/>
              <w:rPr>
                <w:rFonts w:ascii="Arial" w:hAnsi="Arial" w:cs="Arial"/>
                <w:b/>
                <w:bCs/>
                <w:sz w:val="20"/>
              </w:rPr>
            </w:pPr>
            <w:r>
              <w:rPr>
                <w:rFonts w:cs="Arial" w:ascii="Arial" w:hAnsi="Arial"/>
                <w:b/>
                <w:bCs/>
                <w:sz w:val="20"/>
              </w:rPr>
            </w:r>
          </w:p>
        </w:tc>
      </w:tr>
      <w:tr>
        <w:trPr>
          <w:trHeight w:val="202" w:hRule="atLeast"/>
        </w:trPr>
        <w:tc>
          <w:tcPr>
            <w:tcW w:w="48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eastAsia="Arial" w:cs="Arial" w:ascii="Arial" w:hAnsi="Arial"/>
                <w:b w:val="false"/>
              </w:rPr>
              <w:t xml:space="preserve"> </w:t>
            </w:r>
            <w:r>
              <w:rPr>
                <w:rFonts w:cs="Arial" w:ascii="Arial" w:hAnsi="Arial"/>
                <w:b w:val="false"/>
              </w:rPr>
              <w:t>- Synfuel project</w:t>
            </w:r>
          </w:p>
        </w:tc>
        <w:tc>
          <w:tcPr>
            <w:tcW w:w="1080" w:type="dxa"/>
            <w:tcBorders/>
          </w:tcPr>
          <w:p>
            <w:pPr>
              <w:pStyle w:val="Normal"/>
              <w:jc w:val="end"/>
              <w:rPr>
                <w:rFonts w:ascii="Arial" w:hAnsi="Arial" w:cs="Arial"/>
                <w:sz w:val="20"/>
              </w:rPr>
            </w:pPr>
            <w:r>
              <w:rPr>
                <w:rFonts w:cs="Arial" w:ascii="Arial" w:hAnsi="Arial"/>
                <w:sz w:val="20"/>
              </w:rPr>
              <w:t>20.00%</w:t>
            </w:r>
          </w:p>
        </w:tc>
        <w:tc>
          <w:tcPr>
            <w:tcW w:w="90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1080" w:type="dxa"/>
            <w:tcBorders/>
          </w:tcPr>
          <w:p>
            <w:pPr>
              <w:pStyle w:val="Heading9"/>
              <w:widowControl/>
              <w:snapToGrid w:val="false"/>
              <w:ind w:start="0" w:end="-63"/>
              <w:rPr>
                <w:rFonts w:ascii="Arial" w:hAnsi="Arial" w:cs="Arial"/>
                <w:b w:val="false"/>
              </w:rPr>
            </w:pPr>
            <w:r>
              <w:rPr>
                <w:rFonts w:cs="Arial" w:ascii="Arial" w:hAnsi="Arial"/>
                <w:b w:val="false"/>
              </w:rPr>
            </w:r>
          </w:p>
        </w:tc>
        <w:tc>
          <w:tcPr>
            <w:tcW w:w="2790" w:type="dxa"/>
            <w:tcBorders/>
          </w:tcPr>
          <w:p>
            <w:pPr>
              <w:pStyle w:val="Heading9"/>
              <w:widowControl/>
              <w:snapToGrid w:val="false"/>
              <w:ind w:start="0" w:end="-63"/>
              <w:rPr>
                <w:rFonts w:ascii="Arial" w:hAnsi="Arial" w:cs="Arial"/>
                <w:b w:val="false"/>
                <w:bCs/>
              </w:rPr>
            </w:pPr>
            <w:r>
              <w:rPr>
                <w:rFonts w:cs="Arial" w:ascii="Arial" w:hAnsi="Arial"/>
                <w:b w:val="false"/>
                <w:bCs/>
              </w:rPr>
            </w:r>
          </w:p>
        </w:tc>
        <w:tc>
          <w:tcPr>
            <w:tcW w:w="270" w:type="dxa"/>
            <w:tcBorders/>
          </w:tcPr>
          <w:p>
            <w:pPr>
              <w:pStyle w:val="Normal"/>
              <w:tabs>
                <w:tab w:val="clear" w:pos="720"/>
                <w:tab w:val="left" w:pos="432" w:leader="none"/>
              </w:tabs>
              <w:snapToGrid w:val="false"/>
              <w:ind w:end="-63"/>
              <w:jc w:val="end"/>
              <w:rPr>
                <w:rFonts w:ascii="Arial" w:hAnsi="Arial" w:cs="Arial"/>
                <w:b w:val="false"/>
                <w:bCs/>
                <w:sz w:val="20"/>
              </w:rPr>
            </w:pPr>
            <w:r>
              <w:rPr>
                <w:rFonts w:cs="Arial" w:ascii="Arial" w:hAnsi="Arial"/>
                <w:b w:val="false"/>
                <w:bCs/>
                <w:sz w:val="20"/>
              </w:rPr>
            </w:r>
          </w:p>
        </w:tc>
        <w:tc>
          <w:tcPr>
            <w:tcW w:w="634" w:type="dxa"/>
            <w:tcBorders/>
            <w:tcMar>
              <w:start w:w="0" w:type="dxa"/>
              <w:end w:w="0" w:type="dxa"/>
            </w:tcMar>
          </w:tcPr>
          <w:p>
            <w:pPr>
              <w:pStyle w:val="Normal"/>
              <w:snapToGrid w:val="false"/>
              <w:rPr>
                <w:rFonts w:ascii="Arial" w:hAnsi="Arial" w:cs="Arial"/>
                <w:b/>
                <w:bCs/>
                <w:sz w:val="20"/>
              </w:rPr>
            </w:pPr>
            <w:r>
              <w:rPr>
                <w:rFonts w:cs="Arial" w:ascii="Arial" w:hAnsi="Arial"/>
                <w:b/>
                <w:bCs/>
                <w:sz w:val="20"/>
              </w:rPr>
            </w:r>
          </w:p>
        </w:tc>
      </w:tr>
      <w:tr>
        <w:trPr>
          <w:trHeight w:val="202" w:hRule="atLeast"/>
        </w:trPr>
        <w:tc>
          <w:tcPr>
            <w:tcW w:w="48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eastAsia="Arial" w:cs="Arial" w:ascii="Arial" w:hAnsi="Arial"/>
                <w:b w:val="false"/>
              </w:rPr>
              <w:t xml:space="preserve"> </w:t>
            </w:r>
            <w:r>
              <w:rPr>
                <w:rFonts w:cs="Arial" w:ascii="Arial" w:hAnsi="Arial"/>
                <w:b w:val="false"/>
              </w:rPr>
              <w:t>- Panther and Wildcat</w:t>
            </w:r>
          </w:p>
        </w:tc>
        <w:tc>
          <w:tcPr>
            <w:tcW w:w="1080" w:type="dxa"/>
            <w:tcBorders/>
          </w:tcPr>
          <w:p>
            <w:pPr>
              <w:pStyle w:val="Normal"/>
              <w:jc w:val="end"/>
              <w:rPr>
                <w:rFonts w:ascii="Arial" w:hAnsi="Arial" w:cs="Arial"/>
                <w:sz w:val="20"/>
              </w:rPr>
            </w:pPr>
            <w:r>
              <w:rPr>
                <w:rFonts w:cs="Arial" w:ascii="Arial" w:hAnsi="Arial"/>
                <w:sz w:val="20"/>
              </w:rPr>
              <w:t>15.00%</w:t>
            </w:r>
          </w:p>
        </w:tc>
        <w:tc>
          <w:tcPr>
            <w:tcW w:w="90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1080" w:type="dxa"/>
            <w:tcBorders/>
          </w:tcPr>
          <w:p>
            <w:pPr>
              <w:pStyle w:val="Heading9"/>
              <w:widowControl/>
              <w:snapToGrid w:val="false"/>
              <w:ind w:start="0" w:end="-63"/>
              <w:rPr>
                <w:rFonts w:ascii="Arial" w:hAnsi="Arial" w:cs="Arial"/>
                <w:b w:val="false"/>
              </w:rPr>
            </w:pPr>
            <w:r>
              <w:rPr>
                <w:rFonts w:cs="Arial" w:ascii="Arial" w:hAnsi="Arial"/>
                <w:b w:val="false"/>
              </w:rPr>
            </w:r>
          </w:p>
        </w:tc>
        <w:tc>
          <w:tcPr>
            <w:tcW w:w="2790" w:type="dxa"/>
            <w:tcBorders/>
          </w:tcPr>
          <w:p>
            <w:pPr>
              <w:pStyle w:val="Heading9"/>
              <w:widowControl/>
              <w:snapToGrid w:val="false"/>
              <w:ind w:start="0" w:end="-63"/>
              <w:rPr>
                <w:rFonts w:ascii="Arial" w:hAnsi="Arial" w:cs="Arial"/>
                <w:b w:val="false"/>
              </w:rPr>
            </w:pPr>
            <w:r>
              <w:rPr>
                <w:rFonts w:cs="Arial" w:ascii="Arial" w:hAnsi="Arial"/>
                <w:b w:val="false"/>
              </w:rPr>
            </w:r>
          </w:p>
        </w:tc>
        <w:tc>
          <w:tcPr>
            <w:tcW w:w="270" w:type="dxa"/>
            <w:tcBorders/>
          </w:tcPr>
          <w:p>
            <w:pPr>
              <w:pStyle w:val="Normal"/>
              <w:tabs>
                <w:tab w:val="clear" w:pos="720"/>
                <w:tab w:val="left" w:pos="432" w:leader="none"/>
              </w:tabs>
              <w:snapToGrid w:val="false"/>
              <w:ind w:end="-63"/>
              <w:jc w:val="end"/>
              <w:rPr>
                <w:rFonts w:ascii="Arial" w:hAnsi="Arial" w:cs="Arial"/>
                <w:b w:val="false"/>
                <w:bCs/>
                <w:sz w:val="20"/>
              </w:rPr>
            </w:pPr>
            <w:r>
              <w:rPr>
                <w:rFonts w:cs="Arial" w:ascii="Arial" w:hAnsi="Arial"/>
                <w:b w:val="false"/>
                <w:bCs/>
                <w:sz w:val="20"/>
              </w:rPr>
            </w:r>
          </w:p>
        </w:tc>
        <w:tc>
          <w:tcPr>
            <w:tcW w:w="634" w:type="dxa"/>
            <w:tcBorders/>
            <w:tcMar>
              <w:start w:w="0" w:type="dxa"/>
              <w:end w:w="0" w:type="dxa"/>
            </w:tcMar>
          </w:tcPr>
          <w:p>
            <w:pPr>
              <w:pStyle w:val="Normal"/>
              <w:snapToGrid w:val="false"/>
              <w:rPr>
                <w:rFonts w:ascii="Arial" w:hAnsi="Arial" w:cs="Arial"/>
                <w:b/>
                <w:bCs/>
                <w:sz w:val="20"/>
              </w:rPr>
            </w:pPr>
            <w:r>
              <w:rPr>
                <w:rFonts w:cs="Arial" w:ascii="Arial" w:hAnsi="Arial"/>
                <w:b/>
                <w:bCs/>
                <w:sz w:val="20"/>
              </w:rPr>
            </w:r>
          </w:p>
        </w:tc>
      </w:tr>
    </w:tbl>
    <w:p>
      <w:pPr>
        <w:pStyle w:val="Heading1"/>
        <w:pBdr>
          <w:top w:val="single" w:sz="8" w:space="1" w:color="000000"/>
        </w:pBdr>
        <w:ind w:hanging="0" w:start="0" w:end="-36"/>
        <w:rPr>
          <w:rFonts w:ascii="Arial" w:hAnsi="Arial" w:cs="Arial"/>
        </w:rPr>
      </w:pPr>
      <w:r>
        <w:rPr>
          <w:rFonts w:cs="Arial" w:ascii="Arial" w:hAnsi="Arial"/>
        </w:rPr>
      </w:r>
    </w:p>
    <w:p>
      <w:pPr>
        <w:pStyle w:val="Heading1"/>
        <w:pBdr>
          <w:top w:val="single" w:sz="8" w:space="1" w:color="000000"/>
        </w:pBdr>
        <w:ind w:hanging="0" w:start="0" w:end="-36"/>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
    </w:p>
    <w:p>
      <w:pPr>
        <w:pStyle w:val="Heading1"/>
        <w:pBdr>
          <w:top w:val="single" w:sz="8" w:space="1" w:color="000000"/>
        </w:pBdr>
        <w:ind w:hanging="0" w:start="0" w:end="-36"/>
        <w:rPr/>
      </w:pPr>
      <w:r>
        <w:rPr/>
        <w:t>SCENARIO ANALYSIS (millions)</w:t>
      </w:r>
    </w:p>
    <w:tbl>
      <w:tblPr>
        <w:tblW w:w="10413" w:type="dxa"/>
        <w:jc w:val="start"/>
        <w:tblInd w:w="0" w:type="dxa"/>
        <w:tblLayout w:type="fixed"/>
        <w:tblCellMar>
          <w:top w:w="0" w:type="dxa"/>
          <w:start w:w="0" w:type="dxa"/>
          <w:bottom w:w="0" w:type="dxa"/>
          <w:end w:w="0" w:type="dxa"/>
        </w:tblCellMar>
      </w:tblPr>
      <w:tblGrid>
        <w:gridCol w:w="3240"/>
        <w:gridCol w:w="1481"/>
        <w:gridCol w:w="2119"/>
        <w:gridCol w:w="1953"/>
        <w:gridCol w:w="1620"/>
      </w:tblGrid>
      <w:tr>
        <w:trPr>
          <w:trHeight w:val="360" w:hRule="atLeast"/>
        </w:trPr>
        <w:tc>
          <w:tcPr>
            <w:tcW w:w="324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481"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Value Assuming</w:t>
            </w:r>
          </w:p>
        </w:tc>
        <w:tc>
          <w:tcPr>
            <w:tcW w:w="2119"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 xml:space="preserve">RAC Value </w:t>
            </w:r>
          </w:p>
        </w:tc>
        <w:tc>
          <w:tcPr>
            <w:tcW w:w="1953"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RAC Value</w:t>
            </w:r>
          </w:p>
        </w:tc>
        <w:tc>
          <w:tcPr>
            <w:tcW w:w="1620"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Value Assuming</w:t>
            </w:r>
          </w:p>
        </w:tc>
      </w:tr>
      <w:tr>
        <w:trPr>
          <w:trHeight w:val="300" w:hRule="atLeast"/>
        </w:trPr>
        <w:tc>
          <w:tcPr>
            <w:tcW w:w="3240" w:type="dxa"/>
            <w:tcBorders/>
            <w:vAlign w:val="bottom"/>
          </w:tcPr>
          <w:p>
            <w:pPr>
              <w:pStyle w:val="Normal"/>
              <w:snapToGrid w:val="false"/>
              <w:rPr>
                <w:rFonts w:ascii="Arial" w:hAnsi="Arial" w:eastAsia="Arial Unicode MS" w:cs="Arial"/>
                <w:sz w:val="20"/>
                <w:szCs w:val="20"/>
                <w:u w:val="single"/>
              </w:rPr>
            </w:pPr>
            <w:r>
              <w:rPr>
                <w:rFonts w:eastAsia="Arial Unicode MS" w:cs="Arial" w:ascii="Arial" w:hAnsi="Arial"/>
                <w:sz w:val="20"/>
                <w:szCs w:val="20"/>
                <w:u w:val="single"/>
              </w:rPr>
            </w:r>
          </w:p>
        </w:tc>
        <w:tc>
          <w:tcPr>
            <w:tcW w:w="1481"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No Credits</w:t>
            </w:r>
          </w:p>
        </w:tc>
        <w:tc>
          <w:tcPr>
            <w:tcW w:w="2119"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 xml:space="preserve">Assuming Dock Option </w:t>
            </w:r>
          </w:p>
        </w:tc>
        <w:tc>
          <w:tcPr>
            <w:tcW w:w="1953"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Assuming All Credits</w:t>
            </w:r>
          </w:p>
        </w:tc>
        <w:tc>
          <w:tcPr>
            <w:tcW w:w="1620"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All Credits</w:t>
            </w:r>
          </w:p>
        </w:tc>
      </w:tr>
      <w:tr>
        <w:trPr>
          <w:trHeight w:val="300" w:hRule="atLeast"/>
        </w:trPr>
        <w:tc>
          <w:tcPr>
            <w:tcW w:w="3240" w:type="dxa"/>
            <w:tcBorders/>
            <w:vAlign w:val="bottom"/>
          </w:tcPr>
          <w:p>
            <w:pPr>
              <w:pStyle w:val="Normal"/>
              <w:rPr>
                <w:rFonts w:ascii="Arial" w:hAnsi="Arial" w:eastAsia="Arial Unicode MS" w:cs="Arial"/>
                <w:sz w:val="20"/>
                <w:szCs w:val="20"/>
                <w:u w:val="single"/>
              </w:rPr>
            </w:pPr>
            <w:r>
              <w:rPr>
                <w:rFonts w:cs="Arial" w:ascii="Arial" w:hAnsi="Arial"/>
                <w:sz w:val="20"/>
                <w:szCs w:val="20"/>
                <w:u w:val="single"/>
              </w:rPr>
              <w:t>Sources of Value</w:t>
            </w:r>
          </w:p>
        </w:tc>
        <w:tc>
          <w:tcPr>
            <w:tcW w:w="1481"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Consummated</w:t>
            </w:r>
          </w:p>
        </w:tc>
        <w:tc>
          <w:tcPr>
            <w:tcW w:w="2119"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Exercised Only</w:t>
            </w:r>
          </w:p>
        </w:tc>
        <w:tc>
          <w:tcPr>
            <w:tcW w:w="1953"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Consummated</w:t>
            </w:r>
          </w:p>
        </w:tc>
        <w:tc>
          <w:tcPr>
            <w:tcW w:w="1620" w:type="dxa"/>
            <w:tcBorders/>
            <w:vAlign w:val="bottom"/>
          </w:tcPr>
          <w:p>
            <w:pPr>
              <w:pStyle w:val="Normal"/>
              <w:jc w:val="center"/>
              <w:rPr>
                <w:rFonts w:ascii="Arial" w:hAnsi="Arial" w:eastAsia="Arial Unicode MS" w:cs="Arial"/>
                <w:sz w:val="20"/>
                <w:szCs w:val="20"/>
                <w:u w:val="single"/>
              </w:rPr>
            </w:pPr>
            <w:r>
              <w:rPr>
                <w:rFonts w:cs="Arial" w:ascii="Arial" w:hAnsi="Arial"/>
                <w:sz w:val="20"/>
                <w:szCs w:val="20"/>
                <w:u w:val="single"/>
              </w:rPr>
              <w:t>Consummated</w:t>
            </w:r>
          </w:p>
        </w:tc>
      </w:tr>
      <w:tr>
        <w:trPr>
          <w:trHeight w:val="300" w:hRule="atLeast"/>
        </w:trPr>
        <w:tc>
          <w:tcPr>
            <w:tcW w:w="3240" w:type="dxa"/>
            <w:tcBorders/>
            <w:vAlign w:val="bottom"/>
          </w:tcPr>
          <w:p>
            <w:pPr>
              <w:pStyle w:val="Normal"/>
              <w:rPr>
                <w:rFonts w:ascii="Arial" w:hAnsi="Arial" w:eastAsia="Arial Unicode MS" w:cs="Arial"/>
                <w:sz w:val="20"/>
                <w:szCs w:val="20"/>
              </w:rPr>
            </w:pPr>
            <w:r>
              <w:rPr>
                <w:rFonts w:cs="Arial" w:ascii="Arial" w:hAnsi="Arial"/>
                <w:sz w:val="20"/>
                <w:szCs w:val="20"/>
              </w:rPr>
              <w:t>Option – synfuel location</w:t>
            </w:r>
          </w:p>
        </w:tc>
        <w:tc>
          <w:tcPr>
            <w:tcW w:w="1481" w:type="dxa"/>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w:t>
            </w:r>
          </w:p>
        </w:tc>
        <w:tc>
          <w:tcPr>
            <w:tcW w:w="2119" w:type="dxa"/>
            <w:tcBorders/>
            <w:vAlign w:val="bottom"/>
          </w:tcPr>
          <w:p>
            <w:pPr>
              <w:pStyle w:val="Normal"/>
              <w:jc w:val="end"/>
              <w:rPr>
                <w:rFonts w:ascii="Arial" w:hAnsi="Arial" w:eastAsia="Arial Unicode MS" w:cs="Arial"/>
                <w:sz w:val="20"/>
                <w:szCs w:val="20"/>
              </w:rPr>
            </w:pPr>
            <w:r>
              <w:rPr>
                <w:rFonts w:cs="Arial" w:ascii="Arial" w:hAnsi="Arial"/>
                <w:sz w:val="20"/>
                <w:szCs w:val="20"/>
              </w:rPr>
              <w:t>6.16</w:t>
            </w:r>
          </w:p>
        </w:tc>
        <w:tc>
          <w:tcPr>
            <w:tcW w:w="1953" w:type="dxa"/>
            <w:tcBorders/>
            <w:vAlign w:val="bottom"/>
          </w:tcPr>
          <w:p>
            <w:pPr>
              <w:pStyle w:val="Normal"/>
              <w:jc w:val="end"/>
              <w:rPr>
                <w:rFonts w:ascii="Arial" w:hAnsi="Arial" w:eastAsia="Arial Unicode MS" w:cs="Arial"/>
                <w:sz w:val="20"/>
                <w:szCs w:val="20"/>
              </w:rPr>
            </w:pPr>
            <w:r>
              <w:rPr>
                <w:rFonts w:cs="Arial" w:ascii="Arial" w:hAnsi="Arial"/>
                <w:sz w:val="20"/>
                <w:szCs w:val="20"/>
              </w:rPr>
              <w:t>6.16</w:t>
            </w:r>
          </w:p>
        </w:tc>
        <w:tc>
          <w:tcPr>
            <w:tcW w:w="1620"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12.32 </w:t>
            </w:r>
          </w:p>
        </w:tc>
      </w:tr>
      <w:tr>
        <w:trPr>
          <w:trHeight w:val="255" w:hRule="atLeast"/>
        </w:trPr>
        <w:tc>
          <w:tcPr>
            <w:tcW w:w="3240" w:type="dxa"/>
            <w:tcBorders/>
            <w:vAlign w:val="bottom"/>
          </w:tcPr>
          <w:p>
            <w:pPr>
              <w:pStyle w:val="Normal"/>
              <w:rPr>
                <w:rFonts w:ascii="Arial" w:hAnsi="Arial" w:cs="Arial"/>
                <w:sz w:val="20"/>
                <w:szCs w:val="20"/>
              </w:rPr>
            </w:pPr>
            <w:r>
              <w:rPr>
                <w:rFonts w:cs="Arial" w:ascii="Arial" w:hAnsi="Arial"/>
                <w:sz w:val="20"/>
                <w:szCs w:val="20"/>
              </w:rPr>
              <w:t>Option – synfuel/coal transloading</w:t>
            </w:r>
          </w:p>
        </w:tc>
        <w:tc>
          <w:tcPr>
            <w:tcW w:w="1481" w:type="dxa"/>
            <w:tcBorders/>
            <w:vAlign w:val="bottom"/>
          </w:tcPr>
          <w:p>
            <w:pPr>
              <w:pStyle w:val="Normal"/>
              <w:jc w:val="end"/>
              <w:rPr>
                <w:rFonts w:ascii="Arial" w:hAnsi="Arial" w:cs="Arial"/>
                <w:sz w:val="20"/>
                <w:szCs w:val="20"/>
              </w:rPr>
            </w:pPr>
            <w:r>
              <w:rPr>
                <w:rFonts w:cs="Arial" w:ascii="Arial" w:hAnsi="Arial"/>
                <w:sz w:val="20"/>
                <w:szCs w:val="20"/>
              </w:rPr>
              <w:t>1.97</w:t>
            </w:r>
          </w:p>
        </w:tc>
        <w:tc>
          <w:tcPr>
            <w:tcW w:w="2119" w:type="dxa"/>
            <w:tcBorders/>
            <w:vAlign w:val="bottom"/>
          </w:tcPr>
          <w:p>
            <w:pPr>
              <w:pStyle w:val="Normal"/>
              <w:jc w:val="end"/>
              <w:rPr>
                <w:rFonts w:ascii="Arial" w:hAnsi="Arial" w:cs="Arial"/>
                <w:sz w:val="20"/>
                <w:szCs w:val="20"/>
              </w:rPr>
            </w:pPr>
            <w:r>
              <w:rPr>
                <w:rFonts w:cs="Arial" w:ascii="Arial" w:hAnsi="Arial"/>
                <w:sz w:val="20"/>
                <w:szCs w:val="20"/>
              </w:rPr>
              <w:t>1.97</w:t>
            </w:r>
          </w:p>
        </w:tc>
        <w:tc>
          <w:tcPr>
            <w:tcW w:w="1953" w:type="dxa"/>
            <w:tcBorders/>
            <w:vAlign w:val="bottom"/>
          </w:tcPr>
          <w:p>
            <w:pPr>
              <w:pStyle w:val="Normal"/>
              <w:jc w:val="end"/>
              <w:rPr>
                <w:rFonts w:ascii="Arial" w:hAnsi="Arial" w:cs="Arial"/>
                <w:sz w:val="20"/>
                <w:szCs w:val="20"/>
              </w:rPr>
            </w:pPr>
            <w:r>
              <w:rPr>
                <w:rFonts w:cs="Arial" w:ascii="Arial" w:hAnsi="Arial"/>
                <w:sz w:val="20"/>
                <w:szCs w:val="20"/>
              </w:rPr>
              <w:t>1.47</w:t>
            </w:r>
          </w:p>
        </w:tc>
        <w:tc>
          <w:tcPr>
            <w:tcW w:w="1620" w:type="dxa"/>
            <w:tcBorders/>
            <w:vAlign w:val="bottom"/>
          </w:tcPr>
          <w:p>
            <w:pPr>
              <w:pStyle w:val="Normal"/>
              <w:jc w:val="end"/>
              <w:rPr>
                <w:rFonts w:ascii="Arial" w:hAnsi="Arial" w:cs="Arial"/>
                <w:sz w:val="20"/>
                <w:szCs w:val="20"/>
              </w:rPr>
            </w:pPr>
            <w:r>
              <w:rPr>
                <w:rFonts w:cs="Arial" w:ascii="Arial" w:hAnsi="Arial"/>
                <w:sz w:val="20"/>
                <w:szCs w:val="20"/>
              </w:rPr>
              <w:t>1.47</w:t>
            </w:r>
          </w:p>
        </w:tc>
      </w:tr>
      <w:tr>
        <w:trPr>
          <w:trHeight w:val="255" w:hRule="atLeast"/>
        </w:trPr>
        <w:tc>
          <w:tcPr>
            <w:tcW w:w="3240" w:type="dxa"/>
            <w:tcBorders/>
            <w:vAlign w:val="bottom"/>
          </w:tcPr>
          <w:p>
            <w:pPr>
              <w:pStyle w:val="Normal"/>
              <w:rPr>
                <w:rFonts w:ascii="Arial" w:hAnsi="Arial" w:eastAsia="Arial Unicode MS" w:cs="Arial"/>
                <w:sz w:val="20"/>
                <w:szCs w:val="20"/>
              </w:rPr>
            </w:pPr>
            <w:r>
              <w:rPr>
                <w:rFonts w:cs="Arial" w:ascii="Arial" w:hAnsi="Arial"/>
                <w:sz w:val="20"/>
                <w:szCs w:val="20"/>
              </w:rPr>
              <w:t>Panther reserves</w:t>
            </w:r>
          </w:p>
        </w:tc>
        <w:tc>
          <w:tcPr>
            <w:tcW w:w="1481" w:type="dxa"/>
            <w:tcBorders/>
            <w:vAlign w:val="bottom"/>
          </w:tcPr>
          <w:p>
            <w:pPr>
              <w:pStyle w:val="Normal"/>
              <w:jc w:val="end"/>
              <w:rPr>
                <w:rFonts w:ascii="Arial" w:hAnsi="Arial" w:eastAsia="Arial Unicode MS" w:cs="Arial"/>
                <w:sz w:val="20"/>
                <w:szCs w:val="20"/>
              </w:rPr>
            </w:pPr>
            <w:r>
              <w:rPr>
                <w:rFonts w:cs="Arial" w:ascii="Arial" w:hAnsi="Arial"/>
                <w:sz w:val="20"/>
                <w:szCs w:val="20"/>
              </w:rPr>
              <w:t xml:space="preserve">2.69 </w:t>
            </w:r>
          </w:p>
        </w:tc>
        <w:tc>
          <w:tcPr>
            <w:tcW w:w="2119" w:type="dxa"/>
            <w:tcBorders/>
            <w:vAlign w:val="bottom"/>
          </w:tcPr>
          <w:p>
            <w:pPr>
              <w:pStyle w:val="Normal"/>
              <w:jc w:val="end"/>
              <w:rPr>
                <w:rFonts w:ascii="Arial" w:hAnsi="Arial" w:eastAsia="Arial Unicode MS" w:cs="Arial"/>
                <w:sz w:val="20"/>
                <w:szCs w:val="20"/>
              </w:rPr>
            </w:pPr>
            <w:r>
              <w:rPr>
                <w:rFonts w:cs="Arial" w:ascii="Arial" w:hAnsi="Arial"/>
                <w:sz w:val="20"/>
                <w:szCs w:val="20"/>
              </w:rPr>
              <w:t>2.69</w:t>
            </w:r>
          </w:p>
        </w:tc>
        <w:tc>
          <w:tcPr>
            <w:tcW w:w="1953" w:type="dxa"/>
            <w:tcBorders/>
            <w:vAlign w:val="bottom"/>
          </w:tcPr>
          <w:p>
            <w:pPr>
              <w:pStyle w:val="Normal"/>
              <w:jc w:val="end"/>
              <w:rPr>
                <w:rFonts w:ascii="Arial" w:hAnsi="Arial" w:eastAsia="Arial Unicode MS" w:cs="Arial"/>
                <w:sz w:val="20"/>
                <w:szCs w:val="20"/>
              </w:rPr>
            </w:pPr>
            <w:r>
              <w:rPr>
                <w:rFonts w:cs="Arial" w:ascii="Arial" w:hAnsi="Arial"/>
                <w:sz w:val="20"/>
                <w:szCs w:val="20"/>
              </w:rPr>
              <w:t>4.50</w:t>
            </w:r>
          </w:p>
        </w:tc>
        <w:tc>
          <w:tcPr>
            <w:tcW w:w="1620" w:type="dxa"/>
            <w:tcBorders/>
            <w:vAlign w:val="bottom"/>
          </w:tcPr>
          <w:p>
            <w:pPr>
              <w:pStyle w:val="Normal"/>
              <w:jc w:val="end"/>
              <w:rPr>
                <w:rFonts w:ascii="Arial" w:hAnsi="Arial" w:eastAsia="Arial Unicode MS" w:cs="Arial"/>
                <w:sz w:val="20"/>
                <w:szCs w:val="20"/>
              </w:rPr>
            </w:pPr>
            <w:r>
              <w:rPr>
                <w:rFonts w:cs="Arial" w:ascii="Arial" w:hAnsi="Arial"/>
                <w:sz w:val="20"/>
                <w:szCs w:val="20"/>
              </w:rPr>
              <w:t>4.50</w:t>
            </w:r>
          </w:p>
        </w:tc>
      </w:tr>
      <w:tr>
        <w:trPr>
          <w:trHeight w:val="255" w:hRule="atLeast"/>
        </w:trPr>
        <w:tc>
          <w:tcPr>
            <w:tcW w:w="3240" w:type="dxa"/>
            <w:tcBorders/>
            <w:vAlign w:val="bottom"/>
          </w:tcPr>
          <w:p>
            <w:pPr>
              <w:pStyle w:val="Normal"/>
              <w:rPr>
                <w:rFonts w:ascii="Arial" w:hAnsi="Arial" w:eastAsia="Arial Unicode MS" w:cs="Arial"/>
                <w:sz w:val="20"/>
                <w:szCs w:val="20"/>
              </w:rPr>
            </w:pPr>
            <w:r>
              <w:rPr>
                <w:rFonts w:cs="Arial" w:ascii="Arial" w:hAnsi="Arial"/>
                <w:sz w:val="20"/>
                <w:szCs w:val="20"/>
              </w:rPr>
              <w:t>Wildcat reserves</w:t>
            </w:r>
          </w:p>
        </w:tc>
        <w:tc>
          <w:tcPr>
            <w:tcW w:w="1481" w:type="dxa"/>
            <w:tcBorders/>
            <w:vAlign w:val="bottom"/>
          </w:tcPr>
          <w:p>
            <w:pPr>
              <w:pStyle w:val="Normal"/>
              <w:jc w:val="end"/>
              <w:rPr>
                <w:rFonts w:ascii="Arial" w:hAnsi="Arial" w:eastAsia="Arial Unicode MS" w:cs="Arial"/>
                <w:sz w:val="20"/>
                <w:szCs w:val="20"/>
              </w:rPr>
            </w:pPr>
            <w:r>
              <w:rPr>
                <w:rFonts w:cs="Arial" w:ascii="Arial" w:hAnsi="Arial"/>
                <w:sz w:val="20"/>
                <w:szCs w:val="20"/>
              </w:rPr>
              <w:t>1.97</w:t>
            </w:r>
          </w:p>
        </w:tc>
        <w:tc>
          <w:tcPr>
            <w:tcW w:w="2119" w:type="dxa"/>
            <w:tcBorders/>
            <w:vAlign w:val="bottom"/>
          </w:tcPr>
          <w:p>
            <w:pPr>
              <w:pStyle w:val="Normal"/>
              <w:jc w:val="end"/>
              <w:rPr>
                <w:rFonts w:ascii="Arial" w:hAnsi="Arial" w:eastAsia="Arial Unicode MS" w:cs="Arial"/>
                <w:sz w:val="20"/>
                <w:szCs w:val="20"/>
              </w:rPr>
            </w:pPr>
            <w:r>
              <w:rPr>
                <w:rFonts w:cs="Arial" w:ascii="Arial" w:hAnsi="Arial"/>
                <w:sz w:val="20"/>
                <w:szCs w:val="20"/>
              </w:rPr>
              <w:t>1.97</w:t>
            </w:r>
          </w:p>
        </w:tc>
        <w:tc>
          <w:tcPr>
            <w:tcW w:w="1953" w:type="dxa"/>
            <w:tcBorders/>
            <w:vAlign w:val="bottom"/>
          </w:tcPr>
          <w:p>
            <w:pPr>
              <w:pStyle w:val="Normal"/>
              <w:jc w:val="end"/>
              <w:rPr>
                <w:rFonts w:ascii="Arial" w:hAnsi="Arial" w:eastAsia="Arial Unicode MS" w:cs="Arial"/>
                <w:sz w:val="20"/>
                <w:szCs w:val="20"/>
              </w:rPr>
            </w:pPr>
            <w:r>
              <w:rPr>
                <w:rFonts w:cs="Arial" w:ascii="Arial" w:hAnsi="Arial"/>
                <w:sz w:val="20"/>
                <w:szCs w:val="20"/>
              </w:rPr>
              <w:t>1.51</w:t>
            </w:r>
          </w:p>
        </w:tc>
        <w:tc>
          <w:tcPr>
            <w:tcW w:w="1620" w:type="dxa"/>
            <w:tcBorders/>
            <w:vAlign w:val="bottom"/>
          </w:tcPr>
          <w:p>
            <w:pPr>
              <w:pStyle w:val="Normal"/>
              <w:jc w:val="end"/>
              <w:rPr>
                <w:rFonts w:ascii="Arial" w:hAnsi="Arial" w:eastAsia="Arial Unicode MS" w:cs="Arial"/>
                <w:sz w:val="20"/>
                <w:szCs w:val="20"/>
              </w:rPr>
            </w:pPr>
            <w:r>
              <w:rPr>
                <w:rFonts w:cs="Arial" w:ascii="Arial" w:hAnsi="Arial"/>
                <w:sz w:val="20"/>
                <w:szCs w:val="20"/>
              </w:rPr>
              <w:t>1.51</w:t>
            </w:r>
          </w:p>
        </w:tc>
      </w:tr>
      <w:tr>
        <w:trPr>
          <w:trHeight w:val="255" w:hRule="atLeast"/>
        </w:trPr>
        <w:tc>
          <w:tcPr>
            <w:tcW w:w="3240" w:type="dxa"/>
            <w:tcBorders>
              <w:top w:val="single" w:sz="4" w:space="0" w:color="000000"/>
              <w:bottom w:val="single" w:sz="4" w:space="0" w:color="000000"/>
            </w:tcBorders>
            <w:shd w:fill="C0C0C0" w:val="clear"/>
            <w:vAlign w:val="bottom"/>
          </w:tcPr>
          <w:p>
            <w:pPr>
              <w:pStyle w:val="Normal"/>
              <w:rPr>
                <w:rFonts w:ascii="Arial" w:hAnsi="Arial" w:eastAsia="Arial Unicode MS" w:cs="Arial"/>
                <w:sz w:val="20"/>
                <w:szCs w:val="20"/>
              </w:rPr>
            </w:pPr>
            <w:r>
              <w:rPr>
                <w:rFonts w:cs="Arial" w:ascii="Arial" w:hAnsi="Arial"/>
                <w:sz w:val="20"/>
                <w:szCs w:val="20"/>
              </w:rPr>
              <w:t>Value of non-cash credits</w:t>
            </w:r>
          </w:p>
        </w:tc>
        <w:tc>
          <w:tcPr>
            <w:tcW w:w="1481" w:type="dxa"/>
            <w:tcBorders>
              <w:top w:val="single" w:sz="4" w:space="0" w:color="000000"/>
              <w:bottom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6.62</w:t>
            </w:r>
          </w:p>
        </w:tc>
        <w:tc>
          <w:tcPr>
            <w:tcW w:w="2119" w:type="dxa"/>
            <w:tcBorders>
              <w:top w:val="single" w:sz="4" w:space="0" w:color="000000"/>
              <w:bottom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12.78</w:t>
            </w:r>
          </w:p>
        </w:tc>
        <w:tc>
          <w:tcPr>
            <w:tcW w:w="1953" w:type="dxa"/>
            <w:tcBorders>
              <w:top w:val="single" w:sz="4" w:space="0" w:color="000000"/>
              <w:bottom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13.64</w:t>
            </w:r>
          </w:p>
        </w:tc>
        <w:tc>
          <w:tcPr>
            <w:tcW w:w="1620" w:type="dxa"/>
            <w:tcBorders>
              <w:top w:val="single" w:sz="4" w:space="0" w:color="000000"/>
              <w:bottom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19.80</w:t>
            </w:r>
          </w:p>
        </w:tc>
      </w:tr>
      <w:tr>
        <w:trPr>
          <w:trHeight w:val="255" w:hRule="atLeast"/>
        </w:trPr>
        <w:tc>
          <w:tcPr>
            <w:tcW w:w="3240" w:type="dxa"/>
            <w:tcBorders/>
            <w:vAlign w:val="bottom"/>
          </w:tcPr>
          <w:p>
            <w:pPr>
              <w:pStyle w:val="Normal"/>
              <w:rPr>
                <w:rFonts w:ascii="Arial" w:hAnsi="Arial" w:cs="Arial"/>
                <w:sz w:val="20"/>
                <w:szCs w:val="20"/>
              </w:rPr>
            </w:pPr>
            <w:r>
              <w:rPr>
                <w:rFonts w:eastAsia="Arial Unicode MS" w:cs="Arial" w:ascii="Arial" w:hAnsi="Arial"/>
                <w:sz w:val="20"/>
                <w:szCs w:val="20"/>
              </w:rPr>
              <w:t>Cash</w:t>
            </w:r>
          </w:p>
        </w:tc>
        <w:tc>
          <w:tcPr>
            <w:tcW w:w="1481" w:type="dxa"/>
            <w:tcBorders/>
            <w:vAlign w:val="bottom"/>
          </w:tcPr>
          <w:p>
            <w:pPr>
              <w:pStyle w:val="Normal"/>
              <w:jc w:val="end"/>
              <w:rPr>
                <w:rFonts w:ascii="Arial" w:hAnsi="Arial" w:cs="Arial"/>
                <w:sz w:val="20"/>
                <w:szCs w:val="20"/>
              </w:rPr>
            </w:pPr>
            <w:r>
              <w:rPr>
                <w:rFonts w:cs="Arial" w:ascii="Arial" w:hAnsi="Arial"/>
                <w:sz w:val="20"/>
                <w:szCs w:val="20"/>
              </w:rPr>
              <w:t>3.30</w:t>
            </w:r>
          </w:p>
        </w:tc>
        <w:tc>
          <w:tcPr>
            <w:tcW w:w="2119" w:type="dxa"/>
            <w:tcBorders/>
            <w:vAlign w:val="bottom"/>
          </w:tcPr>
          <w:p>
            <w:pPr>
              <w:pStyle w:val="Normal"/>
              <w:jc w:val="end"/>
              <w:rPr>
                <w:rFonts w:ascii="Arial" w:hAnsi="Arial" w:cs="Arial"/>
                <w:sz w:val="20"/>
                <w:szCs w:val="20"/>
              </w:rPr>
            </w:pPr>
            <w:r>
              <w:rPr>
                <w:rFonts w:cs="Arial" w:ascii="Arial" w:hAnsi="Arial"/>
                <w:sz w:val="20"/>
                <w:szCs w:val="20"/>
              </w:rPr>
              <w:t>3.30</w:t>
            </w:r>
          </w:p>
        </w:tc>
        <w:tc>
          <w:tcPr>
            <w:tcW w:w="1953" w:type="dxa"/>
            <w:tcBorders/>
            <w:vAlign w:val="bottom"/>
          </w:tcPr>
          <w:p>
            <w:pPr>
              <w:pStyle w:val="Normal"/>
              <w:jc w:val="end"/>
              <w:rPr>
                <w:rFonts w:ascii="Arial" w:hAnsi="Arial" w:cs="Arial"/>
                <w:sz w:val="20"/>
                <w:szCs w:val="20"/>
              </w:rPr>
            </w:pPr>
            <w:r>
              <w:rPr>
                <w:rFonts w:cs="Arial" w:ascii="Arial" w:hAnsi="Arial"/>
                <w:sz w:val="20"/>
                <w:szCs w:val="20"/>
              </w:rPr>
              <w:t>3.30</w:t>
            </w:r>
          </w:p>
        </w:tc>
        <w:tc>
          <w:tcPr>
            <w:tcW w:w="1620" w:type="dxa"/>
            <w:tcBorders/>
            <w:vAlign w:val="bottom"/>
          </w:tcPr>
          <w:p>
            <w:pPr>
              <w:pStyle w:val="Normal"/>
              <w:jc w:val="end"/>
              <w:rPr>
                <w:rFonts w:ascii="Arial" w:hAnsi="Arial" w:cs="Arial"/>
                <w:sz w:val="20"/>
                <w:szCs w:val="20"/>
              </w:rPr>
            </w:pPr>
            <w:r>
              <w:rPr>
                <w:rFonts w:cs="Arial" w:ascii="Arial" w:hAnsi="Arial"/>
                <w:sz w:val="20"/>
                <w:szCs w:val="20"/>
              </w:rPr>
              <w:t>3.30</w:t>
            </w:r>
          </w:p>
        </w:tc>
      </w:tr>
      <w:tr>
        <w:trPr>
          <w:trHeight w:val="255" w:hRule="atLeast"/>
        </w:trPr>
        <w:tc>
          <w:tcPr>
            <w:tcW w:w="3240" w:type="dxa"/>
            <w:tcBorders/>
            <w:vAlign w:val="bottom"/>
          </w:tcPr>
          <w:p>
            <w:pPr>
              <w:pStyle w:val="Normal"/>
              <w:rPr>
                <w:rFonts w:ascii="Arial" w:hAnsi="Arial" w:eastAsia="Arial Unicode MS" w:cs="Arial"/>
                <w:sz w:val="20"/>
                <w:szCs w:val="20"/>
              </w:rPr>
            </w:pPr>
            <w:r>
              <w:rPr>
                <w:rFonts w:eastAsia="Arial Unicode MS" w:cs="Arial" w:ascii="Arial" w:hAnsi="Arial"/>
                <w:sz w:val="20"/>
                <w:szCs w:val="20"/>
              </w:rPr>
              <w:t>Panther and Jupiter coal sales  (related transactions closed on another date)</w:t>
            </w:r>
          </w:p>
        </w:tc>
        <w:tc>
          <w:tcPr>
            <w:tcW w:w="1481" w:type="dxa"/>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4.30</w:t>
            </w:r>
          </w:p>
        </w:tc>
        <w:tc>
          <w:tcPr>
            <w:tcW w:w="2119" w:type="dxa"/>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4.30</w:t>
            </w:r>
          </w:p>
        </w:tc>
        <w:tc>
          <w:tcPr>
            <w:tcW w:w="1953" w:type="dxa"/>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4.30</w:t>
            </w:r>
          </w:p>
        </w:tc>
        <w:tc>
          <w:tcPr>
            <w:tcW w:w="1620" w:type="dxa"/>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4.30</w:t>
            </w:r>
          </w:p>
        </w:tc>
      </w:tr>
      <w:tr>
        <w:trPr>
          <w:trHeight w:val="270" w:hRule="atLeast"/>
        </w:trPr>
        <w:tc>
          <w:tcPr>
            <w:tcW w:w="3240" w:type="dxa"/>
            <w:tcBorders>
              <w:top w:val="single" w:sz="4" w:space="0" w:color="000000"/>
              <w:bottom w:val="double" w:sz="6" w:space="0" w:color="000000"/>
            </w:tcBorders>
            <w:shd w:fill="C0C0C0" w:val="clear"/>
            <w:vAlign w:val="bottom"/>
          </w:tcPr>
          <w:p>
            <w:pPr>
              <w:pStyle w:val="Normal"/>
              <w:rPr>
                <w:rFonts w:ascii="Arial" w:hAnsi="Arial" w:cs="Arial"/>
                <w:sz w:val="20"/>
                <w:szCs w:val="20"/>
              </w:rPr>
            </w:pPr>
            <w:r>
              <w:rPr>
                <w:rFonts w:cs="Arial" w:ascii="Arial" w:hAnsi="Arial"/>
                <w:sz w:val="20"/>
                <w:szCs w:val="20"/>
              </w:rPr>
              <w:t>Total value</w:t>
            </w:r>
          </w:p>
        </w:tc>
        <w:tc>
          <w:tcPr>
            <w:tcW w:w="1481" w:type="dxa"/>
            <w:tcBorders>
              <w:top w:val="single" w:sz="4" w:space="0" w:color="000000"/>
              <w:bottom w:val="double" w:sz="6" w:space="0" w:color="000000"/>
            </w:tcBorders>
            <w:shd w:fill="C0C0C0" w:val="clear"/>
            <w:vAlign w:val="bottom"/>
          </w:tcPr>
          <w:p>
            <w:pPr>
              <w:pStyle w:val="Normal"/>
              <w:jc w:val="end"/>
              <w:rPr>
                <w:rFonts w:ascii="Arial" w:hAnsi="Arial" w:cs="Arial"/>
                <w:sz w:val="20"/>
                <w:szCs w:val="20"/>
              </w:rPr>
            </w:pPr>
            <w:r>
              <w:rPr>
                <w:rFonts w:cs="Arial" w:ascii="Arial" w:hAnsi="Arial"/>
                <w:sz w:val="20"/>
                <w:szCs w:val="20"/>
              </w:rPr>
              <w:t>14.22</w:t>
            </w:r>
          </w:p>
        </w:tc>
        <w:tc>
          <w:tcPr>
            <w:tcW w:w="2119" w:type="dxa"/>
            <w:tcBorders>
              <w:top w:val="single" w:sz="4" w:space="0" w:color="000000"/>
              <w:bottom w:val="double" w:sz="6" w:space="0" w:color="000000"/>
            </w:tcBorders>
            <w:shd w:fill="C0C0C0" w:val="clear"/>
            <w:vAlign w:val="bottom"/>
          </w:tcPr>
          <w:p>
            <w:pPr>
              <w:pStyle w:val="Normal"/>
              <w:jc w:val="end"/>
              <w:rPr>
                <w:rFonts w:ascii="Arial" w:hAnsi="Arial" w:cs="Arial"/>
                <w:sz w:val="20"/>
                <w:szCs w:val="20"/>
              </w:rPr>
            </w:pPr>
            <w:r>
              <w:rPr>
                <w:rFonts w:cs="Arial" w:ascii="Arial" w:hAnsi="Arial"/>
                <w:sz w:val="20"/>
                <w:szCs w:val="20"/>
              </w:rPr>
              <w:t>20.38</w:t>
            </w:r>
          </w:p>
        </w:tc>
        <w:tc>
          <w:tcPr>
            <w:tcW w:w="1953" w:type="dxa"/>
            <w:tcBorders>
              <w:top w:val="single" w:sz="4" w:space="0" w:color="000000"/>
              <w:bottom w:val="double" w:sz="6" w:space="0" w:color="000000"/>
            </w:tcBorders>
            <w:shd w:fill="C0C0C0" w:val="clear"/>
            <w:vAlign w:val="bottom"/>
          </w:tcPr>
          <w:p>
            <w:pPr>
              <w:pStyle w:val="Normal"/>
              <w:jc w:val="end"/>
              <w:rPr>
                <w:rFonts w:ascii="Arial" w:hAnsi="Arial" w:cs="Arial"/>
                <w:sz w:val="20"/>
                <w:szCs w:val="20"/>
              </w:rPr>
            </w:pPr>
            <w:r>
              <w:rPr>
                <w:rFonts w:cs="Arial" w:ascii="Arial" w:hAnsi="Arial"/>
                <w:sz w:val="20"/>
                <w:szCs w:val="20"/>
              </w:rPr>
              <w:t>21.24</w:t>
            </w:r>
          </w:p>
        </w:tc>
        <w:tc>
          <w:tcPr>
            <w:tcW w:w="1620" w:type="dxa"/>
            <w:tcBorders>
              <w:top w:val="single" w:sz="4" w:space="0" w:color="000000"/>
              <w:bottom w:val="double" w:sz="6" w:space="0" w:color="000000"/>
            </w:tcBorders>
            <w:shd w:fill="C0C0C0" w:val="clear"/>
            <w:vAlign w:val="bottom"/>
          </w:tcPr>
          <w:p>
            <w:pPr>
              <w:pStyle w:val="Normal"/>
              <w:jc w:val="end"/>
              <w:rPr>
                <w:rFonts w:ascii="Arial" w:hAnsi="Arial" w:cs="Arial"/>
                <w:sz w:val="20"/>
                <w:szCs w:val="20"/>
              </w:rPr>
            </w:pPr>
            <w:r>
              <w:rPr>
                <w:rFonts w:cs="Arial" w:ascii="Arial" w:hAnsi="Arial"/>
                <w:sz w:val="20"/>
                <w:szCs w:val="20"/>
              </w:rPr>
              <w:t>27.40</w:t>
            </w:r>
          </w:p>
        </w:tc>
      </w:tr>
      <w:tr>
        <w:trPr>
          <w:trHeight w:val="270" w:hRule="atLeast"/>
        </w:trPr>
        <w:tc>
          <w:tcPr>
            <w:tcW w:w="3240" w:type="dxa"/>
            <w:tcBorders>
              <w:top w:val="single" w:sz="4" w:space="0" w:color="000000"/>
              <w:bottom w:val="double" w:sz="6" w:space="0" w:color="000000"/>
            </w:tcBorders>
            <w:shd w:fill="C0C0C0" w:val="clear"/>
            <w:vAlign w:val="bottom"/>
          </w:tcPr>
          <w:p>
            <w:pPr>
              <w:pStyle w:val="Normal"/>
              <w:rPr>
                <w:rFonts w:ascii="Arial" w:hAnsi="Arial" w:eastAsia="Arial Unicode MS" w:cs="Arial"/>
                <w:sz w:val="20"/>
                <w:szCs w:val="20"/>
              </w:rPr>
            </w:pPr>
            <w:r>
              <w:rPr>
                <w:rFonts w:eastAsia="Arial Unicode MS" w:cs="Arial" w:ascii="Arial" w:hAnsi="Arial"/>
                <w:sz w:val="20"/>
                <w:szCs w:val="20"/>
              </w:rPr>
              <w:t>Net against $11.68 million*</w:t>
            </w:r>
          </w:p>
        </w:tc>
        <w:tc>
          <w:tcPr>
            <w:tcW w:w="1481" w:type="dxa"/>
            <w:tcBorders>
              <w:top w:val="single" w:sz="4" w:space="0" w:color="000000"/>
              <w:bottom w:val="double" w:sz="6" w:space="0" w:color="000000"/>
            </w:tcBorders>
            <w:shd w:fill="C0C0C0" w:val="clear"/>
            <w:vAlign w:val="bottom"/>
          </w:tcPr>
          <w:p>
            <w:pPr>
              <w:pStyle w:val="Normal"/>
              <w:jc w:val="end"/>
              <w:rPr>
                <w:rFonts w:ascii="Arial" w:hAnsi="Arial" w:eastAsia="Arial Unicode MS" w:cs="Arial"/>
                <w:sz w:val="20"/>
                <w:szCs w:val="20"/>
              </w:rPr>
            </w:pPr>
            <w:r>
              <w:rPr>
                <w:rFonts w:eastAsia="Arial Unicode MS" w:cs="Arial" w:ascii="Arial" w:hAnsi="Arial"/>
                <w:sz w:val="20"/>
                <w:szCs w:val="20"/>
              </w:rPr>
              <w:t>2.54</w:t>
            </w:r>
          </w:p>
        </w:tc>
        <w:tc>
          <w:tcPr>
            <w:tcW w:w="2119" w:type="dxa"/>
            <w:tcBorders>
              <w:top w:val="single" w:sz="4" w:space="0" w:color="000000"/>
              <w:bottom w:val="double" w:sz="6" w:space="0" w:color="000000"/>
            </w:tcBorders>
            <w:shd w:fill="C0C0C0" w:val="clear"/>
            <w:vAlign w:val="bottom"/>
          </w:tcPr>
          <w:p>
            <w:pPr>
              <w:pStyle w:val="Normal"/>
              <w:jc w:val="end"/>
              <w:rPr>
                <w:rFonts w:ascii="Arial" w:hAnsi="Arial" w:eastAsia="Arial Unicode MS" w:cs="Arial"/>
                <w:sz w:val="20"/>
                <w:szCs w:val="20"/>
              </w:rPr>
            </w:pPr>
            <w:r>
              <w:rPr>
                <w:rFonts w:eastAsia="Arial Unicode MS" w:cs="Arial" w:ascii="Arial" w:hAnsi="Arial"/>
                <w:sz w:val="20"/>
                <w:szCs w:val="20"/>
              </w:rPr>
              <w:t>8.70</w:t>
            </w:r>
          </w:p>
        </w:tc>
        <w:tc>
          <w:tcPr>
            <w:tcW w:w="1953" w:type="dxa"/>
            <w:tcBorders>
              <w:top w:val="single" w:sz="4" w:space="0" w:color="000000"/>
              <w:bottom w:val="double" w:sz="6" w:space="0" w:color="000000"/>
            </w:tcBorders>
            <w:shd w:fill="C0C0C0" w:val="clear"/>
            <w:vAlign w:val="bottom"/>
          </w:tcPr>
          <w:p>
            <w:pPr>
              <w:pStyle w:val="Normal"/>
              <w:jc w:val="end"/>
              <w:rPr>
                <w:rFonts w:ascii="Arial" w:hAnsi="Arial" w:eastAsia="Arial Unicode MS" w:cs="Arial"/>
                <w:sz w:val="20"/>
                <w:szCs w:val="20"/>
              </w:rPr>
            </w:pPr>
            <w:r>
              <w:rPr>
                <w:rFonts w:eastAsia="Arial Unicode MS" w:cs="Arial" w:ascii="Arial" w:hAnsi="Arial"/>
                <w:sz w:val="20"/>
                <w:szCs w:val="20"/>
              </w:rPr>
              <w:t>9.56</w:t>
            </w:r>
          </w:p>
        </w:tc>
        <w:tc>
          <w:tcPr>
            <w:tcW w:w="1620" w:type="dxa"/>
            <w:tcBorders>
              <w:top w:val="single" w:sz="4" w:space="0" w:color="000000"/>
              <w:bottom w:val="double" w:sz="6" w:space="0" w:color="000000"/>
            </w:tcBorders>
            <w:shd w:fill="C0C0C0" w:val="clear"/>
            <w:vAlign w:val="bottom"/>
          </w:tcPr>
          <w:p>
            <w:pPr>
              <w:pStyle w:val="Normal"/>
              <w:jc w:val="end"/>
              <w:rPr>
                <w:rFonts w:ascii="Arial" w:hAnsi="Arial" w:eastAsia="Arial Unicode MS" w:cs="Arial"/>
                <w:sz w:val="20"/>
                <w:szCs w:val="20"/>
              </w:rPr>
            </w:pPr>
            <w:r>
              <w:rPr>
                <w:rFonts w:eastAsia="Arial Unicode MS" w:cs="Arial" w:ascii="Arial" w:hAnsi="Arial"/>
                <w:sz w:val="20"/>
                <w:szCs w:val="20"/>
              </w:rPr>
              <w:t>15.72</w:t>
            </w:r>
          </w:p>
        </w:tc>
      </w:tr>
    </w:tbl>
    <w:p>
      <w:pPr>
        <w:pStyle w:val="Header"/>
        <w:widowControl/>
        <w:tabs>
          <w:tab w:val="clear" w:pos="4320"/>
          <w:tab w:val="clear" w:pos="8640"/>
        </w:tabs>
        <w:rPr>
          <w:rFonts w:ascii="Arial" w:hAnsi="Arial" w:cs="Arial"/>
          <w:i/>
          <w:i/>
          <w:iCs/>
          <w:szCs w:val="24"/>
        </w:rPr>
      </w:pPr>
      <w:r>
        <w:rPr>
          <w:rFonts w:cs="Arial" w:ascii="Arial" w:hAnsi="Arial"/>
          <w:i/>
          <w:iCs/>
          <w:szCs w:val="24"/>
        </w:rPr>
        <w:t xml:space="preserve">* includes $0.68 million interest charge at 10.625% </w:t>
      </w:r>
    </w:p>
    <w:p>
      <w:pPr>
        <w:pStyle w:val="Header"/>
        <w:widowControl/>
        <w:tabs>
          <w:tab w:val="clear" w:pos="4320"/>
          <w:tab w:val="clear" w:pos="8640"/>
        </w:tabs>
        <w:rPr>
          <w:rFonts w:ascii="Arial" w:hAnsi="Arial" w:cs="Arial"/>
          <w:i/>
          <w:i/>
          <w:iCs/>
          <w:szCs w:val="24"/>
        </w:rPr>
      </w:pPr>
      <w:r>
        <w:rPr>
          <w:rFonts w:cs="Arial" w:ascii="Arial" w:hAnsi="Arial"/>
          <w:i/>
          <w:iCs/>
          <w:szCs w:val="24"/>
        </w:rPr>
      </w:r>
    </w:p>
    <w:p>
      <w:pPr>
        <w:pStyle w:val="Normal"/>
        <w:rPr/>
      </w:pPr>
      <w:r>
        <w:rPr/>
        <w:object w:dxaOrig="7681" w:dyaOrig="384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96.75pt;height:189pt" filled="f" o:ole="">
            <v:imagedata r:id="rId7" o:title=""/>
          </v:shape>
          <o:OLEObject Type="Embed" ProgID="Excel.Sheet.12" ShapeID="ole_rId6" DrawAspect="Content" ObjectID="_523986979" r:id="rId6"/>
        </w:object>
      </w:r>
    </w:p>
    <w:p>
      <w:pPr>
        <w:pStyle w:val="Header"/>
        <w:widowControl/>
        <w:tabs>
          <w:tab w:val="clear" w:pos="4320"/>
          <w:tab w:val="clear" w:pos="8640"/>
        </w:tabs>
        <w:rPr>
          <w:rFonts w:ascii="Arial" w:hAnsi="Arial" w:cs="Arial"/>
          <w:szCs w:val="24"/>
        </w:rPr>
      </w:pPr>
      <w:r>
        <w:rPr>
          <w:rFonts w:cs="Arial" w:ascii="Arial" w:hAnsi="Arial"/>
          <w:szCs w:val="24"/>
        </w:rPr>
      </w:r>
    </w:p>
    <w:tbl>
      <w:tblPr>
        <w:tblW w:w="9940" w:type="dxa"/>
        <w:jc w:val="start"/>
        <w:tblInd w:w="0" w:type="dxa"/>
        <w:tblLayout w:type="fixed"/>
        <w:tblCellMar>
          <w:top w:w="15" w:type="dxa"/>
          <w:start w:w="15" w:type="dxa"/>
          <w:bottom w:w="0" w:type="dxa"/>
          <w:end w:w="15" w:type="dxa"/>
        </w:tblCellMar>
      </w:tblPr>
      <w:tblGrid>
        <w:gridCol w:w="1170"/>
        <w:gridCol w:w="1170"/>
        <w:gridCol w:w="2355"/>
        <w:gridCol w:w="1725"/>
        <w:gridCol w:w="1495"/>
        <w:gridCol w:w="50"/>
        <w:gridCol w:w="39"/>
        <w:gridCol w:w="54"/>
        <w:gridCol w:w="6"/>
        <w:gridCol w:w="54"/>
        <w:gridCol w:w="1762"/>
        <w:gridCol w:w="60"/>
      </w:tblGrid>
      <w:tr>
        <w:trPr>
          <w:trHeight w:val="255" w:hRule="atLeast"/>
        </w:trPr>
        <w:tc>
          <w:tcPr>
            <w:tcW w:w="1170" w:type="dxa"/>
            <w:tcBorders/>
            <w:vAlign w:val="bottom"/>
          </w:tcPr>
          <w:p>
            <w:pPr>
              <w:pStyle w:val="Normal"/>
              <w:rPr>
                <w:rFonts w:ascii="Arial" w:hAnsi="Arial" w:eastAsia="Arial Unicode MS" w:cs="Arial"/>
                <w:sz w:val="20"/>
                <w:szCs w:val="20"/>
              </w:rPr>
            </w:pPr>
            <w:r>
              <w:rPr>
                <w:rFonts w:cs="Arial" w:ascii="Arial" w:hAnsi="Arial"/>
                <w:sz w:val="20"/>
                <w:szCs w:val="20"/>
              </w:rPr>
              <w:t>Notes:</w:t>
            </w:r>
          </w:p>
        </w:tc>
        <w:tc>
          <w:tcPr>
            <w:tcW w:w="117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2355"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25"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584" w:type="dxa"/>
            <w:gridSpan w:val="3"/>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822" w:type="dxa"/>
            <w:gridSpan w:val="3"/>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60" w:type="dxa"/>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9880" w:type="dxa"/>
            <w:gridSpan w:val="11"/>
            <w:tcBorders/>
            <w:vAlign w:val="bottom"/>
          </w:tcPr>
          <w:p>
            <w:pPr>
              <w:pStyle w:val="Normal"/>
              <w:rPr>
                <w:rFonts w:ascii="Arial" w:hAnsi="Arial" w:eastAsia="Arial Unicode MS" w:cs="Arial"/>
                <w:sz w:val="20"/>
                <w:szCs w:val="20"/>
              </w:rPr>
            </w:pPr>
            <w:r>
              <w:rPr>
                <w:rFonts w:cs="Arial" w:ascii="Arial" w:hAnsi="Arial"/>
                <w:sz w:val="20"/>
                <w:szCs w:val="20"/>
              </w:rPr>
              <w:t>1) The synfuel option could lead to a project with an estimated present value of $12.32 million assuming 100% probability that a synfuel machine will be identified and relocated to the Shrewsbury Dock.</w:t>
            </w:r>
          </w:p>
        </w:tc>
        <w:tc>
          <w:tcPr>
            <w:tcW w:w="60" w:type="dxa"/>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9880" w:type="dxa"/>
            <w:gridSpan w:val="11"/>
            <w:tcBorders/>
            <w:vAlign w:val="bottom"/>
          </w:tcPr>
          <w:p>
            <w:pPr>
              <w:pStyle w:val="Normal"/>
              <w:rPr>
                <w:rFonts w:ascii="Arial" w:hAnsi="Arial" w:eastAsia="Arial Unicode MS" w:cs="Arial"/>
                <w:sz w:val="20"/>
                <w:szCs w:val="20"/>
              </w:rPr>
            </w:pPr>
            <w:r>
              <w:rPr>
                <w:rFonts w:cs="Arial" w:ascii="Arial" w:hAnsi="Arial"/>
                <w:sz w:val="20"/>
                <w:szCs w:val="20"/>
              </w:rPr>
              <w:t>2) Value of dock lease &amp; transloading options cannot be marked to market until a synfuel project is closed.</w:t>
            </w:r>
          </w:p>
        </w:tc>
        <w:tc>
          <w:tcPr>
            <w:tcW w:w="60" w:type="dxa"/>
            <w:tcBorders/>
            <w:tcMar>
              <w:top w:w="0" w:type="dxa"/>
              <w:start w:w="0" w:type="dxa"/>
              <w:end w:w="0" w:type="dxa"/>
            </w:tcMa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7915" w:type="dxa"/>
            <w:gridSpan w:val="5"/>
            <w:tcBorders/>
            <w:vAlign w:val="bottom"/>
          </w:tcPr>
          <w:p>
            <w:pPr>
              <w:pStyle w:val="Normal"/>
              <w:ind w:end="-1115"/>
              <w:rPr>
                <w:rFonts w:ascii="Arial" w:hAnsi="Arial" w:cs="Arial"/>
                <w:sz w:val="20"/>
                <w:szCs w:val="20"/>
              </w:rPr>
            </w:pPr>
            <w:r>
              <w:rPr>
                <w:rFonts w:cs="Arial" w:ascii="Arial" w:hAnsi="Arial"/>
                <w:sz w:val="20"/>
                <w:szCs w:val="20"/>
              </w:rPr>
              <w:t xml:space="preserve">3) Option of transloading synfuel/coal at Shrewsbury Dock is calculated as a cost savings </w:t>
            </w:r>
          </w:p>
          <w:p>
            <w:pPr>
              <w:pStyle w:val="Normal"/>
              <w:ind w:end="-1115"/>
              <w:rPr>
                <w:rFonts w:ascii="Arial" w:hAnsi="Arial" w:cs="Arial"/>
                <w:sz w:val="20"/>
                <w:szCs w:val="20"/>
              </w:rPr>
            </w:pPr>
            <w:r>
              <w:rPr>
                <w:rFonts w:cs="Arial" w:ascii="Arial" w:hAnsi="Arial"/>
                <w:sz w:val="20"/>
                <w:szCs w:val="20"/>
              </w:rPr>
              <w:t>based upon transloading throughput of 2.5 million tons versus standard market rates.</w:t>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9" w:type="dxa"/>
            <w:gridSpan w:val="3"/>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822" w:type="dxa"/>
            <w:gridSpan w:val="2"/>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7915" w:type="dxa"/>
            <w:gridSpan w:val="5"/>
            <w:tcBorders/>
            <w:vAlign w:val="bottom"/>
          </w:tcPr>
          <w:p>
            <w:pPr>
              <w:pStyle w:val="Normal"/>
              <w:rPr>
                <w:rFonts w:ascii="Arial" w:hAnsi="Arial" w:eastAsia="Arial Unicode MS" w:cs="Arial"/>
                <w:sz w:val="20"/>
                <w:szCs w:val="20"/>
              </w:rPr>
            </w:pPr>
            <w:r>
              <w:rPr>
                <w:rFonts w:eastAsia="Arial Unicode MS" w:cs="Arial" w:ascii="Arial" w:hAnsi="Arial"/>
                <w:sz w:val="20"/>
                <w:szCs w:val="20"/>
              </w:rPr>
              <w:t>4) The above analysis takes into account 10.625% interest charge that EGM gives up if credits are consummated (present value of $0.68 million).</w:t>
            </w:r>
          </w:p>
        </w:tc>
        <w:tc>
          <w:tcPr>
            <w:tcW w:w="5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9" w:type="dxa"/>
            <w:gridSpan w:val="3"/>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4"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822" w:type="dxa"/>
            <w:gridSpan w:val="2"/>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rPr/>
      </w:pPr>
      <w:r>
        <w:rPr/>
        <w:tab/>
        <w:tab/>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 xml:space="preserve">TRANSACTION UPSIDES/OPTIONALITY </w:t>
      </w:r>
    </w:p>
    <w:p>
      <w:pPr>
        <w:pStyle w:val="Normal"/>
        <w:ind w:end="-36"/>
        <w:jc w:val="both"/>
        <w:rPr>
          <w:rFonts w:ascii="Arial" w:hAnsi="Arial" w:cs="Arial"/>
          <w:sz w:val="20"/>
        </w:rPr>
      </w:pPr>
      <w:r>
        <w:rPr>
          <w:rFonts w:cs="Arial" w:ascii="Arial" w:hAnsi="Arial"/>
          <w:sz w:val="20"/>
        </w:rPr>
        <w:t>Upside potential from the synfuel option (PV of $12.32 million) due to the improved likelihood of locating a synfuel machine, once the Shrewsbury Dock Option is obtained.</w:t>
      </w:r>
    </w:p>
    <w:p>
      <w:pPr>
        <w:pStyle w:val="Normal"/>
        <w:ind w:end="-36"/>
        <w:jc w:val="both"/>
        <w:rPr>
          <w:rFonts w:ascii="Arial" w:hAnsi="Arial" w:cs="Arial"/>
          <w:sz w:val="20"/>
        </w:rPr>
      </w:pPr>
      <w:r>
        <w:rPr>
          <w:rFonts w:cs="Arial" w:ascii="Arial" w:hAnsi="Arial"/>
          <w:sz w:val="20"/>
        </w:rPr>
      </w:r>
    </w:p>
    <w:p>
      <w:pPr>
        <w:pStyle w:val="Normal"/>
        <w:ind w:end="-36"/>
        <w:jc w:val="both"/>
        <w:rPr>
          <w:rFonts w:ascii="Arial" w:hAnsi="Arial" w:cs="Arial"/>
          <w:sz w:val="20"/>
        </w:rPr>
      </w:pPr>
      <w:r>
        <w:rPr>
          <w:rFonts w:cs="Arial" w:ascii="Arial" w:hAnsi="Arial"/>
          <w:sz w:val="20"/>
        </w:rPr>
        <w:t>Shrewsbury Dock has value as a coal transloading facility even if synfuel machine is not located there.  The transloading facility could generate cost savings of $1.47 million for 2.5 million tons.</w:t>
      </w:r>
    </w:p>
    <w:p>
      <w:pPr>
        <w:pStyle w:val="Normal"/>
        <w:ind w:end="-36"/>
        <w:jc w:val="both"/>
        <w:rPr>
          <w:rFonts w:ascii="Arial" w:hAnsi="Arial" w:cs="Arial"/>
          <w:sz w:val="20"/>
        </w:rPr>
      </w:pPr>
      <w:r>
        <w:rPr>
          <w:rFonts w:cs="Arial" w:ascii="Arial" w:hAnsi="Arial"/>
          <w:sz w:val="20"/>
        </w:rPr>
      </w:r>
    </w:p>
    <w:p>
      <w:pPr>
        <w:pStyle w:val="Normal"/>
        <w:ind w:end="-36"/>
        <w:jc w:val="both"/>
        <w:rPr>
          <w:rFonts w:ascii="Arial" w:hAnsi="Arial" w:cs="Arial"/>
          <w:sz w:val="20"/>
        </w:rPr>
      </w:pPr>
      <w:r>
        <w:rPr>
          <w:rFonts w:cs="Arial" w:ascii="Arial" w:hAnsi="Arial"/>
          <w:sz w:val="20"/>
        </w:rPr>
        <w:t>Value of the Panther &amp; Jupiter coal sales to EGM and increased marketing fee minimums at Panther and Wildcat have upside potential due to rising prices in a tight coal market.</w:t>
      </w:r>
    </w:p>
    <w:p>
      <w:pPr>
        <w:pStyle w:val="Normal"/>
        <w:ind w:end="-36"/>
        <w:jc w:val="both"/>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 xml:space="preserve">EXIT STRATEGY </w:t>
      </w:r>
    </w:p>
    <w:p>
      <w:pPr>
        <w:pStyle w:val="BodyText2"/>
        <w:rPr/>
      </w:pPr>
      <w:r>
        <w:rPr/>
        <w:t>From January 1 to December 31, 2004, EGM has the option to put its membership units back to DPR Holding Company and its IPC interest to each operating subsidiary at a price of 5.5X consolidated EBITDA, or $36.4 million.  It is unlikely that DPR will have sufficient funds to pay the put obligation (the most recent revaluation of DPR Holding credits EGM/Jedi II only $24.9 million upon the exercise of this put).  No actions are being taken as part of this transaction to enhance the value of this put to EGM/Jedi II.</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 xml:space="preserve">RISK MATRIX </w:t>
      </w:r>
    </w:p>
    <w:p>
      <w:pPr>
        <w:pStyle w:val="Normal"/>
        <w:rPr>
          <w:rFonts w:ascii="Arial" w:hAnsi="Arial" w:cs="Arial"/>
          <w:i/>
          <w:i/>
        </w:rPr>
      </w:pPr>
      <w:r>
        <w:rPr>
          <w:rFonts w:cs="Arial" w:ascii="Arial" w:hAnsi="Arial"/>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 xml:space="preserve">Increased credit risk exposure </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 xml:space="preserve">Electing to grant credits some of which, if exercised, may be paid over periods as long as twelve years, and accept payment over two years, increases EGM/Jedi II’s credit exposure to Cline entities.  </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Payment of Primary Put Option in 2004</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EGM can contractually exercise its primary put option beginning January 1, 2004.  DPR cash flow is likely to be insufficient to pay this obligation.  RAC’s recommendation that either partial payment of the primary put be secured by placing portion of available cash flow for equity distributions in 2001 until 2003 in an escrow account, or that the payments due on this accelerlated put be made over a shorter period and the 2004 put be accelerated to 2003 have not been incorporated here.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 xml:space="preserve">Synfuel project </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Volatility around the discount that synfuel is sold versus coal would impact the value of the project as well as regulatory changes on synfuel tax benefits.  These risks were largely ignored when calculating the $12.36 million potential upside of this transaction.</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Creditworthiness or capitalization of Panther and Wildcat</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The Panther and Wildcat reserves are not guaranteed by Cline and additional value from this option may not be realized.  The credit for these marketing fees are subject to EGM’s satisfaction, with RAC’s concurrence of the reserve quantities, permits, mining plans and economics of these incremental income.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Price risk on Panther and Wildcat reserves</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Panther reserves will be mined until 2012 while Wildcat reserves will be mined until 2006. The value of these marketing agreements are dependent on coal price volatility.</w:t>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rPr>
          <w:rFonts w:ascii="Arial" w:hAnsi="Arial" w:cs="Arial"/>
          <w:b w:val="false"/>
        </w:rPr>
      </w:pPr>
      <w:r>
        <w:rPr>
          <w:rFonts w:cs="Arial" w:ascii="Arial" w:hAnsi="Arial"/>
        </w:rPr>
        <w:t xml:space="preserve">KEY SUCCESS FACTORS </w:t>
      </w:r>
    </w:p>
    <w:p>
      <w:pPr>
        <w:pStyle w:val="Normal"/>
        <w:rPr>
          <w:rFonts w:ascii="Arial" w:hAnsi="Arial" w:cs="Arial"/>
          <w:b/>
          <w:sz w:val="20"/>
        </w:rPr>
      </w:pPr>
      <w:r>
        <w:rPr>
          <w:rFonts w:cs="Arial" w:ascii="Arial" w:hAnsi="Arial"/>
          <w:b/>
          <w:sz w:val="20"/>
        </w:rPr>
      </w:r>
    </w:p>
    <w:tbl>
      <w:tblPr>
        <w:tblW w:w="9450" w:type="dxa"/>
        <w:jc w:val="start"/>
        <w:tblInd w:w="378" w:type="dxa"/>
        <w:tblLayout w:type="fixed"/>
        <w:tblCellMar>
          <w:top w:w="0" w:type="dxa"/>
          <w:start w:w="108" w:type="dxa"/>
          <w:bottom w:w="0" w:type="dxa"/>
          <w:end w:w="108" w:type="dxa"/>
        </w:tblCellMar>
      </w:tblPr>
      <w:tblGrid>
        <w:gridCol w:w="4050"/>
        <w:gridCol w:w="2340"/>
        <w:gridCol w:w="2700"/>
        <w:gridCol w:w="36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Poor</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eastAsia="Arial" w:cs="Arial" w:ascii="Arial" w:hAnsi="Arial"/>
              </w:rPr>
              <w:t xml:space="preserve">                  </w:t>
            </w:r>
            <w:r>
              <w:rPr>
                <w:rFonts w:cs="Arial" w:ascii="Arial" w:hAnsi="Arial"/>
              </w:rPr>
              <w:t>Excellent</w:t>
            </w:r>
          </w:p>
        </w:tc>
        <w:tc>
          <w:tcPr>
            <w:tcW w:w="360" w:type="dxa"/>
            <w:tcBorders>
              <w:top w:val="single" w:sz="4" w:space="0" w:color="000000"/>
              <w:bottom w:val="single" w:sz="4" w:space="0" w:color="000000"/>
              <w:end w:val="single" w:sz="4" w:space="0" w:color="000000"/>
            </w:tcBorders>
          </w:tcPr>
          <w:p>
            <w:pPr>
              <w:pStyle w:val="Heading1"/>
              <w:tabs>
                <w:tab w:val="clear" w:pos="720"/>
                <w:tab w:val="center" w:pos="468" w:leader="none"/>
                <w:tab w:val="right" w:pos="1584" w:leader="none"/>
              </w:tabs>
              <w:snapToGrid w:val="false"/>
              <w:ind w:hanging="0" w:start="0"/>
              <w:rPr>
                <w:rFonts w:ascii="Arial" w:hAnsi="Arial" w:cs="Arial"/>
              </w:rPr>
            </w:pPr>
            <w:r>
              <w:rPr>
                <w:rFonts w:cs="Arial" w:ascii="Arial" w:hAnsi="Arial"/>
              </w:rPr>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306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306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306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306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c>
          <w:tcPr>
            <w:tcW w:w="306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r>
    </w:tbl>
    <w:p>
      <w:pPr>
        <w:pStyle w:val="Header"/>
        <w:widowControl/>
        <w:tabs>
          <w:tab w:val="clear" w:pos="4320"/>
          <w:tab w:val="clear" w:pos="8640"/>
        </w:tabs>
        <w:rPr>
          <w:rFonts w:ascii="Arial" w:hAnsi="Arial" w:cs="Arial"/>
        </w:rPr>
      </w:pPr>
      <w:r>
        <w:rPr>
          <w:rFonts w:cs="Arial" w:ascii="Arial" w:hAnsi="Arial"/>
        </w:rPr>
      </w:r>
    </w:p>
    <w:p>
      <w:pPr>
        <w:pStyle w:val="Header"/>
        <w:widowControl/>
        <w:tabs>
          <w:tab w:val="clear" w:pos="4320"/>
          <w:tab w:val="clear" w:pos="8640"/>
        </w:tabs>
        <w:rPr>
          <w:rFonts w:ascii="Arial" w:hAnsi="Arial" w:cs="Arial"/>
        </w:rPr>
      </w:pPr>
      <w:r>
        <w:rPr>
          <w:rFonts w:cs="Arial" w:ascii="Arial" w:hAnsi="Arial"/>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Header"/>
        <w:widowControl/>
        <w:tabs>
          <w:tab w:val="clear" w:pos="4320"/>
          <w:tab w:val="clear" w:pos="8640"/>
        </w:tabs>
        <w:jc w:val="both"/>
        <w:rPr>
          <w:rFonts w:ascii="Arial" w:hAnsi="Arial" w:cs="Arial"/>
        </w:rPr>
      </w:pPr>
      <w:r>
        <w:rPr>
          <w:rFonts w:cs="Arial" w:ascii="Arial" w:hAnsi="Arial"/>
        </w:rPr>
        <w:t>Credit for Panther and Wildcat reserves will be granted only upon satisfaction of EGM, with RAC concurrence, of the following conditions precedent:  independent engineering report on tonnage, secured permits, mine plan and quality (for Panther, quality should be comparable to Eagle Seam reserves).  In addition, credit for Wildcat will be granted only upon satisfaction of EGM, with RAC concurrence, of the creditworthiness and capitalization of Wildcat.</w:t>
      </w:r>
    </w:p>
    <w:p>
      <w:pPr>
        <w:pStyle w:val="Header"/>
        <w:widowControl/>
        <w:tabs>
          <w:tab w:val="clear" w:pos="4320"/>
          <w:tab w:val="clear" w:pos="8640"/>
        </w:tabs>
        <w:jc w:val="both"/>
        <w:rPr>
          <w:rFonts w:ascii="Arial" w:hAnsi="Arial" w:cs="Arial"/>
        </w:rPr>
      </w:pPr>
      <w:r>
        <w:rPr>
          <w:rFonts w:cs="Arial" w:ascii="Arial" w:hAnsi="Arial"/>
        </w:rPr>
      </w:r>
    </w:p>
    <w:p>
      <w:pPr>
        <w:pStyle w:val="Header"/>
        <w:widowControl/>
        <w:tabs>
          <w:tab w:val="clear" w:pos="4320"/>
          <w:tab w:val="clear" w:pos="8640"/>
        </w:tabs>
        <w:jc w:val="both"/>
        <w:rPr>
          <w:rFonts w:ascii="Arial" w:hAnsi="Arial" w:cs="Arial"/>
        </w:rPr>
      </w:pPr>
      <w:r>
        <w:rPr>
          <w:rFonts w:cs="Arial" w:ascii="Arial" w:hAnsi="Arial"/>
        </w:rPr>
      </w:r>
    </w:p>
    <w:p>
      <w:pPr>
        <w:pStyle w:val="Header"/>
        <w:widowControl/>
        <w:tabs>
          <w:tab w:val="clear" w:pos="4320"/>
          <w:tab w:val="clear" w:pos="8640"/>
        </w:tabs>
        <w:jc w:val="both"/>
        <w:rPr>
          <w:rFonts w:ascii="Arial" w:hAnsi="Arial" w:cs="Arial"/>
        </w:rPr>
      </w:pPr>
      <w:r>
        <w:rPr>
          <w:rFonts w:cs="Arial" w:ascii="Arial" w:hAnsi="Arial"/>
        </w:rPr>
      </w:r>
    </w:p>
    <w:p>
      <w:pPr>
        <w:pStyle w:val="Header"/>
        <w:widowControl/>
        <w:tabs>
          <w:tab w:val="clear" w:pos="4320"/>
          <w:tab w:val="clear" w:pos="8640"/>
        </w:tabs>
        <w:jc w:val="both"/>
        <w:rPr>
          <w:rFonts w:ascii="Arial" w:hAnsi="Arial" w:cs="Arial"/>
        </w:rPr>
      </w:pPr>
      <w:r>
        <w:rPr>
          <w:rFonts w:cs="Arial" w:ascii="Arial" w:hAnsi="Arial"/>
        </w:rPr>
      </w:r>
    </w:p>
    <w:p>
      <w:pPr>
        <w:pStyle w:val="Header"/>
        <w:widowControl/>
        <w:tabs>
          <w:tab w:val="clear" w:pos="4320"/>
          <w:tab w:val="clear" w:pos="8640"/>
        </w:tabs>
        <w:jc w:val="both"/>
        <w:rPr>
          <w:rFonts w:ascii="Arial" w:hAnsi="Arial" w:cs="Arial"/>
        </w:rPr>
      </w:pPr>
      <w:r>
        <w:rPr>
          <w:rFonts w:cs="Arial" w:ascii="Arial" w:hAnsi="Arial"/>
        </w:rPr>
      </w:r>
    </w:p>
    <w:p>
      <w:pPr>
        <w:pStyle w:val="Normal"/>
        <w:pBdr>
          <w:top w:val="single" w:sz="8" w:space="1" w:color="000000"/>
        </w:pBdr>
        <w:jc w:val="both"/>
        <w:rPr>
          <w:rFonts w:ascii="Arial" w:hAnsi="Arial" w:cs="Arial"/>
          <w:b/>
          <w:sz w:val="20"/>
        </w:rPr>
      </w:pPr>
      <w:r>
        <w:rPr>
          <w:rFonts w:cs="Arial" w:ascii="Arial" w:hAnsi="Arial"/>
          <w:b/>
          <w:sz w:val="20"/>
        </w:rPr>
        <w:t>OTHER RAC COMMENTS</w:t>
      </w:r>
    </w:p>
    <w:p>
      <w:pPr>
        <w:pStyle w:val="Header"/>
        <w:widowControl/>
        <w:tabs>
          <w:tab w:val="clear" w:pos="4320"/>
          <w:tab w:val="clear" w:pos="8640"/>
        </w:tabs>
        <w:jc w:val="both"/>
        <w:rPr>
          <w:rFonts w:ascii="Arial" w:hAnsi="Arial" w:cs="Arial"/>
          <w:bCs/>
          <w:szCs w:val="24"/>
        </w:rPr>
      </w:pPr>
      <w:r>
        <w:rPr>
          <w:rFonts w:cs="Arial" w:ascii="Arial" w:hAnsi="Arial"/>
          <w:bCs/>
          <w:szCs w:val="24"/>
        </w:rPr>
        <w:t>This transaction, as proposed, relies on either:  (1) EGM capitalizing on a new synfuel project located at Cline’s Shrewsbury dock that generates at least $3.52 million credit on transload at Shrewsbury dock or (2) Cline satisfying the conditions precedent for the marketing agreements for both the additional Panther and Wildcat reserves in order for this transaction to have more value than simply collecting $11 million, plus interest, from DPR.  DPR has sufficient projected cash flow to pay this $11 million accelerated put in eight or fewer quarterly payments.</w:t>
      </w:r>
    </w:p>
    <w:p>
      <w:pPr>
        <w:pStyle w:val="Header"/>
        <w:widowControl/>
        <w:tabs>
          <w:tab w:val="clear" w:pos="4320"/>
          <w:tab w:val="clear" w:pos="8640"/>
        </w:tabs>
        <w:jc w:val="both"/>
        <w:rPr>
          <w:rFonts w:ascii="Arial" w:hAnsi="Arial" w:cs="Arial"/>
          <w:bCs/>
          <w:szCs w:val="24"/>
        </w:rPr>
      </w:pPr>
      <w:r>
        <w:rPr>
          <w:rFonts w:cs="Arial" w:ascii="Arial" w:hAnsi="Arial"/>
          <w:bCs/>
          <w:szCs w:val="24"/>
        </w:rPr>
      </w:r>
    </w:p>
    <w:p>
      <w:pPr>
        <w:pStyle w:val="Header"/>
        <w:widowControl/>
        <w:tabs>
          <w:tab w:val="clear" w:pos="4320"/>
          <w:tab w:val="clear" w:pos="8640"/>
        </w:tabs>
        <w:jc w:val="both"/>
        <w:rPr>
          <w:rFonts w:ascii="Arial" w:hAnsi="Arial" w:cs="Arial"/>
          <w:bCs/>
          <w:szCs w:val="24"/>
        </w:rPr>
      </w:pPr>
      <w:r>
        <w:rPr>
          <w:rFonts w:cs="Arial" w:ascii="Arial" w:hAnsi="Arial"/>
          <w:bCs/>
          <w:szCs w:val="24"/>
        </w:rPr>
        <w:t>EGM/JEDI II presently has granted Cline a number of options, both in this transaction and with respect to the purchase of EGM’s Jupiter equity (at a loss, but subject to repayment in full and cancellation of Jupiter and Panther debt of  $18.7 million and $12.9 million, repsectively).  Cline’s failure to exercise these options, which in aggregate have value to EGM/Jedi II, will result in a loss of value.  Offsetting this are two coal contracts entered into with Panther and Jupiter earlier this Spring that is estimated to create $4.3 million of value to EGM.</w:t>
      </w:r>
    </w:p>
    <w:p>
      <w:pPr>
        <w:pStyle w:val="Header"/>
        <w:widowControl/>
        <w:tabs>
          <w:tab w:val="clear" w:pos="4320"/>
          <w:tab w:val="clear" w:pos="8640"/>
        </w:tabs>
        <w:jc w:val="both"/>
        <w:rPr>
          <w:rFonts w:ascii="Arial" w:hAnsi="Arial" w:cs="Arial"/>
          <w:bCs/>
          <w:szCs w:val="24"/>
        </w:rPr>
      </w:pPr>
      <w:r>
        <w:rPr>
          <w:rFonts w:cs="Arial" w:ascii="Arial" w:hAnsi="Arial"/>
          <w:bCs/>
          <w:szCs w:val="24"/>
        </w:rPr>
      </w:r>
    </w:p>
    <w:p>
      <w:pPr>
        <w:pStyle w:val="Header"/>
        <w:widowControl/>
        <w:tabs>
          <w:tab w:val="clear" w:pos="4320"/>
          <w:tab w:val="clear" w:pos="8640"/>
        </w:tabs>
        <w:jc w:val="both"/>
        <w:rPr>
          <w:rFonts w:ascii="Arial" w:hAnsi="Arial" w:cs="Arial"/>
          <w:bCs/>
          <w:szCs w:val="24"/>
        </w:rPr>
      </w:pPr>
      <w:r>
        <w:rPr>
          <w:rFonts w:cs="Arial" w:ascii="Arial" w:hAnsi="Arial"/>
          <w:bCs/>
          <w:szCs w:val="24"/>
        </w:rPr>
        <w:t>It should be noted that some additional value with respect to the primary put due in 2004 may have been extracted from DPR in consideration of the deferral of the full $11 milllion accelerated put cash payment due and the option to ”pay” the majority in items other than cash.  No action with respect to enhancing the value of the primary put was taken as part of this negotiation.</w:t>
      </w:r>
    </w:p>
    <w:p>
      <w:pPr>
        <w:pStyle w:val="Normal"/>
        <w:rPr>
          <w:rFonts w:ascii="Arial" w:hAnsi="Arial" w:cs="Arial"/>
          <w:bCs/>
          <w:sz w:val="20"/>
          <w:szCs w:val="24"/>
        </w:rPr>
      </w:pPr>
      <w:r>
        <w:rPr>
          <w:rFonts w:cs="Arial" w:ascii="Arial" w:hAnsi="Arial"/>
          <w:bCs/>
          <w:sz w:val="20"/>
          <w:szCs w:val="24"/>
        </w:rPr>
      </w:r>
    </w:p>
    <w:p>
      <w:pPr>
        <w:pStyle w:val="Normal"/>
        <w:pBdr>
          <w:top w:val="single" w:sz="8" w:space="1" w:color="000000"/>
        </w:pBdr>
        <w:rPr>
          <w:rFonts w:ascii="Arial" w:hAnsi="Arial" w:cs="Arial"/>
          <w:b/>
          <w:sz w:val="20"/>
        </w:rPr>
      </w:pPr>
      <w:r>
        <w:rPr>
          <w:rFonts w:cs="Arial" w:ascii="Arial" w:hAnsi="Arial"/>
          <w:b/>
          <w:sz w:val="20"/>
        </w:rPr>
        <w:t xml:space="preserve">MILESTONES </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Status meetings:</w:t>
      </w:r>
    </w:p>
    <w:p>
      <w:pPr>
        <w:pStyle w:val="Normal"/>
        <w:rPr>
          <w:rFonts w:ascii="Arial" w:hAnsi="Arial" w:cs="Arial"/>
          <w:sz w:val="20"/>
        </w:rPr>
      </w:pPr>
      <w:r>
        <w:rPr>
          <w:rFonts w:cs="Arial" w:ascii="Arial" w:hAnsi="Arial"/>
          <w:sz w:val="20"/>
        </w:rPr>
        <w:t>Exclusive option to lease Shrewsbury Dock</w:t>
        <w:tab/>
        <w:t xml:space="preserve">        </w:t>
        <w:tab/>
        <w:tab/>
        <w:t xml:space="preserve">October 31, 2001 </w:t>
      </w:r>
    </w:p>
    <w:p>
      <w:pPr>
        <w:pStyle w:val="Normal"/>
        <w:rPr>
          <w:rFonts w:ascii="Arial" w:hAnsi="Arial" w:cs="Arial"/>
          <w:sz w:val="20"/>
        </w:rPr>
      </w:pPr>
      <w:r>
        <w:rPr>
          <w:rFonts w:cs="Arial" w:ascii="Arial" w:hAnsi="Arial"/>
          <w:sz w:val="20"/>
        </w:rPr>
        <w:t xml:space="preserve">Shrewsbury Dock transloading option for synfuel  </w:t>
        <w:tab/>
        <w:tab/>
        <w:t xml:space="preserve">October 31, 2001 </w:t>
      </w:r>
    </w:p>
    <w:p>
      <w:pPr>
        <w:pStyle w:val="Normal"/>
        <w:rPr>
          <w:rFonts w:ascii="Arial" w:hAnsi="Arial" w:cs="Arial"/>
          <w:sz w:val="20"/>
        </w:rPr>
      </w:pPr>
      <w:r>
        <w:rPr>
          <w:rFonts w:cs="Arial" w:ascii="Arial" w:hAnsi="Arial"/>
          <w:sz w:val="20"/>
        </w:rPr>
        <w:t xml:space="preserve">Shrewsbury Dock transloading option for coal      </w:t>
        <w:tab/>
        <w:tab/>
        <w:t xml:space="preserve">October 31, 2001 </w:t>
      </w:r>
    </w:p>
    <w:p>
      <w:pPr>
        <w:pStyle w:val="Normal"/>
        <w:rPr>
          <w:rFonts w:ascii="Arial" w:hAnsi="Arial" w:cs="Arial"/>
          <w:sz w:val="20"/>
        </w:rPr>
      </w:pPr>
      <w:r>
        <w:rPr>
          <w:rFonts w:cs="Arial" w:ascii="Arial" w:hAnsi="Arial"/>
          <w:sz w:val="20"/>
        </w:rPr>
        <w:t xml:space="preserve">Satisfaction of conditions precedent for Wildcat reserves          </w:t>
        <w:tab/>
        <w:t xml:space="preserve">October 31, 2001 </w:t>
      </w:r>
    </w:p>
    <w:p>
      <w:pPr>
        <w:pStyle w:val="Normal"/>
        <w:rPr>
          <w:rFonts w:ascii="Arial" w:hAnsi="Arial" w:cs="Arial"/>
          <w:sz w:val="20"/>
        </w:rPr>
      </w:pPr>
      <w:r>
        <w:rPr>
          <w:rFonts w:cs="Arial" w:ascii="Arial" w:hAnsi="Arial"/>
          <w:sz w:val="20"/>
        </w:rPr>
        <w:t>Cash payments upon failure to execute a transaction</w:t>
        <w:tab/>
        <w:tab/>
        <w:t xml:space="preserve">January 31, 2002 </w:t>
      </w:r>
    </w:p>
    <w:p>
      <w:pPr>
        <w:pStyle w:val="Normal"/>
        <w:rPr>
          <w:rFonts w:ascii="Arial" w:hAnsi="Arial" w:cs="Arial"/>
          <w:sz w:val="20"/>
        </w:rPr>
      </w:pPr>
      <w:r>
        <w:rPr>
          <w:rFonts w:cs="Arial" w:ascii="Arial" w:hAnsi="Arial"/>
          <w:sz w:val="20"/>
        </w:rPr>
        <w:t xml:space="preserve">Satisfaction of conditions precedent for Panther reserves         </w:t>
        <w:tab/>
        <w:t xml:space="preserve">April 30, 2002 </w:t>
      </w:r>
    </w:p>
    <w:p>
      <w:pPr>
        <w:pStyle w:val="Normal"/>
        <w:rPr>
          <w:rFonts w:ascii="Arial" w:hAnsi="Arial" w:cs="Arial"/>
          <w:sz w:val="20"/>
        </w:rPr>
      </w:pPr>
      <w:r>
        <w:rPr>
          <w:rFonts w:cs="Arial" w:ascii="Arial" w:hAnsi="Arial"/>
          <w:sz w:val="20"/>
        </w:rPr>
        <w:t xml:space="preserve">Installation of rail loadout capability at Shrewsbury Dock          </w:t>
        <w:tab/>
        <w:t xml:space="preserve">September 31, 2002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Expiration Date:</w:t>
      </w:r>
    </w:p>
    <w:p>
      <w:pPr>
        <w:pStyle w:val="Normal"/>
        <w:rPr>
          <w:rFonts w:ascii="Arial" w:hAnsi="Arial" w:cs="Arial"/>
          <w:sz w:val="20"/>
        </w:rPr>
      </w:pPr>
      <w:r>
        <w:rPr>
          <w:rFonts w:cs="Arial" w:ascii="Arial" w:hAnsi="Arial"/>
          <w:sz w:val="20"/>
        </w:rPr>
        <w:t>Exclusive option to lease Shrewsbury Dock</w:t>
        <w:tab/>
        <w:t xml:space="preserve">        </w:t>
        <w:tab/>
        <w:tab/>
        <w:t>January 31, 2002</w:t>
      </w:r>
    </w:p>
    <w:p>
      <w:pPr>
        <w:pStyle w:val="Normal"/>
        <w:rPr>
          <w:rFonts w:ascii="Arial" w:hAnsi="Arial" w:cs="Arial"/>
          <w:sz w:val="20"/>
        </w:rPr>
      </w:pPr>
      <w:r>
        <w:rPr>
          <w:rFonts w:cs="Arial" w:ascii="Arial" w:hAnsi="Arial"/>
          <w:sz w:val="20"/>
        </w:rPr>
        <w:t xml:space="preserve">Shrewsbury Dock transloading option for synfuel  </w:t>
        <w:tab/>
        <w:tab/>
        <w:t>January 31, 2002</w:t>
      </w:r>
    </w:p>
    <w:p>
      <w:pPr>
        <w:pStyle w:val="Normal"/>
        <w:rPr>
          <w:rFonts w:ascii="Arial" w:hAnsi="Arial" w:cs="Arial"/>
          <w:sz w:val="20"/>
        </w:rPr>
      </w:pPr>
      <w:r>
        <w:rPr>
          <w:rFonts w:cs="Arial" w:ascii="Arial" w:hAnsi="Arial"/>
          <w:sz w:val="20"/>
        </w:rPr>
        <w:t xml:space="preserve">Shrewsbury Dock transloading option for coal      </w:t>
        <w:tab/>
        <w:tab/>
        <w:t>February 15, 2002</w:t>
      </w:r>
    </w:p>
    <w:p>
      <w:pPr>
        <w:pStyle w:val="Normal"/>
        <w:rPr>
          <w:rFonts w:ascii="Arial" w:hAnsi="Arial" w:cs="Arial"/>
          <w:sz w:val="20"/>
        </w:rPr>
      </w:pPr>
      <w:r>
        <w:rPr>
          <w:rFonts w:cs="Arial" w:ascii="Arial" w:hAnsi="Arial"/>
          <w:sz w:val="20"/>
        </w:rPr>
        <w:t xml:space="preserve">Satisfaction of conditions precedent for Wildcat reserves          </w:t>
        <w:tab/>
        <w:t>January 31, 2002</w:t>
      </w:r>
    </w:p>
    <w:p>
      <w:pPr>
        <w:pStyle w:val="Normal"/>
        <w:rPr>
          <w:rFonts w:ascii="Arial" w:hAnsi="Arial" w:cs="Arial"/>
          <w:sz w:val="20"/>
        </w:rPr>
      </w:pPr>
      <w:r>
        <w:rPr>
          <w:rFonts w:cs="Arial" w:ascii="Arial" w:hAnsi="Arial"/>
          <w:sz w:val="20"/>
        </w:rPr>
        <w:t>Cash payments upon failure to execute a transaction</w:t>
        <w:tab/>
        <w:tab/>
        <w:t>February 24, 2002</w:t>
      </w:r>
    </w:p>
    <w:p>
      <w:pPr>
        <w:pStyle w:val="Normal"/>
        <w:rPr>
          <w:rFonts w:ascii="Arial" w:hAnsi="Arial" w:cs="Arial"/>
          <w:sz w:val="20"/>
        </w:rPr>
      </w:pPr>
      <w:r>
        <w:rPr>
          <w:rFonts w:cs="Arial" w:ascii="Arial" w:hAnsi="Arial"/>
          <w:sz w:val="20"/>
        </w:rPr>
        <w:t xml:space="preserve">Satisfaction of conditions precedent for Panther reserves         </w:t>
        <w:tab/>
        <w:t>June 30, 2002</w:t>
      </w:r>
    </w:p>
    <w:p>
      <w:pPr>
        <w:pStyle w:val="Normal"/>
        <w:rPr>
          <w:rFonts w:ascii="Arial" w:hAnsi="Arial" w:cs="Arial"/>
          <w:sz w:val="20"/>
        </w:rPr>
      </w:pPr>
      <w:r>
        <w:rPr>
          <w:rFonts w:cs="Arial" w:ascii="Arial" w:hAnsi="Arial"/>
          <w:sz w:val="20"/>
        </w:rPr>
        <w:t xml:space="preserve">Installation of rail loadout capability at Shrewsbury Dock          </w:t>
        <w:tab/>
        <w:t>December 31, 2002</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bl>
      <w:tblPr>
        <w:tblW w:w="10548" w:type="dxa"/>
        <w:jc w:val="start"/>
        <w:tblInd w:w="0" w:type="dxa"/>
        <w:tblLayout w:type="fixed"/>
        <w:tblCellMar>
          <w:top w:w="0" w:type="dxa"/>
          <w:start w:w="108" w:type="dxa"/>
          <w:bottom w:w="0" w:type="dxa"/>
          <w:end w:w="108" w:type="dxa"/>
        </w:tblCellMar>
      </w:tblPr>
      <w:tblGrid>
        <w:gridCol w:w="2448"/>
        <w:gridCol w:w="1080"/>
        <w:gridCol w:w="2700"/>
        <w:gridCol w:w="180"/>
        <w:gridCol w:w="354"/>
        <w:gridCol w:w="6"/>
        <w:gridCol w:w="354"/>
        <w:gridCol w:w="2346"/>
        <w:gridCol w:w="38"/>
        <w:gridCol w:w="239"/>
        <w:gridCol w:w="16"/>
        <w:gridCol w:w="78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108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880" w:type="dxa"/>
            <w:gridSpan w:val="2"/>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54"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744" w:type="dxa"/>
            <w:gridSpan w:val="4"/>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803" w:type="dxa"/>
            <w:gridSpan w:val="2"/>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rHeight w:val="297" w:hRule="atLeast"/>
        </w:trPr>
        <w:tc>
          <w:tcPr>
            <w:tcW w:w="2448" w:type="dxa"/>
            <w:tcBorders/>
          </w:tcPr>
          <w:p>
            <w:pPr>
              <w:pStyle w:val="Normal"/>
              <w:snapToGrid w:val="false"/>
              <w:spacing w:before="120" w:after="0"/>
              <w:rPr>
                <w:rFonts w:ascii="Arial" w:hAnsi="Arial" w:cs="Arial"/>
                <w:b/>
                <w:sz w:val="20"/>
              </w:rPr>
            </w:pPr>
            <w:r>
              <w:rPr>
                <w:rFonts w:cs="Arial" w:ascii="Arial" w:hAnsi="Arial"/>
                <w:b/>
                <w:sz w:val="20"/>
              </w:rPr>
            </w:r>
          </w:p>
        </w:tc>
        <w:tc>
          <w:tcPr>
            <w:tcW w:w="1080" w:type="dxa"/>
            <w:tcBorders/>
          </w:tcPr>
          <w:p>
            <w:pPr>
              <w:pStyle w:val="Normal"/>
              <w:snapToGrid w:val="false"/>
              <w:spacing w:before="120" w:after="0"/>
              <w:rPr>
                <w:rFonts w:ascii="Arial" w:hAnsi="Arial" w:cs="Arial"/>
                <w:sz w:val="20"/>
              </w:rPr>
            </w:pPr>
            <w:r>
              <w:rPr>
                <w:rFonts w:cs="Arial" w:ascii="Arial" w:hAnsi="Arial"/>
                <w:sz w:val="20"/>
              </w:rPr>
            </w:r>
          </w:p>
        </w:tc>
        <w:tc>
          <w:tcPr>
            <w:tcW w:w="2880" w:type="dxa"/>
            <w:gridSpan w:val="2"/>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744" w:type="dxa"/>
            <w:gridSpan w:val="4"/>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03" w:type="dxa"/>
            <w:gridSpan w:val="2"/>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Business Unit Originator</w:t>
            </w:r>
          </w:p>
        </w:tc>
        <w:tc>
          <w:tcPr>
            <w:tcW w:w="1080" w:type="dxa"/>
            <w:tcBorders/>
          </w:tcPr>
          <w:p>
            <w:pPr>
              <w:pStyle w:val="Normal"/>
              <w:snapToGrid w:val="false"/>
              <w:spacing w:before="120" w:after="0"/>
              <w:rPr>
                <w:rFonts w:ascii="Arial" w:hAnsi="Arial" w:cs="Arial"/>
                <w:sz w:val="20"/>
              </w:rPr>
            </w:pPr>
            <w:r>
              <w:rPr>
                <w:rFonts w:cs="Arial" w:ascii="Arial" w:hAnsi="Arial"/>
                <w:sz w:val="20"/>
              </w:rPr>
            </w:r>
          </w:p>
        </w:tc>
        <w:tc>
          <w:tcPr>
            <w:tcW w:w="2880" w:type="dxa"/>
            <w:gridSpan w:val="2"/>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Mike Beyer</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744" w:type="dxa"/>
            <w:gridSpan w:val="4"/>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03" w:type="dxa"/>
            <w:gridSpan w:val="2"/>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3528" w:type="dxa"/>
            <w:gridSpan w:val="2"/>
            <w:tcBorders/>
          </w:tcPr>
          <w:p>
            <w:pPr>
              <w:pStyle w:val="Normal"/>
              <w:spacing w:before="120" w:after="0"/>
              <w:rPr>
                <w:rFonts w:ascii="Arial" w:hAnsi="Arial" w:cs="Arial"/>
                <w:sz w:val="20"/>
              </w:rPr>
            </w:pPr>
            <w:r>
              <w:rPr>
                <w:rFonts w:cs="Arial" w:ascii="Arial" w:hAnsi="Arial"/>
                <w:sz w:val="20"/>
              </w:rPr>
              <w:t>Business Unit Management</w:t>
            </w:r>
          </w:p>
        </w:tc>
        <w:tc>
          <w:tcPr>
            <w:tcW w:w="2700" w:type="dxa"/>
            <w:tcBorders/>
          </w:tcPr>
          <w:p>
            <w:pPr>
              <w:pStyle w:val="Normal"/>
              <w:spacing w:before="120" w:after="0"/>
              <w:ind w:start="-288" w:end="0"/>
              <w:rPr>
                <w:rFonts w:ascii="Arial" w:hAnsi="Arial" w:cs="Arial"/>
                <w:sz w:val="20"/>
              </w:rPr>
            </w:pPr>
            <w:r>
              <w:rPr>
                <w:rFonts w:cs="Arial" w:ascii="Arial" w:hAnsi="Arial"/>
                <w:sz w:val="20"/>
              </w:rPr>
              <w:t>Ff  George McClellan</w:t>
            </w:r>
          </w:p>
        </w:tc>
        <w:tc>
          <w:tcPr>
            <w:tcW w:w="540" w:type="dxa"/>
            <w:gridSpan w:val="3"/>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346"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gridSpan w:val="3"/>
            <w:tcBorders/>
          </w:tcPr>
          <w:p>
            <w:pPr>
              <w:pStyle w:val="Normal"/>
              <w:snapToGrid w:val="false"/>
              <w:spacing w:before="120" w:after="0"/>
              <w:rPr>
                <w:rFonts w:ascii="Arial" w:hAnsi="Arial" w:cs="Arial"/>
                <w:sz w:val="20"/>
              </w:rPr>
            </w:pPr>
            <w:r>
              <w:rPr>
                <w:rFonts w:cs="Arial" w:ascii="Arial" w:hAnsi="Arial"/>
                <w:sz w:val="20"/>
              </w:rPr>
            </w:r>
          </w:p>
        </w:tc>
        <w:tc>
          <w:tcPr>
            <w:tcW w:w="78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Regional Management</w:t>
            </w:r>
          </w:p>
        </w:tc>
        <w:tc>
          <w:tcPr>
            <w:tcW w:w="1080" w:type="dxa"/>
            <w:tcBorders/>
          </w:tcPr>
          <w:p>
            <w:pPr>
              <w:pStyle w:val="Normal"/>
              <w:snapToGrid w:val="false"/>
              <w:spacing w:before="120" w:after="0"/>
              <w:rPr>
                <w:rFonts w:ascii="Arial" w:hAnsi="Arial" w:cs="Arial"/>
                <w:sz w:val="20"/>
              </w:rPr>
            </w:pPr>
            <w:r>
              <w:rPr>
                <w:rFonts w:cs="Arial" w:ascii="Arial" w:hAnsi="Arial"/>
                <w:sz w:val="20"/>
              </w:rPr>
            </w:r>
          </w:p>
        </w:tc>
        <w:tc>
          <w:tcPr>
            <w:tcW w:w="2880" w:type="dxa"/>
            <w:gridSpan w:val="2"/>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McConnell / Shankman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744" w:type="dxa"/>
            <w:gridSpan w:val="4"/>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03" w:type="dxa"/>
            <w:gridSpan w:val="2"/>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ENA Legal</w:t>
            </w:r>
          </w:p>
        </w:tc>
        <w:tc>
          <w:tcPr>
            <w:tcW w:w="1080" w:type="dxa"/>
            <w:tcBorders/>
          </w:tcPr>
          <w:p>
            <w:pPr>
              <w:pStyle w:val="Normal"/>
              <w:snapToGrid w:val="false"/>
              <w:spacing w:before="120" w:after="0"/>
              <w:rPr>
                <w:rFonts w:ascii="Arial" w:hAnsi="Arial" w:cs="Arial"/>
                <w:sz w:val="20"/>
              </w:rPr>
            </w:pPr>
            <w:r>
              <w:rPr>
                <w:rFonts w:cs="Arial" w:ascii="Arial" w:hAnsi="Arial"/>
                <w:sz w:val="20"/>
              </w:rPr>
            </w:r>
          </w:p>
        </w:tc>
        <w:tc>
          <w:tcPr>
            <w:tcW w:w="2880" w:type="dxa"/>
            <w:gridSpan w:val="2"/>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744" w:type="dxa"/>
            <w:gridSpan w:val="4"/>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03" w:type="dxa"/>
            <w:gridSpan w:val="2"/>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1080" w:type="dxa"/>
            <w:tcBorders/>
          </w:tcPr>
          <w:p>
            <w:pPr>
              <w:pStyle w:val="Normal"/>
              <w:snapToGrid w:val="false"/>
              <w:spacing w:before="120" w:after="0"/>
              <w:rPr>
                <w:rFonts w:ascii="Arial" w:hAnsi="Arial" w:cs="Arial"/>
                <w:sz w:val="20"/>
              </w:rPr>
            </w:pPr>
            <w:r>
              <w:rPr>
                <w:rFonts w:cs="Arial" w:ascii="Arial" w:hAnsi="Arial"/>
                <w:sz w:val="20"/>
              </w:rPr>
            </w:r>
          </w:p>
        </w:tc>
        <w:tc>
          <w:tcPr>
            <w:tcW w:w="2880" w:type="dxa"/>
            <w:gridSpan w:val="2"/>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744" w:type="dxa"/>
            <w:gridSpan w:val="4"/>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03" w:type="dxa"/>
            <w:gridSpan w:val="2"/>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1080" w:type="dxa"/>
            <w:tcBorders/>
          </w:tcPr>
          <w:p>
            <w:pPr>
              <w:pStyle w:val="Normal"/>
              <w:snapToGrid w:val="false"/>
              <w:spacing w:before="120" w:after="0"/>
              <w:rPr>
                <w:rFonts w:ascii="Arial" w:hAnsi="Arial" w:cs="Arial"/>
                <w:sz w:val="20"/>
              </w:rPr>
            </w:pPr>
            <w:r>
              <w:rPr>
                <w:rFonts w:cs="Arial" w:ascii="Arial" w:hAnsi="Arial"/>
                <w:sz w:val="20"/>
              </w:rPr>
            </w:r>
          </w:p>
        </w:tc>
        <w:tc>
          <w:tcPr>
            <w:tcW w:w="2880" w:type="dxa"/>
            <w:gridSpan w:val="2"/>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744" w:type="dxa"/>
            <w:gridSpan w:val="4"/>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03" w:type="dxa"/>
            <w:gridSpan w:val="2"/>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OOC</w:t>
            </w:r>
          </w:p>
        </w:tc>
        <w:tc>
          <w:tcPr>
            <w:tcW w:w="1080" w:type="dxa"/>
            <w:tcBorders/>
          </w:tcPr>
          <w:p>
            <w:pPr>
              <w:pStyle w:val="Normal"/>
              <w:snapToGrid w:val="false"/>
              <w:spacing w:before="120" w:after="0"/>
              <w:rPr>
                <w:rFonts w:ascii="Arial" w:hAnsi="Arial" w:cs="Arial"/>
                <w:sz w:val="20"/>
              </w:rPr>
            </w:pPr>
            <w:r>
              <w:rPr>
                <w:rFonts w:cs="Arial" w:ascii="Arial" w:hAnsi="Arial"/>
                <w:sz w:val="20"/>
              </w:rPr>
            </w:r>
          </w:p>
        </w:tc>
        <w:tc>
          <w:tcPr>
            <w:tcW w:w="2880" w:type="dxa"/>
            <w:gridSpan w:val="2"/>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Frevert / Greg Whalley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744" w:type="dxa"/>
            <w:gridSpan w:val="4"/>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03" w:type="dxa"/>
            <w:gridSpan w:val="2"/>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Jedi II</w:t>
            </w:r>
          </w:p>
        </w:tc>
        <w:tc>
          <w:tcPr>
            <w:tcW w:w="1080" w:type="dxa"/>
            <w:tcBorders/>
          </w:tcPr>
          <w:p>
            <w:pPr>
              <w:pStyle w:val="Normal"/>
              <w:snapToGrid w:val="false"/>
              <w:spacing w:before="120" w:after="0"/>
              <w:rPr>
                <w:rFonts w:ascii="Arial" w:hAnsi="Arial" w:cs="Arial"/>
                <w:sz w:val="20"/>
              </w:rPr>
            </w:pPr>
            <w:r>
              <w:rPr>
                <w:rFonts w:cs="Arial" w:ascii="Arial" w:hAnsi="Arial"/>
                <w:sz w:val="20"/>
              </w:rPr>
            </w:r>
          </w:p>
        </w:tc>
        <w:tc>
          <w:tcPr>
            <w:tcW w:w="2880" w:type="dxa"/>
            <w:gridSpan w:val="2"/>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Shirley Hudler</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744" w:type="dxa"/>
            <w:gridSpan w:val="4"/>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03" w:type="dxa"/>
            <w:gridSpan w:val="2"/>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r>
    </w:p>
    <w:p>
      <w:pPr>
        <w:pStyle w:val="BodyText"/>
        <w:jc w:val="both"/>
        <w:rPr>
          <w:bCs w:val="false"/>
          <w:sz w:val="24"/>
          <w:u w:val="single"/>
        </w:rPr>
      </w:pPr>
      <w:r>
        <w:rPr>
          <w:bCs w:val="false"/>
          <w:sz w:val="24"/>
          <w:u w:val="single"/>
        </w:rPr>
        <w:t>ATTACHMENT  -  I</w:t>
      </w:r>
    </w:p>
    <w:p>
      <w:pPr>
        <w:pStyle w:val="BodyText"/>
        <w:jc w:val="both"/>
        <w:rPr>
          <w:b w:val="false"/>
          <w:bCs w:val="false"/>
          <w:sz w:val="24"/>
          <w:u w:val="single"/>
        </w:rPr>
      </w:pPr>
      <w:r>
        <w:rPr>
          <w:b w:val="false"/>
          <w:bCs w:val="false"/>
          <w:sz w:val="24"/>
          <w:u w:val="single"/>
        </w:rPr>
      </w:r>
    </w:p>
    <w:p>
      <w:pPr>
        <w:pStyle w:val="BodyText"/>
        <w:jc w:val="both"/>
        <w:rPr>
          <w:bCs w:val="false"/>
          <w:i/>
          <w:i/>
          <w:iCs/>
        </w:rPr>
      </w:pPr>
      <w:r>
        <w:rPr>
          <w:bCs w:val="false"/>
          <w:i/>
          <w:iCs/>
        </w:rPr>
        <w:t>Description of transactions to be Credited Against Payment of Put</w:t>
      </w:r>
    </w:p>
    <w:p>
      <w:pPr>
        <w:pStyle w:val="BodyText"/>
        <w:jc w:val="both"/>
        <w:rPr>
          <w:b w:val="false"/>
          <w:bCs w:val="false"/>
          <w:i/>
          <w:i/>
          <w:iCs/>
        </w:rPr>
      </w:pPr>
      <w:r>
        <w:rPr>
          <w:b w:val="false"/>
          <w:bCs w:val="false"/>
          <w:i/>
          <w:iCs/>
        </w:rPr>
      </w:r>
    </w:p>
    <w:p>
      <w:pPr>
        <w:pStyle w:val="BodyText"/>
        <w:ind w:firstLine="720" w:end="0"/>
        <w:jc w:val="both"/>
        <w:rPr/>
      </w:pPr>
      <w:r>
        <w:rPr>
          <w:bCs w:val="false"/>
          <w:i/>
          <w:iCs/>
          <w:u w:val="single"/>
        </w:rPr>
        <w:t>Exclusive Option to Lease Shrewsbury Dock:</w:t>
      </w:r>
      <w:r>
        <w:rPr>
          <w:b w:val="false"/>
        </w:rPr>
        <w:t xml:space="preserve">  EGM would obtain the exclusive right to place a synfuel machine at Cline-owned property located near and/or at Shrewsbury Dock, which is controlled by Little Creek Dock Company, Inc., a Cline entity.  The Shrewsbury Dock now has barge loadout capacity and is strategically located in Central Appalachia on the Kanawha River.  Cline has agreed to install rail loadout capability by December 31, 2002, which will provide EGM coal marketers the opportunity to arbitrage the barge and rail markets for coal.  The term of the option would extend from closing of the Accelerated Put transaction through January 31, 2002.  Dakota would receive a $1.76 million credit against the price of the IPC Put.</w:t>
      </w:r>
    </w:p>
    <w:p>
      <w:pPr>
        <w:pStyle w:val="BodyText"/>
        <w:jc w:val="both"/>
        <w:rPr>
          <w:b w:val="false"/>
        </w:rPr>
      </w:pPr>
      <w:r>
        <w:rPr>
          <w:b w:val="false"/>
        </w:rPr>
      </w:r>
    </w:p>
    <w:p>
      <w:pPr>
        <w:pStyle w:val="BodyText"/>
        <w:jc w:val="both"/>
        <w:rPr/>
      </w:pPr>
      <w:r>
        <w:rPr>
          <w:b w:val="false"/>
        </w:rPr>
        <w:tab/>
      </w:r>
      <w:r>
        <w:rPr>
          <w:bCs w:val="false"/>
          <w:i/>
          <w:iCs/>
          <w:u w:val="single"/>
        </w:rPr>
        <w:t>Shrewsbury Dock Transloading Option:</w:t>
      </w:r>
      <w:r>
        <w:rPr>
          <w:b w:val="false"/>
        </w:rPr>
        <w:t xml:space="preserve">  EGM would have the option to use the Shrewsbury Dock for transloading up to 3.0 million tons of synfuel or coal per year.  EGM’s exercise of its transloading option by January 31, 2002 with respect to synfuel, or by February 15, 2002 with respect to coal, would entitle Dakota to an additional $1.76 million credit against the price of the IPC Put.  The transloading agreement would provide for a siting fee arrangement that is favorable to EGM compared to typical arrangements in the synfuel industry.  </w:t>
      </w:r>
    </w:p>
    <w:p>
      <w:pPr>
        <w:pStyle w:val="BodyText"/>
        <w:jc w:val="both"/>
        <w:rPr>
          <w:b w:val="false"/>
        </w:rPr>
      </w:pPr>
      <w:r>
        <w:rPr>
          <w:b w:val="false"/>
        </w:rPr>
      </w:r>
    </w:p>
    <w:p>
      <w:pPr>
        <w:pStyle w:val="BodyText"/>
        <w:jc w:val="both"/>
        <w:rPr/>
      </w:pPr>
      <w:r>
        <w:rPr>
          <w:b w:val="false"/>
        </w:rPr>
        <w:tab/>
      </w:r>
      <w:r>
        <w:rPr>
          <w:bCs w:val="false"/>
          <w:i/>
          <w:iCs/>
          <w:u w:val="single"/>
        </w:rPr>
        <w:t>Additional Panther Coal Reserves:</w:t>
      </w:r>
      <w:r>
        <w:rPr>
          <w:b w:val="false"/>
        </w:rPr>
        <w:t xml:space="preserve">  Dakota shall further receive a $2.41 million credit against the Put Option if Panther LLC is successful in adding 10 million tons of economically recoverable coal reserves to EGM’s existing Panther marketing agreement on or before June 30, 2002.  The reserves must be comparable in quality to the existing high quality Eagle Seam reserves, and the reserves must be mineable through the existing Panther mine opening within a 10-year mining plan (until 2012).  If Panther adds less than 10 million tons to the marketing agreement, the credit against the Put would decrease proportionately.  </w:t>
      </w:r>
    </w:p>
    <w:p>
      <w:pPr>
        <w:pStyle w:val="BodyText"/>
        <w:jc w:val="both"/>
        <w:rPr>
          <w:b w:val="false"/>
        </w:rPr>
      </w:pPr>
      <w:r>
        <w:rPr>
          <w:b w:val="false"/>
        </w:rPr>
      </w:r>
    </w:p>
    <w:p>
      <w:pPr>
        <w:pStyle w:val="BodyText"/>
        <w:jc w:val="both"/>
        <w:rPr/>
      </w:pPr>
      <w:r>
        <w:rPr>
          <w:b w:val="false"/>
        </w:rPr>
        <w:tab/>
      </w:r>
      <w:r>
        <w:rPr>
          <w:bCs w:val="false"/>
          <w:i/>
          <w:iCs/>
          <w:u w:val="single"/>
        </w:rPr>
        <w:t xml:space="preserve"> Wildcat Coal Reserves:</w:t>
      </w:r>
      <w:r>
        <w:rPr>
          <w:b w:val="false"/>
        </w:rPr>
        <w:t xml:space="preserve">  Dakota shall further receive a $1.76 million credit against the Put if Wildcat, and if necessary in EGM’s and JEDI II’s opinion guaranteed by a creditworthy Cline entity, executes the Wildcat marketing agreement for 3.75 million tons of economically recoverable coal reserves on or before January 31, 2002.  An independent mining engineer must verify the quantity, quality, and mineability of the reserves within a five-year mining plan.  The reserves must be 12,300 Btu and 1.3 lbs of SO2 per million Btu.  </w:t>
      </w:r>
    </w:p>
    <w:p>
      <w:pPr>
        <w:pStyle w:val="BodyText"/>
        <w:jc w:val="both"/>
        <w:rPr>
          <w:b w:val="false"/>
        </w:rPr>
      </w:pPr>
      <w:r>
        <w:rPr>
          <w:b w:val="false"/>
        </w:rPr>
      </w:r>
    </w:p>
    <w:p>
      <w:pPr>
        <w:pStyle w:val="BodyText"/>
        <w:jc w:val="both"/>
        <w:rPr/>
      </w:pPr>
      <w:r>
        <w:rPr>
          <w:b w:val="false"/>
        </w:rPr>
        <w:tab/>
      </w:r>
      <w:r>
        <w:rPr>
          <w:bCs w:val="false"/>
          <w:i/>
          <w:iCs/>
          <w:u w:val="single"/>
        </w:rPr>
        <w:t>Additional Cash Payments:</w:t>
      </w:r>
      <w:r>
        <w:rPr>
          <w:b w:val="false"/>
        </w:rPr>
        <w:t xml:space="preserve">  If any of the Cline entities fails to execute a proposed transaction, Dakota would be obligated to begin paying the above amount for that transaction in six equal quarterly payments beginning February 24, 2002 and thereafter within 55 days of each calendar quarter end.  Interest would accrue from June 30, 2001 on said amounts at the rate of 10.625% per year.</w:t>
      </w:r>
    </w:p>
    <w:p>
      <w:pPr>
        <w:pStyle w:val="BodyText"/>
        <w:jc w:val="both"/>
        <w:rPr>
          <w:b w:val="false"/>
        </w:rPr>
      </w:pPr>
      <w:r>
        <w:rPr>
          <w:b w:val="false"/>
        </w:rPr>
      </w:r>
    </w:p>
    <w:p>
      <w:pPr>
        <w:pStyle w:val="Normal"/>
        <w:jc w:val="both"/>
        <w:rPr/>
      </w:pPr>
      <w:r>
        <w:rPr>
          <w:rFonts w:cs="Arial" w:ascii="Arial" w:hAnsi="Arial"/>
          <w:sz w:val="20"/>
        </w:rPr>
        <w:tab/>
      </w:r>
      <w:r>
        <w:rPr>
          <w:rFonts w:cs="Arial" w:ascii="Arial" w:hAnsi="Arial"/>
          <w:b/>
          <w:i/>
          <w:sz w:val="20"/>
          <w:u w:val="single"/>
        </w:rPr>
        <w:t>Coal Purchase Agreements:</w:t>
      </w:r>
      <w:r>
        <w:rPr>
          <w:rFonts w:cs="Arial" w:ascii="Arial" w:hAnsi="Arial"/>
          <w:bCs/>
          <w:iCs/>
          <w:sz w:val="20"/>
        </w:rPr>
        <w:t xml:space="preserve">  In addition to the above, Panther LLC and Jupiter LLC have agreed to sell EGM 900,000 tons of coal at a price that is at least $5.00 per ton less than market.  Dakota and DPR shall receive no credit against the Put for the value of these coal purchase agreements, although the coal is worth at least $4.3 million to EGM.</w:t>
      </w:r>
    </w:p>
    <w:p>
      <w:pPr>
        <w:pStyle w:val="Normal"/>
        <w:jc w:val="both"/>
        <w:rPr>
          <w:rFonts w:ascii="Arial" w:hAnsi="Arial" w:cs="Arial"/>
          <w:bCs/>
          <w:iCs/>
          <w:sz w:val="20"/>
        </w:rPr>
      </w:pPr>
      <w:r>
        <w:rPr>
          <w:rFonts w:cs="Arial" w:ascii="Arial" w:hAnsi="Arial"/>
          <w:bCs/>
          <w:iCs/>
          <w:sz w:val="20"/>
        </w:rPr>
      </w:r>
    </w:p>
    <w:p>
      <w:pPr>
        <w:pStyle w:val="Normal"/>
        <w:rPr>
          <w:rFonts w:ascii="Arial" w:hAnsi="Arial" w:cs="Arial"/>
          <w:bCs/>
          <w:iCs/>
          <w:sz w:val="20"/>
        </w:rPr>
      </w:pPr>
      <w:r>
        <w:rPr>
          <w:rFonts w:cs="Arial" w:ascii="Arial" w:hAnsi="Arial"/>
          <w:bCs/>
          <w:iCs/>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b/>
          <w:sz w:val="20"/>
          <w:u w:val="single"/>
        </w:rPr>
      </w:pPr>
      <w:r>
        <w:rPr>
          <w:rFonts w:cs="Arial" w:ascii="Arial" w:hAnsi="Arial"/>
          <w:b/>
          <w:sz w:val="20"/>
          <w:u w:val="single"/>
        </w:rPr>
        <w:t>Global Finance Summary (addendum to DASH)</w:t>
      </w:r>
    </w:p>
    <w:p>
      <w:pPr>
        <w:pStyle w:val="Normal"/>
        <w:jc w:val="end"/>
        <w:rPr>
          <w:rFonts w:ascii="Arial" w:hAnsi="Arial" w:cs="Arial"/>
          <w:b/>
          <w:sz w:val="20"/>
          <w:u w:val="single"/>
        </w:rPr>
      </w:pPr>
      <w:r>
        <w:rPr>
          <w:rFonts w:cs="Arial" w:ascii="Arial" w:hAnsi="Arial"/>
          <w:b/>
          <w:sz w:val="20"/>
          <w:u w:val="single"/>
        </w:rPr>
      </w:r>
    </w:p>
    <w:p>
      <w:pPr>
        <w:pStyle w:val="Normal"/>
        <w:numPr>
          <w:ilvl w:val="0"/>
          <w:numId w:val="2"/>
        </w:numPr>
        <w:rPr>
          <w:rFonts w:ascii="Arial" w:hAnsi="Arial" w:cs="Arial"/>
          <w:b/>
          <w:sz w:val="20"/>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bottom w:val="single" w:sz="4" w:space="0" w:color="000000"/>
            </w:tcBorders>
          </w:tcPr>
          <w:p>
            <w:pPr>
              <w:pStyle w:val="Normal"/>
              <w:jc w:val="end"/>
              <w:rPr>
                <w:rFonts w:ascii="Arial" w:hAnsi="Arial" w:cs="Arial"/>
                <w:sz w:val="20"/>
              </w:rPr>
            </w:pPr>
            <w:r>
              <w:rPr>
                <w:rFonts w:cs="Arial" w:ascii="Arial" w:hAnsi="Arial"/>
                <w:sz w:val="20"/>
              </w:rPr>
              <w:t>Amount ($000s)</w:t>
            </w:r>
          </w:p>
        </w:tc>
      </w:tr>
      <w:tr>
        <w:trPr/>
        <w:tc>
          <w:tcPr>
            <w:tcW w:w="7650" w:type="dxa"/>
            <w:tcBorders/>
          </w:tcPr>
          <w:p>
            <w:pPr>
              <w:pStyle w:val="Normal"/>
              <w:rPr>
                <w:rFonts w:ascii="Arial" w:hAnsi="Arial" w:cs="Arial"/>
                <w:sz w:val="20"/>
              </w:rPr>
            </w:pPr>
            <w:r>
              <w:rPr>
                <w:rFonts w:cs="Arial" w:ascii="Arial" w:hAnsi="Arial"/>
                <w:sz w:val="20"/>
              </w:rPr>
              <w:t>Total Deal/Project Capital Commitment</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Financing</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Syndications</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Net Enron Investment</w:t>
            </w:r>
          </w:p>
        </w:tc>
        <w:tc>
          <w:tcPr>
            <w:tcW w:w="2250" w:type="dxa"/>
            <w:tcBorders>
              <w:top w:val="single" w:sz="4" w:space="0" w:color="000000"/>
              <w:bottom w:val="single" w:sz="4"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r>
      <w:tr>
        <w:trPr>
          <w:trHeight w:val="60"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op w:val="single" w:sz="4" w:space="0" w:color="000000"/>
              <w:bottom w:val="single" w:sz="4" w:space="0" w:color="000000"/>
            </w:tcBorders>
          </w:tcPr>
          <w:p>
            <w:pPr>
              <w:pStyle w:val="Normal"/>
              <w:snapToGrid w:val="false"/>
              <w:jc w:val="end"/>
              <w:rPr>
                <w:rFonts w:ascii="Arial" w:hAnsi="Arial" w:cs="Arial"/>
                <w:sz w:val="20"/>
              </w:rPr>
            </w:pPr>
            <w:r>
              <w:rPr>
                <w:rFonts w:cs="Arial" w:ascii="Arial" w:hAnsi="Arial"/>
                <w:sz w:val="20"/>
              </w:rPr>
            </w:r>
          </w:p>
        </w:tc>
      </w:tr>
      <w:tr>
        <w:trPr>
          <w:trHeight w:val="23"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cPr>
          <w:p>
            <w:pPr>
              <w:pStyle w:val="Normal"/>
              <w:jc w:val="end"/>
              <w:rPr>
                <w:rFonts w:ascii="Arial" w:hAnsi="Arial" w:cs="Arial"/>
                <w:sz w:val="20"/>
              </w:rPr>
            </w:pPr>
            <w:r>
              <w:rPr>
                <w:rFonts w:cs="Arial" w:ascii="Arial" w:hAnsi="Arial"/>
                <w:sz w:val="20"/>
              </w:rPr>
              <w:br/>
            </w:r>
          </w:p>
        </w:tc>
      </w:tr>
    </w:tbl>
    <w:p>
      <w:pPr>
        <w:pStyle w:val="Normal"/>
        <w:rPr>
          <w:rFonts w:ascii="Arial" w:hAnsi="Arial" w:cs="Arial"/>
          <w:sz w:val="20"/>
        </w:rPr>
      </w:pPr>
      <w:r>
        <w:rPr>
          <w:rFonts w:cs="Arial" w:ascii="Arial" w:hAnsi="Arial"/>
          <w:sz w:val="20"/>
        </w:rPr>
      </w:r>
    </w:p>
    <w:p>
      <w:pPr>
        <w:pStyle w:val="Normal"/>
        <w:numPr>
          <w:ilvl w:val="0"/>
          <w:numId w:val="6"/>
        </w:numPr>
        <w:rPr>
          <w:rFonts w:ascii="Arial" w:hAnsi="Arial" w:cs="Arial"/>
          <w:sz w:val="20"/>
        </w:rPr>
      </w:pPr>
      <w:r>
        <w:rPr>
          <w:rFonts w:cs="Arial" w:ascii="Arial" w:hAnsi="Arial"/>
          <w:b/>
          <w:sz w:val="20"/>
        </w:rPr>
        <w:t>Investment terms and pricing:</w:t>
      </w:r>
      <w:r>
        <w:rPr>
          <w:rFonts w:cs="Arial" w:ascii="Arial" w:hAnsi="Arial"/>
          <w:sz w:val="20"/>
        </w:rPr>
        <w:tab/>
        <w:tab/>
      </w:r>
      <w:r>
        <w:rPr>
          <w:rFonts w:cs="Arial" w:ascii="Arial" w:hAnsi="Arial"/>
          <w:b/>
          <w:bCs/>
          <w:sz w:val="20"/>
        </w:rPr>
        <w:t>Market</w:t>
      </w:r>
      <w:r>
        <w:rPr>
          <w:rFonts w:cs="Arial" w:ascii="Arial" w:hAnsi="Arial"/>
          <w:sz w:val="20"/>
        </w:rPr>
        <w:t>,</w:t>
      </w:r>
      <w:r>
        <w:rPr>
          <w:rFonts w:cs="Arial" w:ascii="Arial" w:hAnsi="Arial"/>
          <w:b/>
          <w:bCs/>
          <w:sz w:val="20"/>
        </w:rPr>
        <w:t xml:space="preserve"> Above Market </w:t>
      </w:r>
      <w:r>
        <w:rPr>
          <w:rFonts w:cs="Arial" w:ascii="Arial" w:hAnsi="Arial"/>
          <w:sz w:val="20"/>
        </w:rPr>
        <w:t>or</w:t>
      </w:r>
      <w:r>
        <w:rPr>
          <w:rFonts w:cs="Arial" w:ascii="Arial" w:hAnsi="Arial"/>
          <w:b/>
          <w:bCs/>
          <w:sz w:val="20"/>
        </w:rPr>
        <w:t xml:space="preserve"> Below Market</w:t>
      </w:r>
      <w:r>
        <w:rPr>
          <w:rFonts w:cs="Arial" w:ascii="Arial" w:hAnsi="Arial"/>
          <w:sz w:val="20"/>
        </w:rPr>
        <w:br/>
        <w:br/>
        <w:t>Describe (if necessary):</w:t>
        <w:br/>
        <w:br/>
        <w:br/>
      </w:r>
    </w:p>
    <w:p>
      <w:pPr>
        <w:pStyle w:val="Normal"/>
        <w:numPr>
          <w:ilvl w:val="0"/>
          <w:numId w:val="6"/>
        </w:numPr>
        <w:rPr>
          <w:rFonts w:ascii="Arial" w:hAnsi="Arial" w:cs="Arial"/>
          <w:sz w:val="20"/>
        </w:rPr>
      </w:pPr>
      <w:r>
        <w:rPr>
          <w:rFonts w:cs="Arial" w:ascii="Arial" w:hAnsi="Arial"/>
          <w:b/>
          <w:sz w:val="20"/>
        </w:rPr>
        <w:t>Financing terms and pricing:</w:t>
      </w:r>
      <w:r>
        <w:rPr>
          <w:rFonts w:cs="Arial" w:ascii="Arial" w:hAnsi="Arial"/>
          <w:sz w:val="20"/>
        </w:rPr>
        <w:tab/>
        <w:tab/>
      </w:r>
      <w:r>
        <w:rPr>
          <w:rFonts w:cs="Arial" w:ascii="Arial" w:hAnsi="Arial"/>
          <w:b/>
          <w:bCs/>
          <w:sz w:val="20"/>
        </w:rPr>
        <w:t>Market</w:t>
      </w:r>
      <w:r>
        <w:rPr>
          <w:rFonts w:cs="Arial" w:ascii="Arial" w:hAnsi="Arial"/>
          <w:sz w:val="20"/>
        </w:rPr>
        <w:t>,</w:t>
      </w:r>
      <w:r>
        <w:rPr>
          <w:rFonts w:cs="Arial" w:ascii="Arial" w:hAnsi="Arial"/>
          <w:b/>
          <w:bCs/>
          <w:sz w:val="20"/>
        </w:rPr>
        <w:t xml:space="preserve"> Above Market </w:t>
      </w:r>
      <w:r>
        <w:rPr>
          <w:rFonts w:cs="Arial" w:ascii="Arial" w:hAnsi="Arial"/>
          <w:sz w:val="20"/>
        </w:rPr>
        <w:t>or</w:t>
      </w:r>
      <w:r>
        <w:rPr>
          <w:rFonts w:cs="Arial" w:ascii="Arial" w:hAnsi="Arial"/>
          <w:b/>
          <w:bCs/>
          <w:sz w:val="20"/>
        </w:rPr>
        <w:t xml:space="preserve"> Below Market</w:t>
      </w:r>
      <w:r>
        <w:rPr>
          <w:rFonts w:cs="Arial" w:ascii="Arial" w:hAnsi="Arial"/>
          <w:sz w:val="20"/>
        </w:rPr>
        <w:br/>
        <w:br/>
        <w:t>Describe (if necessary):</w:t>
        <w:br/>
        <w:br/>
        <w:br/>
      </w:r>
    </w:p>
    <w:p>
      <w:pPr>
        <w:pStyle w:val="Normal"/>
        <w:numPr>
          <w:ilvl w:val="0"/>
          <w:numId w:val="6"/>
        </w:numPr>
        <w:rPr>
          <w:rFonts w:ascii="Arial" w:hAnsi="Arial" w:cs="Arial"/>
          <w:sz w:val="20"/>
        </w:rPr>
      </w:pPr>
      <w:r>
        <w:rPr>
          <w:rFonts w:cs="Arial" w:ascii="Arial" w:hAnsi="Arial"/>
          <w:b/>
          <w:sz w:val="20"/>
        </w:rPr>
        <w:t>Legal or practical liquidity restrictions:</w:t>
      </w:r>
      <w:r>
        <w:rPr>
          <w:rFonts w:cs="Arial" w:ascii="Arial" w:hAnsi="Arial"/>
          <w:sz w:val="20"/>
        </w:rPr>
        <w:tab/>
      </w:r>
      <w:r>
        <w:rPr>
          <w:rFonts w:cs="Arial" w:ascii="Arial" w:hAnsi="Arial"/>
          <w:b/>
          <w:bCs/>
          <w:sz w:val="20"/>
        </w:rPr>
        <w:t>Unrestricted</w:t>
      </w:r>
      <w:r>
        <w:rPr>
          <w:rFonts w:cs="Arial" w:ascii="Arial" w:hAnsi="Arial"/>
          <w:sz w:val="20"/>
        </w:rPr>
        <w:t>,</w:t>
      </w:r>
      <w:r>
        <w:rPr>
          <w:rFonts w:cs="Arial" w:ascii="Arial" w:hAnsi="Arial"/>
          <w:b/>
          <w:bCs/>
          <w:sz w:val="20"/>
        </w:rPr>
        <w:t xml:space="preserve"> Legally Restricted </w:t>
      </w:r>
      <w:r>
        <w:rPr>
          <w:rFonts w:cs="Arial" w:ascii="Arial" w:hAnsi="Arial"/>
          <w:sz w:val="20"/>
        </w:rPr>
        <w:t>or</w:t>
      </w:r>
      <w:r>
        <w:rPr>
          <w:rFonts w:cs="Arial" w:ascii="Arial" w:hAnsi="Arial"/>
          <w:b/>
          <w:bCs/>
          <w:sz w:val="20"/>
        </w:rPr>
        <w:t xml:space="preserve"> Practically Restricted</w:t>
      </w:r>
      <w:r>
        <w:rPr>
          <w:rFonts w:cs="Arial" w:ascii="Arial" w:hAnsi="Arial"/>
          <w:sz w:val="20"/>
        </w:rPr>
        <w:br/>
      </w:r>
    </w:p>
    <w:p>
      <w:pPr>
        <w:pStyle w:val="Normal"/>
        <w:ind w:firstLine="360" w:end="0"/>
        <w:rPr>
          <w:rFonts w:ascii="Arial" w:hAnsi="Arial" w:cs="Arial"/>
          <w:sz w:val="20"/>
        </w:rPr>
      </w:pPr>
      <w:r>
        <w:rPr>
          <w:rFonts w:cs="Arial" w:ascii="Arial" w:hAnsi="Arial"/>
          <w:sz w:val="20"/>
        </w:rPr>
        <w:t>Describe (if necessary):</w:t>
        <w:br/>
        <w:br/>
        <w:br/>
      </w:r>
    </w:p>
    <w:p>
      <w:pPr>
        <w:pStyle w:val="Normal"/>
        <w:numPr>
          <w:ilvl w:val="0"/>
          <w:numId w:val="6"/>
        </w:numPr>
        <w:rPr>
          <w:rFonts w:ascii="Arial" w:hAnsi="Arial" w:cs="Arial"/>
          <w:sz w:val="20"/>
        </w:rPr>
      </w:pPr>
      <w:r>
        <w:rPr>
          <w:rFonts w:cs="Arial" w:ascii="Arial" w:hAnsi="Arial"/>
          <w:b/>
          <w:sz w:val="20"/>
        </w:rPr>
        <w:t>Any recourse to Enron (other than investment):</w:t>
      </w:r>
      <w:r>
        <w:rPr>
          <w:rFonts w:cs="Arial" w:ascii="Arial" w:hAnsi="Arial"/>
          <w:sz w:val="20"/>
        </w:rPr>
        <w:tab/>
        <w:tab/>
      </w:r>
      <w:r>
        <w:rPr>
          <w:rFonts w:cs="Arial" w:ascii="Arial" w:hAnsi="Arial"/>
          <w:b/>
          <w:bCs/>
          <w:sz w:val="20"/>
        </w:rPr>
        <w:t xml:space="preserve">Recourse </w:t>
      </w:r>
      <w:r>
        <w:rPr>
          <w:rFonts w:cs="Arial" w:ascii="Arial" w:hAnsi="Arial"/>
          <w:sz w:val="20"/>
        </w:rPr>
        <w:t>or</w:t>
      </w:r>
      <w:r>
        <w:rPr>
          <w:rFonts w:cs="Arial" w:ascii="Arial" w:hAnsi="Arial"/>
          <w:b/>
          <w:bCs/>
          <w:sz w:val="20"/>
        </w:rPr>
        <w:t xml:space="preserve"> No Recourse</w:t>
      </w:r>
      <w:r>
        <w:rPr>
          <w:rFonts w:cs="Arial" w:ascii="Arial" w:hAnsi="Arial"/>
          <w:sz w:val="20"/>
        </w:rPr>
        <w:br/>
        <w:br/>
        <w:t>Describe (if any):</w:t>
        <w:br/>
        <w:br/>
        <w:br/>
      </w:r>
    </w:p>
    <w:p>
      <w:pPr>
        <w:pStyle w:val="Normal"/>
        <w:numPr>
          <w:ilvl w:val="0"/>
          <w:numId w:val="4"/>
        </w:numPr>
        <w:rPr>
          <w:rFonts w:ascii="Arial" w:hAnsi="Arial" w:cs="Arial"/>
          <w:sz w:val="20"/>
        </w:rPr>
      </w:pPr>
      <w:r>
        <w:rPr>
          <w:rFonts w:cs="Arial" w:ascii="Arial" w:hAnsi="Arial"/>
          <w:b/>
          <w:sz w:val="20"/>
        </w:rPr>
        <w:t>Business unit intent to syndicate:</w:t>
      </w:r>
      <w:r>
        <w:rPr>
          <w:rFonts w:cs="Arial" w:ascii="Arial" w:hAnsi="Arial"/>
          <w:sz w:val="20"/>
        </w:rPr>
        <w:tab/>
        <w:tab/>
      </w:r>
      <w:r>
        <w:rPr>
          <w:rFonts w:cs="Arial" w:ascii="Arial" w:hAnsi="Arial"/>
          <w:b/>
          <w:bCs/>
          <w:sz w:val="20"/>
        </w:rPr>
        <w:t>None</w:t>
      </w:r>
      <w:r>
        <w:rPr>
          <w:rFonts w:cs="Arial" w:ascii="Arial" w:hAnsi="Arial"/>
          <w:sz w:val="20"/>
        </w:rPr>
        <w:t>,</w:t>
      </w:r>
      <w:r>
        <w:rPr>
          <w:rFonts w:cs="Arial" w:ascii="Arial" w:hAnsi="Arial"/>
          <w:b/>
          <w:bCs/>
          <w:sz w:val="20"/>
        </w:rPr>
        <w:t xml:space="preserve"> Partial </w:t>
      </w:r>
      <w:r>
        <w:rPr>
          <w:rFonts w:cs="Arial" w:ascii="Arial" w:hAnsi="Arial"/>
          <w:sz w:val="20"/>
        </w:rPr>
        <w:t>or</w:t>
      </w:r>
      <w:r>
        <w:rPr>
          <w:rFonts w:cs="Arial" w:ascii="Arial" w:hAnsi="Arial"/>
          <w:b/>
          <w:bCs/>
          <w:sz w:val="20"/>
        </w:rPr>
        <w:t xml:space="preserve"> All</w:t>
      </w:r>
      <w:r>
        <w:rPr>
          <w:rFonts w:cs="Arial" w:ascii="Arial" w:hAnsi="Arial"/>
          <w:sz w:val="20"/>
        </w:rPr>
        <w:br/>
        <w:br/>
        <w:t>Describe (if necessary):</w:t>
        <w:br/>
        <w:br/>
      </w:r>
    </w:p>
    <w:p>
      <w:pPr>
        <w:pStyle w:val="Normal"/>
        <w:rPr>
          <w:rFonts w:ascii="Arial" w:hAnsi="Arial" w:cs="Arial"/>
          <w:sz w:val="20"/>
        </w:rPr>
      </w:pPr>
      <w:r>
        <w:rPr>
          <w:rFonts w:cs="Arial" w:ascii="Arial" w:hAnsi="Arial"/>
          <w:sz w:val="20"/>
        </w:rPr>
      </w:r>
    </w:p>
    <w:p>
      <w:pPr>
        <w:pStyle w:val="Normal"/>
        <w:numPr>
          <w:ilvl w:val="0"/>
          <w:numId w:val="7"/>
        </w:numPr>
        <w:rPr>
          <w:rFonts w:ascii="Arial" w:hAnsi="Arial" w:cs="Arial"/>
          <w:sz w:val="20"/>
        </w:rPr>
      </w:pPr>
      <w:r>
        <w:rPr>
          <w:rFonts w:cs="Arial" w:ascii="Arial" w:hAnsi="Arial"/>
          <w:b/>
          <w:sz w:val="20"/>
        </w:rPr>
        <w:t>Intended Enron hold period:</w:t>
        <w:tab/>
        <w:tab/>
        <w:tab/>
      </w:r>
    </w:p>
    <w:p>
      <w:pPr>
        <w:pStyle w:val="Normal"/>
        <w:rPr>
          <w:rFonts w:ascii="Arial" w:hAnsi="Arial" w:cs="Arial"/>
          <w:sz w:val="20"/>
        </w:rPr>
      </w:pPr>
      <w:r>
        <w:rPr>
          <w:rFonts w:cs="Arial" w:ascii="Arial" w:hAnsi="Arial"/>
          <w:sz w:val="20"/>
        </w:rPr>
        <w:br/>
      </w:r>
    </w:p>
    <w:p>
      <w:pPr>
        <w:pStyle w:val="Normal"/>
        <w:numPr>
          <w:ilvl w:val="0"/>
          <w:numId w:val="3"/>
        </w:numPr>
        <w:rPr>
          <w:rFonts w:ascii="Arial" w:hAnsi="Arial" w:cs="Arial"/>
          <w:sz w:val="20"/>
        </w:rPr>
      </w:pPr>
      <w:r>
        <w:rPr>
          <w:rFonts w:cs="Arial" w:ascii="Arial" w:hAnsi="Arial"/>
          <w:b/>
          <w:sz w:val="20"/>
        </w:rPr>
        <w:t>Likely Syndication Market:</w:t>
      </w:r>
      <w:r>
        <w:rPr/>
        <w:tab/>
      </w:r>
    </w:p>
    <w:tbl>
      <w:tblPr>
        <w:tblW w:w="6559" w:type="dxa"/>
        <w:jc w:val="center"/>
        <w:tblInd w:w="0" w:type="dxa"/>
        <w:tblLayout w:type="fixed"/>
        <w:tblCellMar>
          <w:top w:w="0" w:type="dxa"/>
          <w:start w:w="108" w:type="dxa"/>
          <w:bottom w:w="0" w:type="dxa"/>
          <w:end w:w="108" w:type="dxa"/>
        </w:tblCellMar>
      </w:tblPr>
      <w:tblGrid>
        <w:gridCol w:w="533"/>
        <w:gridCol w:w="2750"/>
        <w:gridCol w:w="526"/>
        <w:gridCol w:w="2750"/>
      </w:tblGrid>
      <w:tr>
        <w:trPr/>
        <w:tc>
          <w:tcPr>
            <w:tcW w:w="533"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Industry/Strategic Partner</w:t>
            </w:r>
          </w:p>
        </w:tc>
        <w:tc>
          <w:tcPr>
            <w:tcW w:w="526"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Direct Private Equity</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Capital Markets</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1</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EnSerCo</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LJM 1 or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Condor</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Other:</w:t>
            </w:r>
          </w:p>
        </w:tc>
        <w:tc>
          <w:tcPr>
            <w:tcW w:w="526" w:type="dxa"/>
            <w:tcBorders>
              <w:top w:val="single" w:sz="4" w:space="0" w:color="000000"/>
              <w:bottom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2750" w:type="dxa"/>
            <w:tcBorders/>
          </w:tcPr>
          <w:p>
            <w:pPr>
              <w:pStyle w:val="Normal"/>
              <w:rPr>
                <w:rFonts w:ascii="Arial" w:hAnsi="Arial" w:cs="Arial"/>
                <w:sz w:val="20"/>
              </w:rPr>
            </w:pPr>
            <w:r>
              <w:rPr>
                <w:rFonts w:cs="Arial" w:ascii="Arial" w:hAnsi="Arial"/>
                <w:b/>
                <w:bCs/>
                <w:sz w:val="20"/>
              </w:rPr>
              <w:t>M</w:t>
            </w:r>
            <w:r>
              <w:rPr>
                <w:rFonts w:cs="Arial" w:ascii="Arial" w:hAnsi="Arial"/>
                <w:b/>
                <w:sz w:val="20"/>
              </w:rPr>
              <w:t>argaux</w:t>
            </w:r>
          </w:p>
        </w:tc>
      </w:tr>
    </w:tbl>
    <w:p>
      <w:pPr>
        <w:pStyle w:val="Normal"/>
        <w:tabs>
          <w:tab w:val="clear" w:pos="720"/>
          <w:tab w:val="left" w:pos="4320" w:leader="none"/>
        </w:tabs>
        <w:rPr/>
      </w:pPr>
      <w:r>
        <w:rPr>
          <w:rFonts w:cs="Arial" w:ascii="Arial" w:hAnsi="Arial"/>
          <w:sz w:val="20"/>
        </w:rPr>
        <w:tab/>
      </w:r>
      <w:r>
        <w:rPr>
          <w:rFonts w:cs="Arial" w:ascii="Arial" w:hAnsi="Arial"/>
          <w:b/>
          <w:sz w:val="20"/>
        </w:rPr>
        <w:tab/>
        <w:tab/>
        <w:tab/>
      </w:r>
    </w:p>
    <w:p>
      <w:pPr>
        <w:pStyle w:val="Normal"/>
        <w:numPr>
          <w:ilvl w:val="0"/>
          <w:numId w:val="5"/>
        </w:numPr>
        <w:rPr>
          <w:rFonts w:ascii="Arial" w:hAnsi="Arial" w:cs="Arial"/>
          <w:sz w:val="20"/>
        </w:rPr>
      </w:pPr>
      <w:r>
        <w:rPr>
          <w:rFonts w:cs="Arial" w:ascii="Arial" w:hAnsi="Arial"/>
          <w:b/>
          <w:sz w:val="20"/>
        </w:rPr>
        <w:t>Is this a JEDI 2 “Qualified Investment”?</w:t>
      </w:r>
      <w:r>
        <w:rPr>
          <w:rFonts w:cs="Arial" w:ascii="Arial" w:hAnsi="Arial"/>
          <w:sz w:val="20"/>
        </w:rPr>
        <w:tab/>
        <w:tab/>
      </w:r>
      <w:r>
        <w:rPr>
          <w:rFonts w:cs="Arial" w:ascii="Arial" w:hAnsi="Arial"/>
          <w:b/>
          <w:bCs/>
          <w:sz w:val="20"/>
        </w:rPr>
        <w:t xml:space="preserve">Yes </w:t>
      </w:r>
      <w:r>
        <w:rPr>
          <w:rFonts w:cs="Arial" w:ascii="Arial" w:hAnsi="Arial"/>
          <w:sz w:val="20"/>
        </w:rPr>
        <w:t>or</w:t>
      </w:r>
      <w:r>
        <w:rPr>
          <w:rFonts w:cs="Arial" w:ascii="Arial" w:hAnsi="Arial"/>
          <w:b/>
          <w:bCs/>
          <w:sz w:val="20"/>
        </w:rPr>
        <w:t xml:space="preserve"> No</w:t>
      </w:r>
    </w:p>
    <w:p>
      <w:pPr>
        <w:pStyle w:val="Normal"/>
        <w:ind w:start="360" w:end="0"/>
        <w:rPr>
          <w:rFonts w:ascii="Arial" w:hAnsi="Arial" w:cs="Arial"/>
          <w:sz w:val="20"/>
        </w:rPr>
      </w:pPr>
      <w:r>
        <w:rPr>
          <w:rFonts w:cs="Arial" w:ascii="Arial" w:hAnsi="Arial"/>
          <w:sz w:val="20"/>
        </w:rPr>
      </w:r>
    </w:p>
    <w:tbl>
      <w:tblPr>
        <w:tblW w:w="10440" w:type="dxa"/>
        <w:jc w:val="start"/>
        <w:tblInd w:w="0" w:type="dxa"/>
        <w:tblLayout w:type="fixed"/>
        <w:tblCellMar>
          <w:top w:w="0" w:type="dxa"/>
          <w:start w:w="108" w:type="dxa"/>
          <w:bottom w:w="0" w:type="dxa"/>
          <w:end w:w="108" w:type="dxa"/>
        </w:tblCellMar>
      </w:tblPr>
      <w:tblGrid>
        <w:gridCol w:w="3078"/>
        <w:gridCol w:w="2970"/>
        <w:gridCol w:w="2880"/>
        <w:gridCol w:w="1512"/>
      </w:tblGrid>
      <w:tr>
        <w:trPr/>
        <w:tc>
          <w:tcPr>
            <w:tcW w:w="3078" w:type="dxa"/>
            <w:tcBorders>
              <w:top w:val="single" w:sz="4" w:space="0" w:color="000000"/>
              <w:start w:val="single" w:sz="4" w:space="0" w:color="000000"/>
              <w:bottom w:val="single" w:sz="4" w:space="0" w:color="000000"/>
              <w:end w:val="single" w:sz="4" w:space="0" w:color="000000"/>
            </w:tcBorders>
          </w:tcPr>
          <w:p>
            <w:pPr>
              <w:pStyle w:val="Heading6"/>
              <w:ind w:hanging="0" w:start="0"/>
              <w:rPr>
                <w:rFonts w:ascii="Arial" w:hAnsi="Arial" w:cs="Arial"/>
              </w:rPr>
            </w:pPr>
            <w:r>
              <w:rPr>
                <w:rFonts w:cs="Arial" w:ascii="Arial" w:hAnsi="Arial"/>
              </w:rPr>
              <w:t>Function</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Signature</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Name</w:t>
            </w:r>
          </w:p>
        </w:tc>
        <w:tc>
          <w:tcPr>
            <w:tcW w:w="15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Date</w:t>
            </w:r>
          </w:p>
        </w:tc>
      </w:tr>
      <w:tr>
        <w:trPr>
          <w:trHeight w:val="314"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Representative</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r>
        <w:trPr>
          <w:trHeight w:val="350"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Legal</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bl>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9</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rFonts w:ascii="Arial" w:hAnsi="Arial" w:cs="Arial"/>
        <w:b/>
      </w:rPr>
    </w:pPr>
    <w:r>
      <w:rPr>
        <w:rFonts w:cs="Arial" w:ascii="Arial" w:hAnsi="Arial"/>
        <w:b/>
      </w:rPr>
      <w:t>RAC Deal Approval Sheet</w:t>
      <w:tab/>
      <w:t xml:space="preserve">                                                                                                               Deal Name: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735"/>
      </w:pPr>
      <w:rPr>
        <w:i w:val="false"/>
        <w:b w:val="false"/>
      </w:rPr>
    </w:lvl>
  </w:abstractNum>
  <w:abstractNum w:abstractNumId="3">
    <w:lvl w:ilvl="0">
      <w:start w:val="6"/>
      <w:numFmt w:val="decimal"/>
      <w:lvlText w:val="%1c."/>
      <w:lvlJc w:val="start"/>
      <w:pPr>
        <w:tabs>
          <w:tab w:val="num" w:pos="360"/>
        </w:tabs>
        <w:ind w:start="360" w:hanging="360"/>
      </w:pPr>
      <w:rPr>
        <w:i w:val="false"/>
        <w:b w:val="false"/>
      </w:rPr>
    </w:lvl>
  </w:abstractNum>
  <w:abstractNum w:abstractNumId="4">
    <w:lvl w:ilvl="0">
      <w:start w:val="6"/>
      <w:numFmt w:val="decimal"/>
      <w:lvlText w:val="%1a."/>
      <w:lvlJc w:val="start"/>
      <w:pPr>
        <w:tabs>
          <w:tab w:val="num" w:pos="360"/>
        </w:tabs>
        <w:ind w:start="360" w:hanging="360"/>
      </w:pPr>
    </w:lvl>
  </w:abstractNum>
  <w:abstractNum w:abstractNumId="5">
    <w:lvl w:ilvl="0">
      <w:start w:val="6"/>
      <w:numFmt w:val="decimal"/>
      <w:lvlText w:val="%1d."/>
      <w:lvlJc w:val="start"/>
      <w:pPr>
        <w:tabs>
          <w:tab w:val="num" w:pos="360"/>
        </w:tabs>
        <w:ind w:start="360" w:hanging="360"/>
      </w:pPr>
    </w:lvl>
  </w:abstractNum>
  <w:abstractNum w:abstractNumId="6">
    <w:lvl w:ilvl="0">
      <w:start w:val="2"/>
      <w:numFmt w:val="decimal"/>
      <w:lvlText w:val="%1."/>
      <w:lvlJc w:val="start"/>
      <w:pPr>
        <w:tabs>
          <w:tab w:val="num" w:pos="360"/>
        </w:tabs>
        <w:ind w:start="360" w:hanging="360"/>
      </w:pPr>
    </w:lvl>
  </w:abstractNum>
  <w:abstractNum w:abstractNumId="7">
    <w:lvl w:ilvl="0">
      <w:start w:val="6"/>
      <w:numFmt w:val="decimal"/>
      <w:lvlText w:val="%1b."/>
      <w:lvlJc w:val="start"/>
      <w:pPr>
        <w:tabs>
          <w:tab w:val="num" w:pos="360"/>
        </w:tabs>
        <w:ind w:start="360" w:hanging="360"/>
      </w:pPr>
    </w:lvl>
  </w:abstractNum>
  <w:abstractNum w:abstractNumId="8">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outlineLvl w:val="6"/>
    </w:pPr>
    <w:rPr>
      <w:rFonts w:ascii="Arial" w:hAnsi="Arial" w:eastAsia="Arial Unicode MS" w:cs="Arial"/>
      <w:bCs/>
      <w:i/>
      <w:iCs/>
      <w:sz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b w:val="false"/>
      <w:i w:val="false"/>
    </w:rPr>
  </w:style>
  <w:style w:type="character" w:styleId="WW8Num2z0">
    <w:name w:val="WW8Num2z0"/>
    <w:qFormat/>
    <w:rPr>
      <w:b w:val="false"/>
      <w:i w:val="false"/>
    </w:rPr>
  </w:style>
  <w:style w:type="character" w:styleId="WW8Num3z0">
    <w:name w:val="WW8Num3z0"/>
    <w:qFormat/>
    <w:rPr>
      <w:rFonts w:ascii="Wingdings" w:hAnsi="Wingdings" w:cs="Wingdings"/>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rFonts w:ascii="Arial" w:hAnsi="Arial" w:cs="Arial"/>
      <w:b/>
      <w:bC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package" Target="embeddings/oleObject1.xlsx"/><Relationship Id="rId7" Type="http://schemas.openxmlformats.org/officeDocument/2006/relationships/image" Target="media/image1.w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2001-06-05T19:15:00Z</dcterms:created>
  <dc:creator>kjolly</dc:creator>
  <dc:description/>
  <dc:language>en-CA</dc:language>
  <cp:lastModifiedBy>preyes</cp:lastModifiedBy>
  <cp:lastPrinted>2001-06-05T19:39:00Z</cp:lastPrinted>
  <dcterms:modified xsi:type="dcterms:W3CDTF">2001-06-06T14:09:00Z</dcterms:modified>
  <cp:revision>18</cp:revision>
  <dc:subject/>
  <dc:title>ENRON RISK ASSESSMENT AND CONTROL</dc:title>
</cp:coreProperties>
</file>