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pPr>
      <w:r>
        <w:rPr/>
        <w:t>Subsequent Investment</w:t>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Columbia</w:t>
                  </w:r>
                  <w:r>
                    <w:rPr>
                      <w:rFonts w:cs="Arial" w:ascii="Arial" w:hAnsi="Arial"/>
                      <w:b/>
                      <w:sz w:val="20"/>
                      <w:lang w:val="en-CA" w:eastAsia="en-CA"/>
                    </w:rPr>
                  </w:r>
                  <w:r>
                    <w:rPr>
                      <w:sz w:val="20"/>
                      <w:b/>
                      <w:rFonts w:cs="Arial" w:ascii="Arial" w:hAnsi="Arial"/>
                      <w:lang w:val="en-CA" w:eastAsia="en-CA"/>
                    </w:rPr>
                    <w:fldChar w:fldCharType="end"/>
                  </w:r>
                  <w:r>
                    <w:rPr>
                      <w:rFonts w:cs="Arial" w:ascii="Arial" w:hAnsi="Arial"/>
                      <w:b/>
                      <w:sz w:val="20"/>
                    </w:rPr>
                    <w:t xml:space="preserve"> (2)</w:t>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Longview Energy Development, LLC</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1"/>
                          <w:listEntry w:val="SELECT BUSINESS UNIT"/>
                          <w:listEntry w:val="Enron Americas"/>
                          <w:listEntry w:val="Enron Broadband Services"/>
                          <w:listEntry w:val="Enron Corp."/>
                          <w:listEntry w:val="Enron Energy Services"/>
                          <w:listEntry w:val="Enron Energy and Operational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listEntry w:val="Enron Investment Partners"/>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0" w:name="Dropdown6"/>
                  <w:bookmarkStart w:id="1" w:name="Dropdown6"/>
                  <w:bookmarkEnd w:id="1"/>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Jake Thomas</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Energy-Non-Regulated Power Generation</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2" w:name="Unnamed"/>
                  <w:bookmarkStart w:id="3" w:name="Unnamed"/>
                  <w:bookmarkEnd w:id="3"/>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1"/>
                        <w:enabled/>
                        <w:ddList>
                          <w:result w:val="1"/>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4" w:name="Unnamed_Copy_1"/>
                  <w:bookmarkStart w:id="5" w:name="Unnamed_Copy_1"/>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2"/>
                  <w:bookmarkStart w:id="7" w:name="Unnamed_Copy_2"/>
                  <w:bookmarkEnd w:id="7"/>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August 1,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Underwriter:</w:t>
                  </w:r>
                </w:p>
              </w:tc>
              <w:tc>
                <w:tcPr>
                  <w:tcW w:w="2795" w:type="dxa"/>
                  <w:tcBorders/>
                </w:tcPr>
                <w:p>
                  <w:pPr>
                    <w:pStyle w:val="Normal"/>
                    <w:ind w:end="-738"/>
                    <w:rPr>
                      <w:rFonts w:ascii="Arial" w:hAnsi="Arial" w:cs="Arial"/>
                      <w:sz w:val="20"/>
                    </w:rPr>
                  </w:pPr>
                  <w:r>
                    <w:fldChar w:fldCharType="begin">
                      <w:ffData>
                        <w:name w:val="Dropdown7"/>
                        <w:enabled/>
                        <w:ddList>
                          <w:result w:val="4"/>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8" w:name="Dropdown7"/>
                  <w:bookmarkStart w:id="9" w:name="Dropdown7"/>
                  <w:bookmarkEnd w:id="9"/>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Ola Oladeji</w:t>
                  </w:r>
                  <w:r>
                    <w:rPr>
                      <w:rFonts w:cs="Arial" w:ascii="Arial" w:hAnsi="Arial"/>
                      <w:sz w:val="20"/>
                      <w:lang w:val="en-CA" w:eastAsia="en-CA"/>
                    </w:rPr>
                  </w:r>
                  <w:r>
                    <w:rPr>
                      <w:sz w:val="20"/>
                      <w:rFonts w:cs="Arial" w:ascii="Arial" w:hAnsi="Arial"/>
                      <w:lang w:val="en-CA" w:eastAsia="en-CA"/>
                    </w:rPr>
                    <w:fldChar w:fldCharType="end"/>
                  </w:r>
                  <w:r>
                    <w:rPr>
                      <w:rFonts w:cs="Arial" w:ascii="Arial" w:hAnsi="Arial"/>
                      <w:sz w:val="20"/>
                    </w:rPr>
                    <w:t xml:space="preserve"> / Kortney Brown</w:t>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3"/>
                  <w:bookmarkStart w:id="11" w:name="Dropdown3"/>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rPr>
                      <w:rFonts w:cs="Arial" w:ascii="Arial" w:hAnsi="Arial"/>
                      <w:color w:val="0000FF"/>
                      <w:sz w:val="20"/>
                    </w:rPr>
                    <w:t>Off Balance Sheet-On Credit</w:t>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August 1,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August 1,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2"/>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12" w:name="Check2"/>
            <w:bookmarkStart w:id="13" w:name="Check2"/>
            <w:bookmarkEnd w:id="13"/>
            <w:r>
              <w:rPr>
                <w:rFonts w:cs="Arial" w:ascii="Arial" w:hAnsi="Arial"/>
                <w:sz w:val="18"/>
              </w:rPr>
            </w:r>
            <w:r>
              <w:rPr>
                <w:sz w:val="18"/>
                <w:rFonts w:cs="Arial" w:ascii="Arial" w:hAnsi="Arial"/>
              </w:rPr>
              <w:fldChar w:fldCharType="end"/>
            </w:r>
            <w:r>
              <w:rPr>
                <w:rFonts w:cs="Arial" w:ascii="Arial" w:hAnsi="Arial"/>
                <w:sz w:val="18"/>
              </w:rPr>
              <w:t xml:space="preserve"> </w:t>
            </w:r>
            <w:r>
              <w:rPr>
                <w:rFonts w:cs="Arial" w:ascii="Arial" w:hAnsi="Arial"/>
                <w:sz w:val="20"/>
              </w:rPr>
              <w:t xml:space="preserve">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4" w:name="Check3"/>
            <w:bookmarkStart w:id="15" w:name="Check3"/>
            <w:bookmarkEnd w:id="15"/>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2 Copy 1"/>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2_Copy_1"/>
            <w:bookmarkStart w:id="19" w:name="Check2_Copy_1"/>
            <w:bookmarkEnd w:id="19"/>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BOARD APPROVAL STATUS"/>
                    <w:listEntry w:val="Pending     "/>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0" w:name="Dropdown1"/>
            <w:bookmarkStart w:id="21" w:name="Dropdown1"/>
            <w:bookmarkEnd w:id="21"/>
            <w:r/>
            <w:r>
              <w:rPr>
                <w:sz w:val="20"/>
                <w:rFonts w:cs="Arial" w:ascii="Arial" w:hAnsi="Arial"/>
              </w:rPr>
              <w:fldChar w:fldCharType="end"/>
            </w:r>
            <w:r>
              <w:rPr>
                <w:rFonts w:cs="Arial" w:ascii="Arial" w:hAnsi="Arial"/>
                <w:sz w:val="20"/>
              </w:rPr>
            </w:r>
          </w:p>
        </w:tc>
      </w:tr>
      <w:tr>
        <w:trPr>
          <w:trHeight w:val="232" w:hRule="atLeast"/>
        </w:trPr>
        <w:tc>
          <w:tcPr>
            <w:tcW w:w="10422" w:type="dxa"/>
            <w:gridSpan w:val="4"/>
            <w:tcBorders/>
          </w:tcPr>
          <w:p>
            <w:pPr>
              <w:pStyle w:val="Normal"/>
              <w:ind w:end="-738"/>
              <w:rPr>
                <w:rFonts w:ascii="Arial" w:hAnsi="Arial" w:cs="Arial"/>
                <w:sz w:val="16"/>
              </w:rPr>
            </w:pPr>
            <w:r>
              <w:rPr>
                <w:rFonts w:cs="Arial" w:ascii="Arial" w:hAnsi="Arial"/>
                <w:sz w:val="16"/>
              </w:rPr>
              <w:t>*Given the poor results of the economic model, a RAC Recommendation to “Proceed with Transaction” is justified by the negotiations that are</w:t>
            </w:r>
          </w:p>
          <w:p>
            <w:pPr>
              <w:pStyle w:val="Normal"/>
              <w:ind w:end="-738"/>
              <w:rPr>
                <w:rFonts w:ascii="Arial" w:hAnsi="Arial" w:cs="Arial"/>
                <w:sz w:val="16"/>
              </w:rPr>
            </w:pPr>
            <w:r>
              <w:rPr>
                <w:rFonts w:eastAsia="Arial" w:cs="Arial" w:ascii="Arial" w:hAnsi="Arial"/>
                <w:sz w:val="16"/>
              </w:rPr>
              <w:t xml:space="preserve"> </w:t>
            </w:r>
            <w:r>
              <w:rPr>
                <w:rFonts w:cs="Arial" w:ascii="Arial" w:hAnsi="Arial"/>
                <w:sz w:val="16"/>
              </w:rPr>
              <w:t>underway with McCook and the potential market value of the project as indicated by several non-binding bids in the first round of the sale</w:t>
            </w:r>
          </w:p>
          <w:p>
            <w:pPr>
              <w:pStyle w:val="Normal"/>
              <w:ind w:end="-738"/>
              <w:rPr>
                <w:rFonts w:ascii="Arial" w:hAnsi="Arial" w:cs="Arial"/>
                <w:sz w:val="16"/>
              </w:rPr>
            </w:pPr>
            <w:r>
              <w:rPr>
                <w:rFonts w:eastAsia="Arial" w:cs="Arial" w:ascii="Arial" w:hAnsi="Arial"/>
                <w:sz w:val="16"/>
              </w:rPr>
              <w:t xml:space="preserve"> </w:t>
            </w:r>
            <w:r>
              <w:rPr>
                <w:rFonts w:cs="Arial" w:ascii="Arial" w:hAnsi="Arial"/>
                <w:sz w:val="16"/>
              </w:rPr>
              <w:t>process, that, if completed, could lead to a $10 million to $25 million gain on sale.</w:t>
            </w:r>
          </w:p>
          <w:p>
            <w:pPr>
              <w:pStyle w:val="Normal"/>
              <w:ind w:end="-738"/>
              <w:rPr>
                <w:rFonts w:ascii="Arial" w:hAnsi="Arial" w:cs="Arial"/>
                <w:sz w:val="20"/>
              </w:rPr>
            </w:pPr>
            <w:r>
              <w:rPr>
                <w:rFonts w:cs="Arial" w:ascii="Arial" w:hAnsi="Arial"/>
                <w:sz w:val="20"/>
              </w:rPr>
            </w:r>
          </w:p>
        </w:tc>
      </w:tr>
    </w:tbl>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New Capital Investment</w:t>
            </w:r>
          </w:p>
        </w:tc>
        <w:tc>
          <w:tcPr>
            <w:tcW w:w="1332" w:type="dxa"/>
            <w:tcBorders/>
          </w:tcPr>
          <w:p>
            <w:pPr>
              <w:pStyle w:val="Normal"/>
              <w:ind w:end="-36"/>
              <w:jc w:val="end"/>
              <w:rPr>
                <w:rFonts w:ascii="Arial" w:hAnsi="Arial" w:cs="Arial"/>
                <w:sz w:val="20"/>
              </w:rPr>
            </w:pPr>
            <w:r>
              <w:rPr>
                <w:rFonts w:cs="Arial" w:ascii="Arial" w:hAnsi="Arial"/>
                <w:sz w:val="20"/>
              </w:rPr>
              <w:t>$10.2</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pPr>
            <w:r>
              <w:rPr>
                <w:rFonts w:eastAsia="Arial" w:cs="Arial" w:ascii="Arial" w:hAnsi="Arial"/>
                <w:sz w:val="20"/>
              </w:rPr>
              <w:t xml:space="preserve">  </w:t>
            </w: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w:t>
            </w:r>
            <w:r>
              <w:rPr>
                <w:rFonts w:cs="Arial" w:ascii="Arial" w:hAnsi="Arial"/>
                <w:sz w:val="20"/>
                <w:lang w:val="en-CA" w:eastAsia="en-CA"/>
              </w:rPr>
            </w:r>
            <w:r>
              <w:rPr>
                <w:sz w:val="20"/>
                <w:rFonts w:cs="Arial" w:ascii="Arial" w:hAnsi="Arial"/>
                <w:lang w:val="en-CA" w:eastAsia="en-CA"/>
              </w:rPr>
              <w:fldChar w:fldCharType="end"/>
            </w:r>
            <w:r>
              <w:rPr>
                <w:rFonts w:cs="Arial" w:ascii="Arial" w:hAnsi="Arial"/>
                <w:sz w:val="20"/>
              </w:rPr>
              <w:t>10.2</w:t>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tab/>
      </w:r>
    </w:p>
    <w:p>
      <w:pPr>
        <w:pStyle w:val="Heading1"/>
        <w:pBdr>
          <w:top w:val="single" w:sz="8" w:space="1" w:color="000000"/>
        </w:pBdr>
        <w:ind w:hanging="0" w:start="0" w:end="-36"/>
        <w:rPr/>
      </w:pPr>
      <w:r>
        <w:rPr/>
        <w:t>EXPOSURE SUMMARY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 xml:space="preserve">This Transaction </w:t>
            </w:r>
          </w:p>
        </w:tc>
        <w:tc>
          <w:tcPr>
            <w:tcW w:w="1332" w:type="dxa"/>
            <w:tcBorders/>
          </w:tcPr>
          <w:p>
            <w:pPr>
              <w:pStyle w:val="Normal"/>
              <w:ind w:end="-36"/>
              <w:jc w:val="end"/>
              <w:rPr>
                <w:rFonts w:ascii="Arial" w:hAnsi="Arial" w:cs="Arial"/>
                <w:sz w:val="20"/>
              </w:rPr>
            </w:pPr>
            <w:r>
              <w:rPr>
                <w:rFonts w:cs="Arial" w:ascii="Arial" w:hAnsi="Arial"/>
                <w:sz w:val="20"/>
              </w:rPr>
              <w:t>$10.2</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Exposure (DASH dated 02/12/01)</w:t>
            </w:r>
          </w:p>
        </w:tc>
        <w:tc>
          <w:tcPr>
            <w:tcW w:w="1332" w:type="dxa"/>
            <w:tcBorders/>
          </w:tcPr>
          <w:p>
            <w:pPr>
              <w:pStyle w:val="Normal"/>
              <w:ind w:end="-36"/>
              <w:jc w:val="end"/>
              <w:rPr>
                <w:rFonts w:ascii="Arial" w:hAnsi="Arial" w:cs="Arial"/>
                <w:sz w:val="20"/>
              </w:rPr>
            </w:pPr>
            <w:r>
              <w:rPr>
                <w:rFonts w:cs="Arial" w:ascii="Arial" w:hAnsi="Arial"/>
                <w:sz w:val="20"/>
              </w:rPr>
              <w:t>$16.5</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rPr>
                <w:rFonts w:cs="Arial" w:ascii="Arial" w:hAnsi="Arial"/>
                <w:sz w:val="20"/>
              </w:rPr>
              <w:t>$26.7</w:t>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ind w:hanging="288" w:start="288" w:end="0"/>
        <w:rPr/>
      </w:pPr>
      <w:r>
        <w:rPr>
          <w:rFonts w:eastAsia="Arial" w:cs="Arial" w:ascii="Arial" w:hAnsi="Arial"/>
          <w:sz w:val="20"/>
        </w:rPr>
        <w:t xml:space="preserve">    </w:t>
      </w:r>
      <w:r>
        <w:rPr>
          <w:rFonts w:cs="Arial" w:ascii="Arial" w:hAnsi="Arial"/>
          <w:sz w:val="20"/>
        </w:rPr>
        <w:t>*</w:t>
      </w:r>
      <w:r>
        <w:rPr>
          <w:rFonts w:cs="Arial" w:ascii="Arial" w:hAnsi="Arial"/>
          <w:sz w:val="16"/>
        </w:rPr>
        <w:t>Assumes GE gas turbine order is cancelled in the event project cannot be sold.  Maintaining control of turbine will cost an additional $3 million.  New DASH will be circulated to discuss options and apply for additional capital at that point in time.</w:t>
      </w:r>
    </w:p>
    <w:p>
      <w:pPr>
        <w:pStyle w:val="Normal"/>
        <w:ind w:firstLine="720"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 AND UPDATE</w:t>
      </w:r>
    </w:p>
    <w:p>
      <w:pPr>
        <w:pStyle w:val="Normal"/>
        <w:rPr>
          <w:rFonts w:ascii="Arial" w:hAnsi="Arial" w:cs="Arial"/>
          <w:i/>
          <w:i/>
        </w:rPr>
      </w:pPr>
      <w:r>
        <w:rPr>
          <w:rFonts w:cs="Arial" w:ascii="Arial" w:hAnsi="Arial"/>
          <w:i/>
        </w:rPr>
      </w:r>
    </w:p>
    <w:p>
      <w:pPr>
        <w:pStyle w:val="Normal"/>
        <w:ind w:end="-36"/>
        <w:rPr/>
      </w:pPr>
      <w:r>
        <w:rPr>
          <w:rFonts w:cs="Arial" w:ascii="Arial" w:hAnsi="Arial"/>
          <w:bCs/>
          <w:sz w:val="20"/>
        </w:rPr>
        <w:t>Enron Americas West (“EAW”), through its wholly-owned subsidiary, Longview Energy Development, LLC (“LED” or “Columbia”) requests up to an additional $10.2 million to develop a combined-cycle, natural gas-fired power plant in the state of Washington.  Of the $10.2 million additional requested, approximately $6.2 million will be funded through E-Next Generation (“E-Next”).</w:t>
      </w:r>
      <w:r>
        <w:rPr>
          <w:rFonts w:cs="Arial" w:ascii="Arial" w:hAnsi="Arial"/>
          <w:sz w:val="20"/>
        </w:rPr>
        <w:t xml:space="preserve"> During the continuing development, LED will incur additional soft costs for permitting and studies. All hard costs for the project will continue to be financed through E-Next.</w:t>
      </w:r>
    </w:p>
    <w:p>
      <w:pPr>
        <w:pStyle w:val="Normal"/>
        <w:autoSpaceDE w:val="false"/>
        <w:rPr>
          <w:color w:val="FF0000"/>
        </w:rPr>
      </w:pPr>
      <w:r>
        <w:rPr>
          <w:color w:val="FF0000"/>
        </w:rPr>
        <w:t xml:space="preserve"> </w:t>
      </w:r>
    </w:p>
    <w:p>
      <w:pPr>
        <w:pStyle w:val="BodyText"/>
        <w:rPr>
          <w:rFonts w:cs="Arial"/>
        </w:rPr>
      </w:pPr>
      <w:r>
        <w:rPr>
          <w:rFonts w:cs="Arial"/>
        </w:rPr>
        <w:t xml:space="preserve">As a part of the continuing development, E-Next Generation will make three additional payments on the already purchased General Electric (“GE”) 7FA gas turbine.  Additionally, E-Next will make necessary payments on a steam turbine, heat recovery steam generator (“HRSG”), and step up transformer for the proposed project.  </w:t>
      </w:r>
    </w:p>
    <w:p>
      <w:pPr>
        <w:pStyle w:val="BodyText"/>
        <w:rPr>
          <w:rFonts w:cs="Arial"/>
        </w:rPr>
      </w:pPr>
      <w:r>
        <w:rPr>
          <w:rFonts w:cs="Arial"/>
        </w:rPr>
      </w:r>
    </w:p>
    <w:p>
      <w:pPr>
        <w:pStyle w:val="BodyText"/>
        <w:rPr>
          <w:rFonts w:cs="Arial"/>
        </w:rPr>
      </w:pPr>
      <w:r>
        <w:rPr>
          <w:rFonts w:cs="Arial"/>
        </w:rPr>
        <w:t xml:space="preserve">The proposed project will be located on an approximately 20-acre industrial site at the Port of Longview (“Port”) in unincorporated Cowlitz County, Washington. The proposed plant is currently being designed and rated for 290 megawatts.  The increase from 249 to 290 MW is due to new legislation that increased the Washington Energy Facility Site Evaluation Council (“EFSEC”) threshold from 250 to 350 MW. It is estimated that commercial operations will begin on August 1, 2003. </w:t>
      </w:r>
    </w:p>
    <w:p>
      <w:pPr>
        <w:pStyle w:val="BodyText"/>
        <w:rPr>
          <w:rFonts w:cs="Arial"/>
        </w:rPr>
      </w:pPr>
      <w:r>
        <w:rPr>
          <w:rFonts w:cs="Arial"/>
        </w:rPr>
      </w:r>
    </w:p>
    <w:p>
      <w:pPr>
        <w:pStyle w:val="BodyText"/>
        <w:rPr>
          <w:rFonts w:cs="Arial"/>
        </w:rPr>
      </w:pPr>
      <w:r>
        <w:rPr>
          <w:rFonts w:cs="Arial"/>
        </w:rPr>
        <w:t xml:space="preserve">LED has executed an option agreement to enter into an EPC contract with Modern Continental South (“Modern”).  EAW expects to sell LED by October 31, 2001, prior to exercising the option. EAW is actively marketing LED using two separate channels.  First, EAW is negotiating with McCook Metals (“McCook”), owner of a nearby aluminum smelter.  McCook has signed a non-binding letter of intent as part of this process.  In addition, EAW has initiated a two-round auction process. Twenty-two companies executed confidentiality agreements and received an Information Memorandum on the project.  Subject to due diligence, non-binding bids have already been received from Reliant, Dynegy, NRG, Calpine, AES, PPL Global and EP Power Finance with promote fees ranging from $10 million to $25 million.  Other bids are still expected.  </w:t>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w:t>
      </w:r>
    </w:p>
    <w:tbl>
      <w:tblPr>
        <w:tblW w:w="9180" w:type="dxa"/>
        <w:jc w:val="start"/>
        <w:tblInd w:w="378" w:type="dxa"/>
        <w:tblLayout w:type="fixed"/>
        <w:tblCellMar>
          <w:top w:w="0" w:type="dxa"/>
          <w:start w:w="108" w:type="dxa"/>
          <w:bottom w:w="0" w:type="dxa"/>
          <w:end w:w="108" w:type="dxa"/>
        </w:tblCellMar>
      </w:tblPr>
      <w:tblGrid>
        <w:gridCol w:w="2160"/>
        <w:gridCol w:w="1170"/>
        <w:gridCol w:w="1440"/>
        <w:gridCol w:w="3150"/>
        <w:gridCol w:w="1260"/>
      </w:tblGrid>
      <w:tr>
        <w:trPr/>
        <w:tc>
          <w:tcPr>
            <w:tcW w:w="2160" w:type="dxa"/>
            <w:tcBorders/>
          </w:tcPr>
          <w:p>
            <w:pPr>
              <w:pStyle w:val="Normal"/>
              <w:snapToGrid w:val="false"/>
              <w:rPr>
                <w:rFonts w:ascii="Arial" w:hAnsi="Arial" w:cs="Arial"/>
                <w:sz w:val="20"/>
              </w:rPr>
            </w:pPr>
            <w:r>
              <w:rPr>
                <w:rFonts w:cs="Arial" w:ascii="Arial" w:hAnsi="Arial"/>
                <w:sz w:val="20"/>
              </w:rPr>
            </w:r>
          </w:p>
        </w:tc>
        <w:tc>
          <w:tcPr>
            <w:tcW w:w="1170" w:type="dxa"/>
            <w:tcBorders/>
          </w:tcPr>
          <w:p>
            <w:pPr>
              <w:pStyle w:val="Normal"/>
              <w:jc w:val="end"/>
              <w:rPr>
                <w:rFonts w:ascii="Arial" w:hAnsi="Arial" w:cs="Arial"/>
                <w:sz w:val="20"/>
                <w:u w:val="single"/>
              </w:rPr>
            </w:pPr>
            <w:r>
              <w:rPr>
                <w:rFonts w:cs="Arial" w:ascii="Arial" w:hAnsi="Arial"/>
                <w:sz w:val="20"/>
                <w:u w:val="single"/>
              </w:rPr>
              <w:t>Sources</w:t>
            </w:r>
          </w:p>
        </w:tc>
        <w:tc>
          <w:tcPr>
            <w:tcW w:w="1440" w:type="dxa"/>
            <w:tcBorders/>
          </w:tcPr>
          <w:p>
            <w:pPr>
              <w:pStyle w:val="Normal"/>
              <w:snapToGrid w:val="false"/>
              <w:jc w:val="end"/>
              <w:rPr>
                <w:rFonts w:ascii="Arial" w:hAnsi="Arial" w:cs="Arial"/>
                <w:sz w:val="20"/>
                <w:u w:val="single"/>
              </w:rPr>
            </w:pPr>
            <w:r>
              <w:rPr>
                <w:rFonts w:cs="Arial" w:ascii="Arial" w:hAnsi="Arial"/>
                <w:sz w:val="20"/>
                <w:u w:val="single"/>
              </w:rPr>
            </w:r>
          </w:p>
        </w:tc>
        <w:tc>
          <w:tcPr>
            <w:tcW w:w="3150" w:type="dxa"/>
            <w:tcBorders/>
          </w:tcPr>
          <w:p>
            <w:pPr>
              <w:pStyle w:val="Normal"/>
              <w:snapToGrid w:val="false"/>
              <w:jc w:val="end"/>
              <w:rPr>
                <w:rFonts w:ascii="Arial" w:hAnsi="Arial" w:cs="Arial"/>
                <w:sz w:val="20"/>
                <w:u w:val="single"/>
              </w:rPr>
            </w:pPr>
            <w:r>
              <w:rPr>
                <w:rFonts w:cs="Arial" w:ascii="Arial" w:hAnsi="Arial"/>
                <w:sz w:val="20"/>
                <w:u w:val="single"/>
              </w:rPr>
            </w:r>
          </w:p>
        </w:tc>
        <w:tc>
          <w:tcPr>
            <w:tcW w:w="1260" w:type="dxa"/>
            <w:tcBorders/>
          </w:tcPr>
          <w:p>
            <w:pPr>
              <w:pStyle w:val="Normal"/>
              <w:jc w:val="end"/>
              <w:rPr>
                <w:rFonts w:ascii="Arial" w:hAnsi="Arial" w:cs="Arial"/>
                <w:sz w:val="20"/>
                <w:u w:val="single"/>
              </w:rPr>
            </w:pPr>
            <w:r>
              <w:rPr>
                <w:rFonts w:cs="Arial" w:ascii="Arial" w:hAnsi="Arial"/>
                <w:sz w:val="20"/>
                <w:u w:val="single"/>
              </w:rPr>
              <w:t>Uses</w:t>
            </w:r>
          </w:p>
        </w:tc>
      </w:tr>
      <w:tr>
        <w:trPr/>
        <w:tc>
          <w:tcPr>
            <w:tcW w:w="2160" w:type="dxa"/>
            <w:tcBorders/>
          </w:tcPr>
          <w:p>
            <w:pPr>
              <w:pStyle w:val="Normal"/>
              <w:rPr>
                <w:rFonts w:ascii="Arial" w:hAnsi="Arial" w:cs="Arial"/>
                <w:sz w:val="20"/>
              </w:rPr>
            </w:pPr>
            <w:r>
              <w:rPr>
                <w:rFonts w:cs="Arial" w:ascii="Arial" w:hAnsi="Arial"/>
                <w:sz w:val="20"/>
              </w:rPr>
              <w:t>ENA Development</w:t>
            </w:r>
          </w:p>
        </w:tc>
        <w:tc>
          <w:tcPr>
            <w:tcW w:w="1170" w:type="dxa"/>
            <w:tcBorders/>
          </w:tcPr>
          <w:p>
            <w:pPr>
              <w:pStyle w:val="Normal"/>
              <w:jc w:val="end"/>
              <w:rPr>
                <w:rFonts w:ascii="Arial" w:hAnsi="Arial" w:cs="Arial"/>
                <w:sz w:val="20"/>
              </w:rPr>
            </w:pPr>
            <w:r>
              <w:rPr>
                <w:rFonts w:cs="Arial" w:ascii="Arial" w:hAnsi="Arial"/>
                <w:sz w:val="20"/>
              </w:rPr>
              <w:t>$5.3</w:t>
            </w:r>
          </w:p>
        </w:tc>
        <w:tc>
          <w:tcPr>
            <w:tcW w:w="1440" w:type="dxa"/>
            <w:tcBorders/>
          </w:tcPr>
          <w:p>
            <w:pPr>
              <w:pStyle w:val="Normal"/>
              <w:snapToGrid w:val="false"/>
              <w:rPr>
                <w:rFonts w:ascii="Arial" w:hAnsi="Arial" w:cs="Arial"/>
                <w:sz w:val="20"/>
              </w:rPr>
            </w:pPr>
            <w:r>
              <w:rPr>
                <w:rFonts w:cs="Arial" w:ascii="Arial" w:hAnsi="Arial"/>
                <w:sz w:val="20"/>
              </w:rPr>
            </w:r>
          </w:p>
        </w:tc>
        <w:tc>
          <w:tcPr>
            <w:tcW w:w="3150" w:type="dxa"/>
            <w:tcBorders/>
          </w:tcPr>
          <w:p>
            <w:pPr>
              <w:pStyle w:val="Header"/>
              <w:widowControl/>
              <w:tabs>
                <w:tab w:val="clear" w:pos="4320"/>
                <w:tab w:val="clear" w:pos="8640"/>
              </w:tabs>
              <w:rPr>
                <w:rFonts w:ascii="Arial" w:hAnsi="Arial" w:cs="Arial"/>
              </w:rPr>
            </w:pPr>
            <w:r>
              <w:rPr>
                <w:rFonts w:cs="Arial" w:ascii="Arial" w:hAnsi="Arial"/>
              </w:rPr>
              <w:t>Power Plant Development</w:t>
            </w:r>
          </w:p>
        </w:tc>
        <w:tc>
          <w:tcPr>
            <w:tcW w:w="1260" w:type="dxa"/>
            <w:tcBorders/>
          </w:tcPr>
          <w:p>
            <w:pPr>
              <w:pStyle w:val="Normal"/>
              <w:jc w:val="end"/>
              <w:rPr>
                <w:rFonts w:ascii="Arial" w:hAnsi="Arial" w:cs="Arial"/>
                <w:sz w:val="20"/>
              </w:rPr>
            </w:pPr>
            <w:r>
              <w:rPr>
                <w:rFonts w:cs="Arial" w:ascii="Arial" w:hAnsi="Arial"/>
                <w:sz w:val="20"/>
              </w:rPr>
              <w:t>$3.3</w:t>
            </w:r>
          </w:p>
        </w:tc>
      </w:tr>
      <w:tr>
        <w:trPr/>
        <w:tc>
          <w:tcPr>
            <w:tcW w:w="2160" w:type="dxa"/>
            <w:tcBorders/>
          </w:tcPr>
          <w:p>
            <w:pPr>
              <w:pStyle w:val="Header"/>
              <w:widowControl/>
              <w:tabs>
                <w:tab w:val="clear" w:pos="4320"/>
                <w:tab w:val="clear" w:pos="8640"/>
              </w:tabs>
              <w:rPr>
                <w:rFonts w:ascii="Arial" w:hAnsi="Arial" w:cs="Arial"/>
              </w:rPr>
            </w:pPr>
            <w:r>
              <w:rPr>
                <w:rFonts w:cs="Arial" w:ascii="Arial" w:hAnsi="Arial"/>
              </w:rPr>
              <w:t>E-Next Generation</w:t>
            </w:r>
          </w:p>
        </w:tc>
        <w:tc>
          <w:tcPr>
            <w:tcW w:w="1170" w:type="dxa"/>
            <w:tcBorders/>
          </w:tcPr>
          <w:p>
            <w:pPr>
              <w:pStyle w:val="Normal"/>
              <w:jc w:val="end"/>
              <w:rPr>
                <w:rFonts w:ascii="Arial" w:hAnsi="Arial" w:cs="Arial"/>
                <w:sz w:val="20"/>
              </w:rPr>
            </w:pPr>
            <w:r>
              <w:rPr>
                <w:rFonts w:cs="Arial" w:ascii="Arial" w:hAnsi="Arial"/>
                <w:sz w:val="20"/>
              </w:rPr>
              <w:t>21.4</w:t>
            </w:r>
          </w:p>
        </w:tc>
        <w:tc>
          <w:tcPr>
            <w:tcW w:w="1440" w:type="dxa"/>
            <w:tcBorders/>
          </w:tcPr>
          <w:p>
            <w:pPr>
              <w:pStyle w:val="Normal"/>
              <w:snapToGrid w:val="false"/>
              <w:rPr>
                <w:rFonts w:ascii="Arial" w:hAnsi="Arial" w:cs="Arial"/>
                <w:sz w:val="20"/>
              </w:rPr>
            </w:pPr>
            <w:r>
              <w:rPr>
                <w:rFonts w:cs="Arial" w:ascii="Arial" w:hAnsi="Arial"/>
                <w:sz w:val="20"/>
              </w:rPr>
            </w:r>
          </w:p>
        </w:tc>
        <w:tc>
          <w:tcPr>
            <w:tcW w:w="3150" w:type="dxa"/>
            <w:tcBorders/>
          </w:tcPr>
          <w:p>
            <w:pPr>
              <w:pStyle w:val="Header"/>
              <w:widowControl/>
              <w:tabs>
                <w:tab w:val="clear" w:pos="4320"/>
                <w:tab w:val="clear" w:pos="8640"/>
              </w:tabs>
              <w:rPr>
                <w:rFonts w:ascii="Arial" w:hAnsi="Arial" w:cs="Arial"/>
              </w:rPr>
            </w:pPr>
            <w:r>
              <w:rPr>
                <w:rFonts w:cs="Arial" w:ascii="Arial" w:hAnsi="Arial"/>
              </w:rPr>
              <w:t>Equipment Payments</w:t>
            </w:r>
          </w:p>
        </w:tc>
        <w:tc>
          <w:tcPr>
            <w:tcW w:w="1260" w:type="dxa"/>
            <w:tcBorders/>
          </w:tcPr>
          <w:p>
            <w:pPr>
              <w:pStyle w:val="Normal"/>
              <w:jc w:val="end"/>
              <w:rPr>
                <w:rFonts w:ascii="Arial" w:hAnsi="Arial" w:cs="Arial"/>
                <w:sz w:val="20"/>
              </w:rPr>
            </w:pPr>
            <w:r>
              <w:rPr>
                <w:rFonts w:cs="Arial" w:ascii="Arial" w:hAnsi="Arial"/>
                <w:sz w:val="20"/>
              </w:rPr>
              <w:t>21.4</w:t>
            </w:r>
          </w:p>
        </w:tc>
      </w:tr>
      <w:tr>
        <w:trPr/>
        <w:tc>
          <w:tcPr>
            <w:tcW w:w="216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170" w:type="dxa"/>
            <w:tcBorders/>
          </w:tcPr>
          <w:p>
            <w:pPr>
              <w:pStyle w:val="Normal"/>
              <w:snapToGrid w:val="false"/>
              <w:jc w:val="end"/>
              <w:rPr>
                <w:rFonts w:ascii="Arial" w:hAnsi="Arial" w:cs="Arial"/>
                <w:sz w:val="20"/>
              </w:rPr>
            </w:pPr>
            <w:r>
              <w:rPr>
                <w:rFonts w:cs="Arial" w:ascii="Arial" w:hAnsi="Arial"/>
                <w:sz w:val="20"/>
              </w:rPr>
            </w:r>
          </w:p>
        </w:tc>
        <w:tc>
          <w:tcPr>
            <w:tcW w:w="1440" w:type="dxa"/>
            <w:tcBorders/>
          </w:tcPr>
          <w:p>
            <w:pPr>
              <w:pStyle w:val="Normal"/>
              <w:snapToGrid w:val="false"/>
              <w:rPr>
                <w:rFonts w:ascii="Arial" w:hAnsi="Arial" w:cs="Arial"/>
                <w:sz w:val="20"/>
              </w:rPr>
            </w:pPr>
            <w:r>
              <w:rPr>
                <w:rFonts w:cs="Arial" w:ascii="Arial" w:hAnsi="Arial"/>
                <w:sz w:val="20"/>
              </w:rPr>
            </w:r>
          </w:p>
        </w:tc>
        <w:tc>
          <w:tcPr>
            <w:tcW w:w="3150" w:type="dxa"/>
            <w:tcBorders/>
          </w:tcPr>
          <w:p>
            <w:pPr>
              <w:pStyle w:val="Header"/>
              <w:widowControl/>
              <w:tabs>
                <w:tab w:val="clear" w:pos="4320"/>
                <w:tab w:val="clear" w:pos="8640"/>
              </w:tabs>
              <w:rPr>
                <w:rFonts w:ascii="Arial" w:hAnsi="Arial" w:cs="Arial"/>
              </w:rPr>
            </w:pPr>
            <w:r>
              <w:rPr>
                <w:rFonts w:cs="Arial" w:ascii="Arial" w:hAnsi="Arial"/>
              </w:rPr>
              <w:t>Contingency*</w:t>
            </w:r>
          </w:p>
        </w:tc>
        <w:tc>
          <w:tcPr>
            <w:tcW w:w="1260" w:type="dxa"/>
            <w:tcBorders/>
          </w:tcPr>
          <w:p>
            <w:pPr>
              <w:pStyle w:val="Normal"/>
              <w:jc w:val="end"/>
              <w:rPr>
                <w:rFonts w:ascii="Arial" w:hAnsi="Arial" w:cs="Arial"/>
                <w:sz w:val="20"/>
              </w:rPr>
            </w:pPr>
            <w:r>
              <w:rPr>
                <w:rFonts w:cs="Arial" w:ascii="Arial" w:hAnsi="Arial"/>
                <w:sz w:val="20"/>
              </w:rPr>
              <w:t>2.0</w:t>
            </w:r>
          </w:p>
        </w:tc>
      </w:tr>
      <w:tr>
        <w:trPr/>
        <w:tc>
          <w:tcPr>
            <w:tcW w:w="216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170" w:type="dxa"/>
            <w:tcBorders/>
          </w:tcPr>
          <w:p>
            <w:pPr>
              <w:pStyle w:val="Normal"/>
              <w:snapToGrid w:val="false"/>
              <w:jc w:val="end"/>
              <w:rPr>
                <w:rFonts w:ascii="Arial" w:hAnsi="Arial" w:cs="Arial"/>
                <w:sz w:val="20"/>
              </w:rPr>
            </w:pPr>
            <w:r>
              <w:rPr>
                <w:rFonts w:cs="Arial" w:ascii="Arial" w:hAnsi="Arial"/>
                <w:sz w:val="20"/>
              </w:rPr>
            </w:r>
          </w:p>
        </w:tc>
        <w:tc>
          <w:tcPr>
            <w:tcW w:w="1440" w:type="dxa"/>
            <w:tcBorders/>
          </w:tcPr>
          <w:p>
            <w:pPr>
              <w:pStyle w:val="Normal"/>
              <w:snapToGrid w:val="false"/>
              <w:rPr>
                <w:rFonts w:ascii="Arial" w:hAnsi="Arial" w:cs="Arial"/>
                <w:sz w:val="20"/>
              </w:rPr>
            </w:pPr>
            <w:r>
              <w:rPr>
                <w:rFonts w:cs="Arial" w:ascii="Arial" w:hAnsi="Arial"/>
                <w:sz w:val="20"/>
              </w:rPr>
            </w:r>
          </w:p>
        </w:tc>
        <w:tc>
          <w:tcPr>
            <w:tcW w:w="315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260" w:type="dxa"/>
            <w:tcBorders/>
          </w:tcPr>
          <w:p>
            <w:pPr>
              <w:pStyle w:val="Normal"/>
              <w:snapToGrid w:val="false"/>
              <w:jc w:val="end"/>
              <w:rPr>
                <w:rFonts w:ascii="Arial" w:hAnsi="Arial" w:cs="Arial"/>
                <w:sz w:val="20"/>
              </w:rPr>
            </w:pPr>
            <w:r>
              <w:rPr>
                <w:rFonts w:cs="Arial" w:ascii="Arial" w:hAnsi="Arial"/>
                <w:sz w:val="20"/>
              </w:rPr>
            </w:r>
          </w:p>
        </w:tc>
      </w:tr>
      <w:tr>
        <w:trPr/>
        <w:tc>
          <w:tcPr>
            <w:tcW w:w="2160" w:type="dxa"/>
            <w:tcBorders/>
          </w:tcPr>
          <w:p>
            <w:pPr>
              <w:pStyle w:val="Normal"/>
              <w:rPr>
                <w:rFonts w:ascii="Arial" w:hAnsi="Arial" w:cs="Arial"/>
                <w:sz w:val="20"/>
              </w:rPr>
            </w:pPr>
            <w:r>
              <w:rPr>
                <w:rFonts w:cs="Arial" w:ascii="Arial" w:hAnsi="Arial"/>
                <w:sz w:val="20"/>
              </w:rPr>
              <w:t>Total</w:t>
            </w:r>
          </w:p>
        </w:tc>
        <w:tc>
          <w:tcPr>
            <w:tcW w:w="1170" w:type="dxa"/>
            <w:tcBorders>
              <w:top w:val="single" w:sz="6" w:space="0" w:color="000000"/>
            </w:tcBorders>
          </w:tcPr>
          <w:p>
            <w:pPr>
              <w:pStyle w:val="Normal"/>
              <w:jc w:val="end"/>
              <w:rPr>
                <w:rFonts w:ascii="Arial" w:hAnsi="Arial" w:cs="Arial"/>
                <w:sz w:val="20"/>
              </w:rPr>
            </w:pPr>
            <w:r>
              <w:rPr>
                <w:rFonts w:cs="Arial" w:ascii="Arial" w:hAnsi="Arial"/>
                <w:sz w:val="20"/>
              </w:rPr>
              <w:t>$26.7</w:t>
            </w:r>
          </w:p>
        </w:tc>
        <w:tc>
          <w:tcPr>
            <w:tcW w:w="1440" w:type="dxa"/>
            <w:tcBorders/>
          </w:tcPr>
          <w:p>
            <w:pPr>
              <w:pStyle w:val="Normal"/>
              <w:snapToGrid w:val="false"/>
              <w:rPr>
                <w:rFonts w:ascii="Arial" w:hAnsi="Arial" w:cs="Arial"/>
                <w:sz w:val="20"/>
              </w:rPr>
            </w:pPr>
            <w:r>
              <w:rPr>
                <w:rFonts w:cs="Arial" w:ascii="Arial" w:hAnsi="Arial"/>
                <w:sz w:val="20"/>
              </w:rPr>
            </w:r>
          </w:p>
        </w:tc>
        <w:tc>
          <w:tcPr>
            <w:tcW w:w="3150" w:type="dxa"/>
            <w:tcBorders/>
          </w:tcPr>
          <w:p>
            <w:pPr>
              <w:pStyle w:val="Normal"/>
              <w:snapToGrid w:val="false"/>
              <w:jc w:val="end"/>
              <w:rPr>
                <w:rFonts w:ascii="Arial" w:hAnsi="Arial" w:cs="Arial"/>
                <w:sz w:val="20"/>
              </w:rPr>
            </w:pPr>
            <w:r>
              <w:rPr>
                <w:rFonts w:cs="Arial" w:ascii="Arial" w:hAnsi="Arial"/>
                <w:sz w:val="20"/>
              </w:rPr>
            </w:r>
          </w:p>
        </w:tc>
        <w:tc>
          <w:tcPr>
            <w:tcW w:w="1260" w:type="dxa"/>
            <w:tcBorders>
              <w:top w:val="single" w:sz="6" w:space="0" w:color="000000"/>
            </w:tcBorders>
          </w:tcPr>
          <w:p>
            <w:pPr>
              <w:pStyle w:val="Normal"/>
              <w:jc w:val="end"/>
              <w:rPr>
                <w:rFonts w:ascii="Arial" w:hAnsi="Arial" w:cs="Arial"/>
                <w:sz w:val="20"/>
              </w:rPr>
            </w:pPr>
            <w:r>
              <w:rPr>
                <w:rFonts w:cs="Arial" w:ascii="Arial" w:hAnsi="Arial"/>
                <w:sz w:val="20"/>
              </w:rPr>
              <w:t>$26.7</w:t>
            </w:r>
          </w:p>
        </w:tc>
      </w:tr>
    </w:tbl>
    <w:p>
      <w:pPr>
        <w:pStyle w:val="Normal"/>
        <w:pBdr>
          <w:bottom w:val="single" w:sz="8" w:space="1" w:color="000000"/>
        </w:pBdr>
        <w:rPr>
          <w:rFonts w:ascii="Arial" w:hAnsi="Arial" w:cs="Arial"/>
          <w:sz w:val="20"/>
        </w:rPr>
      </w:pPr>
      <w:r>
        <w:rPr>
          <w:rFonts w:cs="Arial" w:ascii="Arial" w:hAnsi="Arial"/>
          <w:sz w:val="20"/>
        </w:rPr>
      </w:r>
    </w:p>
    <w:p>
      <w:pPr>
        <w:pStyle w:val="BodyText3"/>
        <w:rPr/>
      </w:pPr>
      <w:r>
        <w:rPr/>
        <w:t>* Contingency for sundry small variances and possibility of mitigation payment to BPA for issuance of the Record of Decision (“ROD”)</w:t>
      </w:r>
    </w:p>
    <w:tbl>
      <w:tblPr>
        <w:tblW w:w="9814" w:type="dxa"/>
        <w:jc w:val="start"/>
        <w:tblInd w:w="108" w:type="dxa"/>
        <w:tblLayout w:type="fixed"/>
        <w:tblCellMar>
          <w:top w:w="0" w:type="dxa"/>
          <w:start w:w="108" w:type="dxa"/>
          <w:bottom w:w="0" w:type="dxa"/>
          <w:end w:w="108" w:type="dxa"/>
        </w:tblCellMar>
      </w:tblPr>
      <w:tblGrid>
        <w:gridCol w:w="5400"/>
        <w:gridCol w:w="4414"/>
      </w:tblGrid>
      <w:tr>
        <w:trPr/>
        <w:tc>
          <w:tcPr>
            <w:tcW w:w="5400" w:type="dxa"/>
            <w:tcBorders/>
          </w:tcPr>
          <w:p>
            <w:pPr>
              <w:pStyle w:val="Normal"/>
              <w:rPr>
                <w:rFonts w:ascii="Arial" w:hAnsi="Arial" w:cs="Arial"/>
                <w:b/>
                <w:sz w:val="20"/>
              </w:rPr>
            </w:pPr>
            <w:r>
              <w:rPr>
                <w:rFonts w:cs="Arial" w:ascii="Arial" w:hAnsi="Arial"/>
                <w:b/>
                <w:sz w:val="20"/>
              </w:rPr>
              <w:t>RETURN SUMMARY (Unlevered)</w:t>
            </w:r>
          </w:p>
        </w:tc>
        <w:tc>
          <w:tcPr>
            <w:tcW w:w="4414" w:type="dxa"/>
            <w:tcBorders/>
          </w:tcPr>
          <w:p>
            <w:pPr>
              <w:pStyle w:val="Normal"/>
              <w:snapToGrid w:val="false"/>
              <w:jc w:val="end"/>
              <w:rPr>
                <w:rFonts w:ascii="Arial" w:hAnsi="Arial" w:cs="Arial"/>
                <w:b/>
                <w:sz w:val="20"/>
              </w:rPr>
            </w:pPr>
            <w:r>
              <w:rPr>
                <w:rFonts w:cs="Arial" w:ascii="Arial" w:hAnsi="Arial"/>
                <w:b/>
                <w:sz w:val="20"/>
              </w:rPr>
            </w:r>
          </w:p>
        </w:tc>
      </w:tr>
    </w:tbl>
    <w:p>
      <w:pPr>
        <w:pStyle w:val="Normal"/>
        <w:rPr>
          <w:rFonts w:ascii="Arial" w:hAnsi="Arial" w:cs="Arial"/>
          <w:sz w:val="20"/>
        </w:rPr>
      </w:pPr>
      <w:r>
        <w:rPr>
          <w:rFonts w:cs="Arial" w:ascii="Arial" w:hAnsi="Arial"/>
          <w:sz w:val="20"/>
        </w:rPr>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2790"/>
        <w:gridCol w:w="1260"/>
      </w:tblGrid>
      <w:tr>
        <w:trPr>
          <w:trHeight w:val="360" w:hRule="atLeast"/>
        </w:trPr>
        <w:tc>
          <w:tcPr>
            <w:tcW w:w="2160" w:type="dxa"/>
            <w:tcBorders/>
          </w:tcPr>
          <w:p>
            <w:pPr>
              <w:pStyle w:val="Normal"/>
              <w:snapToGrid w:val="false"/>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t>Return Components:</w:t>
            </w:r>
          </w:p>
        </w:tc>
        <w:tc>
          <w:tcPr>
            <w:tcW w:w="1260" w:type="dxa"/>
            <w:tcBorders/>
          </w:tcPr>
          <w:p>
            <w:pPr>
              <w:pStyle w:val="Normal"/>
              <w:ind w:end="-63"/>
              <w:jc w:val="center"/>
              <w:rPr>
                <w:rFonts w:ascii="Arial" w:hAnsi="Arial" w:cs="Arial"/>
                <w:sz w:val="19"/>
              </w:rPr>
            </w:pPr>
            <w:r>
              <w:rPr>
                <w:rFonts w:cs="Arial" w:ascii="Arial" w:hAnsi="Arial"/>
                <w:sz w:val="19"/>
              </w:rPr>
              <w:t>PV @</w:t>
            </w:r>
          </w:p>
          <w:p>
            <w:pPr>
              <w:pStyle w:val="Normal"/>
              <w:ind w:end="-63"/>
              <w:jc w:val="center"/>
              <w:rPr>
                <w:rFonts w:ascii="Arial" w:hAnsi="Arial" w:cs="Arial"/>
                <w:sz w:val="20"/>
                <w:u w:val="single"/>
              </w:rPr>
            </w:pPr>
            <w:r>
              <w:rPr>
                <w:rFonts w:cs="Arial" w:ascii="Arial" w:hAnsi="Arial"/>
                <w:sz w:val="19"/>
                <w:u w:val="single"/>
              </w:rPr>
              <w:t>Capital Price</w:t>
            </w:r>
          </w:p>
        </w:tc>
        <w:tc>
          <w:tcPr>
            <w:tcW w:w="1170" w:type="dxa"/>
            <w:tcBorders/>
          </w:tcPr>
          <w:p>
            <w:pPr>
              <w:pStyle w:val="Heading3"/>
              <w:widowControl/>
              <w:ind w:end="-63"/>
              <w:jc w:val="center"/>
              <w:rPr>
                <w:rFonts w:ascii="Arial" w:hAnsi="Arial" w:cs="Arial"/>
                <w:b w:val="false"/>
              </w:rPr>
            </w:pPr>
            <w:r>
              <w:rPr>
                <w:rFonts w:cs="Arial" w:ascii="Arial" w:hAnsi="Arial"/>
                <w:b w:val="false"/>
              </w:rPr>
              <w:t>Cumulative</w:t>
            </w:r>
          </w:p>
          <w:p>
            <w:pPr>
              <w:pStyle w:val="Heading3"/>
              <w:widowControl/>
              <w:ind w:end="-63"/>
              <w:jc w:val="center"/>
              <w:rPr>
                <w:rFonts w:ascii="Arial" w:hAnsi="Arial" w:cs="Arial"/>
                <w:b w:val="false"/>
              </w:rPr>
            </w:pPr>
            <w:r>
              <w:rPr>
                <w:rFonts w:cs="Arial" w:ascii="Arial" w:hAnsi="Arial"/>
                <w:b w:val="false"/>
                <w:u w:val="single"/>
              </w:rPr>
              <w:t>IRR</w:t>
            </w:r>
          </w:p>
        </w:tc>
        <w:tc>
          <w:tcPr>
            <w:tcW w:w="540" w:type="dxa"/>
            <w:tcBorders/>
          </w:tcPr>
          <w:p>
            <w:pPr>
              <w:pStyle w:val="Heading3"/>
              <w:widowControl/>
              <w:snapToGrid w:val="false"/>
              <w:ind w:end="-63"/>
              <w:rPr>
                <w:rFonts w:ascii="Arial" w:hAnsi="Arial" w:cs="Arial"/>
                <w:b w:val="false"/>
              </w:rPr>
            </w:pPr>
            <w:r>
              <w:rPr>
                <w:rFonts w:cs="Arial" w:ascii="Arial" w:hAnsi="Arial"/>
                <w:b w:val="false"/>
              </w:rPr>
            </w:r>
          </w:p>
        </w:tc>
        <w:tc>
          <w:tcPr>
            <w:tcW w:w="2790" w:type="dxa"/>
            <w:tcBorders/>
          </w:tcPr>
          <w:p>
            <w:pPr>
              <w:pStyle w:val="Heading3"/>
              <w:widowControl/>
              <w:snapToGrid w:val="false"/>
              <w:ind w:end="-63"/>
              <w:rPr>
                <w:rFonts w:ascii="Arial" w:hAnsi="Arial" w:cs="Arial"/>
                <w:b w:val="false"/>
              </w:rPr>
            </w:pPr>
            <w:r>
              <w:rPr>
                <w:rFonts w:cs="Arial" w:ascii="Arial" w:hAnsi="Arial"/>
                <w:b w:val="false"/>
              </w:rPr>
            </w:r>
          </w:p>
          <w:p>
            <w:pPr>
              <w:pStyle w:val="Normal"/>
              <w:rPr>
                <w:rFonts w:ascii="Arial" w:hAnsi="Arial" w:cs="Arial"/>
                <w:sz w:val="20"/>
              </w:rPr>
            </w:pPr>
            <w:r>
              <w:rPr>
                <w:rFonts w:cs="Arial" w:ascii="Arial" w:hAnsi="Arial"/>
                <w:sz w:val="20"/>
                <w:u w:val="single"/>
              </w:rPr>
              <w:t>Capital Price Components</w:t>
            </w:r>
          </w:p>
        </w:tc>
        <w:tc>
          <w:tcPr>
            <w:tcW w:w="1260" w:type="dxa"/>
            <w:tcBorders/>
          </w:tcPr>
          <w:p>
            <w:pPr>
              <w:pStyle w:val="Normal"/>
              <w:snapToGrid w:val="false"/>
              <w:ind w:end="-63"/>
              <w:rPr>
                <w:rFonts w:ascii="Arial" w:hAnsi="Arial" w:cs="Arial"/>
                <w:sz w:val="20"/>
              </w:rPr>
            </w:pPr>
            <w:r>
              <w:rPr>
                <w:rFonts w:cs="Arial" w:ascii="Arial" w:hAnsi="Arial"/>
                <w:sz w:val="20"/>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Cash Outflows</w:t>
            </w:r>
          </w:p>
        </w:tc>
        <w:tc>
          <w:tcPr>
            <w:tcW w:w="1260" w:type="dxa"/>
            <w:tcBorders/>
          </w:tcPr>
          <w:p>
            <w:pPr>
              <w:pStyle w:val="Normal"/>
              <w:jc w:val="end"/>
              <w:rPr>
                <w:rFonts w:ascii="Arial" w:hAnsi="Arial" w:cs="Arial"/>
                <w:sz w:val="20"/>
              </w:rPr>
            </w:pPr>
            <w:r>
              <w:rPr>
                <w:rFonts w:cs="Arial" w:ascii="Arial" w:hAnsi="Arial"/>
                <w:sz w:val="20"/>
              </w:rPr>
              <w:t>(178,024)</w:t>
            </w:r>
          </w:p>
        </w:tc>
        <w:tc>
          <w:tcPr>
            <w:tcW w:w="1170" w:type="dxa"/>
            <w:tcBorders/>
          </w:tcPr>
          <w:p>
            <w:pPr>
              <w:pStyle w:val="Heading9"/>
              <w:widowControl/>
              <w:tabs>
                <w:tab w:val="decimal" w:pos="792" w:leader="none"/>
                <w:tab w:val="left" w:pos="2870" w:leader="none"/>
                <w:tab w:val="left" w:pos="3617" w:leader="none"/>
              </w:tabs>
              <w:ind w:start="0" w:end="-63"/>
              <w:jc w:val="center"/>
              <w:rPr>
                <w:rFonts w:ascii="Arial" w:hAnsi="Arial" w:cs="Arial"/>
                <w:b w:val="false"/>
              </w:rPr>
            </w:pPr>
            <w:r>
              <w:rPr>
                <w:rFonts w:cs="Arial" w:ascii="Arial" w:hAnsi="Arial"/>
                <w:b w:val="false"/>
              </w:rPr>
              <w:t>-100.00%</w:t>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2790" w:type="dxa"/>
            <w:tcBorders/>
          </w:tcPr>
          <w:p>
            <w:pPr>
              <w:pStyle w:val="Heading9"/>
              <w:widowControl/>
              <w:ind w:start="0" w:end="-63"/>
              <w:rPr>
                <w:rFonts w:ascii="Arial" w:hAnsi="Arial" w:cs="Arial"/>
                <w:b w:val="false"/>
              </w:rPr>
            </w:pPr>
            <w:r>
              <w:rPr>
                <w:rFonts w:cs="Arial" w:ascii="Arial" w:hAnsi="Arial"/>
                <w:b w:val="false"/>
              </w:rPr>
              <w:t>Risk free rate (%):</w:t>
            </w:r>
          </w:p>
        </w:tc>
        <w:tc>
          <w:tcPr>
            <w:tcW w:w="1260" w:type="dxa"/>
            <w:tcBorders/>
          </w:tcPr>
          <w:p>
            <w:pPr>
              <w:pStyle w:val="Normal"/>
              <w:ind w:end="-69"/>
              <w:jc w:val="end"/>
              <w:rPr>
                <w:rFonts w:ascii="Arial" w:hAnsi="Arial" w:cs="Arial"/>
                <w:sz w:val="20"/>
              </w:rPr>
            </w:pPr>
            <w:r>
              <w:rPr>
                <w:rFonts w:cs="Arial" w:ascii="Arial" w:hAnsi="Arial"/>
                <w:sz w:val="20"/>
              </w:rPr>
              <w:t>5.69%</w:t>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Cost of Delays in COD</w:t>
            </w:r>
          </w:p>
        </w:tc>
        <w:tc>
          <w:tcPr>
            <w:tcW w:w="1260" w:type="dxa"/>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tcPr>
          <w:p>
            <w:pPr>
              <w:pStyle w:val="Heading9"/>
              <w:widowControl/>
              <w:tabs>
                <w:tab w:val="decimal" w:pos="792" w:leader="none"/>
                <w:tab w:val="left" w:pos="2870" w:leader="none"/>
                <w:tab w:val="left" w:pos="3617" w:leader="none"/>
              </w:tabs>
              <w:ind w:start="0" w:end="-63"/>
              <w:jc w:val="center"/>
              <w:rPr>
                <w:rFonts w:ascii="Arial" w:hAnsi="Arial" w:cs="Arial"/>
                <w:b w:val="false"/>
              </w:rPr>
            </w:pPr>
            <w:r>
              <w:rPr>
                <w:rFonts w:cs="Arial" w:ascii="Arial" w:hAnsi="Arial"/>
                <w:b w:val="false"/>
              </w:rPr>
              <w:t>-100.00%</w:t>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2790" w:type="dxa"/>
            <w:tcBorders/>
          </w:tcPr>
          <w:p>
            <w:pPr>
              <w:pStyle w:val="Heading9"/>
              <w:widowControl/>
              <w:ind w:start="0" w:end="-63"/>
              <w:rPr>
                <w:rFonts w:ascii="Arial" w:hAnsi="Arial" w:cs="Arial"/>
                <w:b w:val="false"/>
              </w:rPr>
            </w:pPr>
            <w:r>
              <w:rPr>
                <w:rFonts w:cs="Arial" w:ascii="Arial" w:hAnsi="Arial"/>
                <w:b w:val="false"/>
              </w:rPr>
              <w:t>Equity Premium (%):</w:t>
            </w:r>
          </w:p>
        </w:tc>
        <w:tc>
          <w:tcPr>
            <w:tcW w:w="1260" w:type="dxa"/>
            <w:tcBorders/>
          </w:tcPr>
          <w:p>
            <w:pPr>
              <w:pStyle w:val="Normal"/>
              <w:ind w:end="-69"/>
              <w:jc w:val="end"/>
              <w:rPr>
                <w:rFonts w:ascii="Arial" w:hAnsi="Arial" w:cs="Arial"/>
                <w:sz w:val="20"/>
              </w:rPr>
            </w:pPr>
            <w:r>
              <w:rPr>
                <w:rFonts w:cs="Arial" w:ascii="Arial" w:hAnsi="Arial"/>
                <w:sz w:val="20"/>
              </w:rPr>
              <w:t>3.50%</w:t>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Intermed. Cash Flows</w:t>
            </w:r>
          </w:p>
        </w:tc>
        <w:tc>
          <w:tcPr>
            <w:tcW w:w="1260" w:type="dxa"/>
            <w:tcBorders/>
          </w:tcPr>
          <w:p>
            <w:pPr>
              <w:pStyle w:val="Normal"/>
              <w:jc w:val="end"/>
              <w:rPr>
                <w:rFonts w:ascii="Arial" w:hAnsi="Arial" w:cs="Arial"/>
                <w:sz w:val="20"/>
              </w:rPr>
            </w:pPr>
            <w:r>
              <w:rPr>
                <w:rFonts w:cs="Arial" w:ascii="Arial" w:hAnsi="Arial"/>
                <w:sz w:val="20"/>
              </w:rPr>
              <w:t>127,408</w:t>
            </w:r>
          </w:p>
        </w:tc>
        <w:tc>
          <w:tcPr>
            <w:tcW w:w="1170" w:type="dxa"/>
            <w:tcBorders/>
          </w:tcPr>
          <w:p>
            <w:pPr>
              <w:pStyle w:val="Heading9"/>
              <w:widowControl/>
              <w:tabs>
                <w:tab w:val="decimal" w:pos="792" w:leader="none"/>
                <w:tab w:val="left" w:pos="2870" w:leader="none"/>
                <w:tab w:val="left" w:pos="3617" w:leader="none"/>
              </w:tabs>
              <w:ind w:start="0" w:end="-63"/>
              <w:jc w:val="center"/>
              <w:rPr>
                <w:rFonts w:ascii="Arial" w:hAnsi="Arial" w:cs="Arial"/>
                <w:b w:val="false"/>
              </w:rPr>
            </w:pPr>
            <w:r>
              <w:rPr>
                <w:rFonts w:cs="Arial" w:ascii="Arial" w:hAnsi="Arial"/>
                <w:b w:val="false"/>
              </w:rPr>
              <w:t>7.04%</w:t>
            </w:r>
          </w:p>
        </w:tc>
        <w:tc>
          <w:tcPr>
            <w:tcW w:w="540" w:type="dxa"/>
            <w:tcBorders/>
          </w:tcPr>
          <w:p>
            <w:pPr>
              <w:pStyle w:val="Normal"/>
              <w:snapToGrid w:val="false"/>
              <w:ind w:end="-63"/>
              <w:rPr>
                <w:rFonts w:ascii="Arial" w:hAnsi="Arial" w:cs="Arial"/>
                <w:b w:val="false"/>
                <w:sz w:val="20"/>
              </w:rPr>
            </w:pPr>
            <w:r>
              <w:rPr>
                <w:rFonts w:cs="Arial" w:ascii="Arial" w:hAnsi="Arial"/>
                <w:b w:val="false"/>
                <w:sz w:val="20"/>
              </w:rPr>
            </w:r>
          </w:p>
        </w:tc>
        <w:tc>
          <w:tcPr>
            <w:tcW w:w="2790" w:type="dxa"/>
            <w:tcBorders/>
          </w:tcPr>
          <w:p>
            <w:pPr>
              <w:pStyle w:val="Normal"/>
              <w:ind w:end="-63"/>
              <w:rPr>
                <w:rFonts w:ascii="Arial" w:hAnsi="Arial" w:cs="Arial"/>
                <w:sz w:val="20"/>
              </w:rPr>
            </w:pPr>
            <w:r>
              <w:rPr>
                <w:rFonts w:cs="Arial" w:ascii="Arial" w:hAnsi="Arial"/>
                <w:sz w:val="20"/>
              </w:rPr>
              <w:t>Credit Premium (%):</w:t>
            </w:r>
          </w:p>
        </w:tc>
        <w:tc>
          <w:tcPr>
            <w:tcW w:w="1260" w:type="dxa"/>
            <w:tcBorders/>
          </w:tcPr>
          <w:p>
            <w:pPr>
              <w:pStyle w:val="Normal"/>
              <w:ind w:end="-63"/>
              <w:jc w:val="end"/>
              <w:rPr>
                <w:rFonts w:ascii="Arial" w:hAnsi="Arial" w:cs="Arial"/>
                <w:sz w:val="20"/>
              </w:rPr>
            </w:pPr>
            <w:r>
              <w:rPr>
                <w:rFonts w:cs="Arial" w:ascii="Arial" w:hAnsi="Arial"/>
                <w:sz w:val="20"/>
              </w:rPr>
              <w:t>0.00%</w:t>
            </w:r>
          </w:p>
        </w:tc>
      </w:tr>
      <w:tr>
        <w:trPr>
          <w:trHeight w:val="202" w:hRule="atLeast"/>
        </w:trPr>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Terminal Value</w:t>
            </w:r>
          </w:p>
        </w:tc>
        <w:tc>
          <w:tcPr>
            <w:tcW w:w="1260" w:type="dxa"/>
            <w:tcBorders/>
          </w:tcPr>
          <w:p>
            <w:pPr>
              <w:pStyle w:val="Normal"/>
              <w:jc w:val="end"/>
              <w:rPr>
                <w:rFonts w:ascii="Arial" w:hAnsi="Arial" w:cs="Arial"/>
                <w:sz w:val="20"/>
              </w:rPr>
            </w:pPr>
            <w:r>
              <w:rPr>
                <w:rFonts w:cs="Arial" w:ascii="Arial" w:hAnsi="Arial"/>
                <w:sz w:val="20"/>
              </w:rPr>
              <w:t>11,723</w:t>
            </w:r>
          </w:p>
        </w:tc>
        <w:tc>
          <w:tcPr>
            <w:tcW w:w="1170" w:type="dxa"/>
            <w:tcBorders/>
          </w:tcPr>
          <w:p>
            <w:pPr>
              <w:pStyle w:val="Heading9"/>
              <w:widowControl/>
              <w:tabs>
                <w:tab w:val="decimal" w:pos="792" w:leader="none"/>
                <w:tab w:val="left" w:pos="2870" w:leader="none"/>
                <w:tab w:val="left" w:pos="3617" w:leader="none"/>
              </w:tabs>
              <w:ind w:start="0" w:end="-63"/>
              <w:jc w:val="center"/>
              <w:rPr>
                <w:rFonts w:ascii="Arial" w:hAnsi="Arial" w:cs="Arial"/>
                <w:b w:val="false"/>
              </w:rPr>
            </w:pPr>
            <w:r>
              <w:rPr>
                <w:rFonts w:cs="Arial" w:ascii="Arial" w:hAnsi="Arial"/>
                <w:b w:val="false"/>
              </w:rPr>
              <w:t>8.85%</w:t>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2790" w:type="dxa"/>
            <w:tcBorders/>
          </w:tcPr>
          <w:p>
            <w:pPr>
              <w:pStyle w:val="Heading9"/>
              <w:widowControl/>
              <w:ind w:start="0" w:end="-63"/>
              <w:rPr>
                <w:rFonts w:ascii="Arial" w:hAnsi="Arial" w:cs="Arial"/>
                <w:b w:val="false"/>
              </w:rPr>
            </w:pPr>
            <w:r>
              <w:rPr>
                <w:rFonts w:cs="Arial" w:ascii="Arial" w:hAnsi="Arial"/>
                <w:b w:val="false"/>
              </w:rPr>
              <w:t>Country Premium (%):</w:t>
            </w:r>
          </w:p>
        </w:tc>
        <w:tc>
          <w:tcPr>
            <w:tcW w:w="1260" w:type="dxa"/>
            <w:tcBorders/>
          </w:tcPr>
          <w:p>
            <w:pPr>
              <w:pStyle w:val="Normal"/>
              <w:tabs>
                <w:tab w:val="clear" w:pos="720"/>
                <w:tab w:val="left" w:pos="432" w:leader="none"/>
              </w:tabs>
              <w:ind w:end="-63"/>
              <w:jc w:val="end"/>
              <w:rPr>
                <w:rFonts w:ascii="Arial" w:hAnsi="Arial" w:cs="Arial"/>
                <w:sz w:val="20"/>
              </w:rPr>
            </w:pPr>
            <w:r>
              <w:rPr>
                <w:rFonts w:cs="Arial" w:ascii="Arial" w:hAnsi="Arial"/>
                <w:sz w:val="20"/>
              </w:rPr>
              <w:t>0.00%</w:t>
            </w:r>
          </w:p>
        </w:tc>
      </w:tr>
      <w:tr>
        <w:trPr>
          <w:trHeight w:val="202" w:hRule="atLeast"/>
        </w:trPr>
        <w:tc>
          <w:tcPr>
            <w:tcW w:w="2160" w:type="dxa"/>
            <w:tcBorders/>
          </w:tcPr>
          <w:p>
            <w:pPr>
              <w:pStyle w:val="Heading9"/>
              <w:widowControl/>
              <w:tabs>
                <w:tab w:val="clear" w:pos="2870"/>
                <w:tab w:val="clear" w:pos="3617"/>
                <w:tab w:val="center" w:pos="2909" w:leader="none"/>
                <w:tab w:val="center" w:pos="4079" w:leader="none"/>
              </w:tabs>
              <w:snapToGrid w:val="false"/>
              <w:ind w:start="0" w:end="-217"/>
              <w:rPr>
                <w:rFonts w:ascii="Arial" w:hAnsi="Arial" w:cs="Arial"/>
                <w:b w:val="false"/>
                <w:sz w:val="20"/>
              </w:rPr>
            </w:pPr>
            <w:r>
              <w:rPr>
                <w:rFonts w:cs="Arial" w:ascii="Arial" w:hAnsi="Arial"/>
                <w:b w:val="false"/>
                <w:sz w:val="20"/>
              </w:rPr>
            </w:r>
          </w:p>
        </w:tc>
        <w:tc>
          <w:tcPr>
            <w:tcW w:w="1260" w:type="dxa"/>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rFonts w:ascii="Arial" w:hAnsi="Arial" w:cs="Arial"/>
                <w:b w:val="false"/>
                <w:sz w:val="20"/>
              </w:rPr>
            </w:pPr>
            <w:r>
              <w:rPr>
                <w:rFonts w:cs="Arial" w:ascii="Arial" w:hAnsi="Arial"/>
                <w:b w:val="false"/>
                <w:sz w:val="20"/>
              </w:rPr>
            </w:r>
          </w:p>
        </w:tc>
        <w:tc>
          <w:tcPr>
            <w:tcW w:w="540" w:type="dxa"/>
            <w:tcBorders/>
          </w:tcPr>
          <w:p>
            <w:pPr>
              <w:pStyle w:val="Heading9"/>
              <w:widowControl/>
              <w:snapToGrid w:val="false"/>
              <w:ind w:start="0" w:end="-63"/>
              <w:rPr>
                <w:rFonts w:ascii="Arial" w:hAnsi="Arial" w:cs="Arial"/>
                <w:b w:val="false"/>
              </w:rPr>
            </w:pPr>
            <w:r>
              <w:rPr>
                <w:rFonts w:cs="Arial" w:ascii="Arial" w:hAnsi="Arial"/>
                <w:b w:val="false"/>
              </w:rPr>
            </w:r>
          </w:p>
        </w:tc>
        <w:tc>
          <w:tcPr>
            <w:tcW w:w="2790" w:type="dxa"/>
            <w:tcBorders/>
          </w:tcPr>
          <w:p>
            <w:pPr>
              <w:pStyle w:val="Heading9"/>
              <w:widowControl/>
              <w:ind w:start="0" w:end="-63"/>
              <w:rPr>
                <w:rFonts w:ascii="Arial" w:hAnsi="Arial" w:cs="Arial"/>
                <w:b w:val="false"/>
              </w:rPr>
            </w:pPr>
            <w:r>
              <w:rPr>
                <w:rFonts w:cs="Arial" w:ascii="Arial" w:hAnsi="Arial"/>
                <w:b w:val="false"/>
              </w:rPr>
              <w:t>Transaction-Specific (%):</w:t>
            </w:r>
          </w:p>
        </w:tc>
        <w:tc>
          <w:tcPr>
            <w:tcW w:w="1260" w:type="dxa"/>
            <w:tcBorders/>
          </w:tcPr>
          <w:p>
            <w:pPr>
              <w:pStyle w:val="Normal"/>
              <w:tabs>
                <w:tab w:val="clear" w:pos="720"/>
                <w:tab w:val="left" w:pos="432" w:leader="none"/>
              </w:tabs>
              <w:ind w:end="-63"/>
              <w:jc w:val="end"/>
              <w:rPr>
                <w:rFonts w:ascii="Arial" w:hAnsi="Arial" w:cs="Arial"/>
                <w:sz w:val="20"/>
              </w:rPr>
            </w:pPr>
            <w:r>
              <w:rPr>
                <w:rFonts w:cs="Arial" w:ascii="Arial" w:hAnsi="Arial"/>
                <w:sz w:val="20"/>
              </w:rPr>
              <w:t>2.81%</w:t>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rFonts w:ascii="Arial" w:hAnsi="Arial" w:cs="Arial"/>
              </w:rPr>
            </w:pPr>
            <w:r>
              <w:rPr>
                <w:rFonts w:cs="Arial" w:ascii="Arial" w:hAnsi="Arial"/>
              </w:rPr>
              <w:t>Total Project NPV</w:t>
            </w:r>
          </w:p>
        </w:tc>
        <w:tc>
          <w:tcPr>
            <w:tcW w:w="1260" w:type="dxa"/>
            <w:tcBorders>
              <w:top w:val="single" w:sz="12" w:space="0" w:color="000000"/>
              <w:bottom w:val="single" w:sz="12" w:space="0" w:color="000000"/>
            </w:tcBorders>
          </w:tcPr>
          <w:p>
            <w:pPr>
              <w:pStyle w:val="Normal"/>
              <w:jc w:val="end"/>
              <w:rPr>
                <w:rFonts w:ascii="Arial" w:hAnsi="Arial" w:cs="Arial"/>
                <w:b/>
                <w:sz w:val="20"/>
              </w:rPr>
            </w:pPr>
            <w:r>
              <w:rPr>
                <w:rFonts w:cs="Arial" w:ascii="Arial" w:hAnsi="Arial"/>
                <w:b/>
                <w:sz w:val="20"/>
              </w:rPr>
              <w:t>(38,894)</w:t>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rFonts w:ascii="Arial" w:hAnsi="Arial" w:cs="Arial"/>
              </w:rPr>
            </w:pPr>
            <w:r>
              <w:rPr>
                <w:rFonts w:cs="Arial" w:ascii="Arial" w:hAnsi="Arial"/>
              </w:rPr>
              <w:t>8.85%</w:t>
            </w:r>
          </w:p>
        </w:tc>
        <w:tc>
          <w:tcPr>
            <w:tcW w:w="540" w:type="dxa"/>
            <w:tcBorders/>
          </w:tcPr>
          <w:p>
            <w:pPr>
              <w:pStyle w:val="Heading9"/>
              <w:widowControl/>
              <w:snapToGrid w:val="false"/>
              <w:ind w:start="0" w:end="-108"/>
              <w:rPr>
                <w:rFonts w:ascii="Arial" w:hAnsi="Arial" w:cs="Arial"/>
              </w:rPr>
            </w:pPr>
            <w:r>
              <w:rPr>
                <w:rFonts w:cs="Arial" w:ascii="Arial" w:hAnsi="Arial"/>
              </w:rPr>
            </w:r>
          </w:p>
        </w:tc>
        <w:tc>
          <w:tcPr>
            <w:tcW w:w="2790" w:type="dxa"/>
            <w:tcBorders>
              <w:top w:val="single" w:sz="12" w:space="0" w:color="000000"/>
              <w:start w:val="single" w:sz="4" w:space="0" w:color="000000"/>
              <w:bottom w:val="single" w:sz="12" w:space="0" w:color="000000"/>
            </w:tcBorders>
          </w:tcPr>
          <w:p>
            <w:pPr>
              <w:pStyle w:val="Heading9"/>
              <w:widowControl/>
              <w:ind w:start="0" w:end="72"/>
              <w:rPr>
                <w:rFonts w:ascii="Arial" w:hAnsi="Arial" w:cs="Arial"/>
              </w:rPr>
            </w:pPr>
            <w:r>
              <w:rPr>
                <w:rFonts w:cs="Arial" w:ascii="Arial" w:hAnsi="Arial"/>
              </w:rPr>
              <w:t>RAC CAPITAL PRICE:</w:t>
            </w:r>
          </w:p>
        </w:tc>
        <w:tc>
          <w:tcPr>
            <w:tcW w:w="1260" w:type="dxa"/>
            <w:tcBorders>
              <w:top w:val="single" w:sz="12" w:space="0" w:color="000000"/>
              <w:bottom w:val="single" w:sz="12" w:space="0" w:color="000000"/>
              <w:end w:val="single" w:sz="12" w:space="0" w:color="000000"/>
            </w:tcBorders>
          </w:tcPr>
          <w:p>
            <w:pPr>
              <w:pStyle w:val="Normal"/>
              <w:tabs>
                <w:tab w:val="clear" w:pos="720"/>
                <w:tab w:val="left" w:pos="432" w:leader="none"/>
              </w:tabs>
              <w:ind w:end="-63"/>
              <w:jc w:val="end"/>
              <w:rPr>
                <w:rFonts w:ascii="Arial" w:hAnsi="Arial" w:cs="Arial"/>
                <w:b/>
                <w:sz w:val="20"/>
              </w:rPr>
            </w:pPr>
            <w:r>
              <w:rPr>
                <w:rFonts w:cs="Arial" w:ascii="Arial" w:hAnsi="Arial"/>
                <w:b/>
                <w:sz w:val="20"/>
              </w:rPr>
              <w:t>12.00%</w:t>
            </w:r>
          </w:p>
        </w:tc>
      </w:tr>
    </w:tbl>
    <w:p>
      <w:pPr>
        <w:pStyle w:val="Normal"/>
        <w:rPr>
          <w:rFonts w:ascii="Arial" w:hAnsi="Arial" w:cs="Arial"/>
          <w:sz w:val="20"/>
        </w:rPr>
      </w:pPr>
      <w:r>
        <w:rPr>
          <w:rFonts w:cs="Arial" w:ascii="Arial" w:hAnsi="Arial"/>
          <w:sz w:val="20"/>
        </w:rPr>
      </w:r>
    </w:p>
    <w:p>
      <w:pPr>
        <w:pStyle w:val="Normal"/>
        <w:rPr>
          <w:rFonts w:ascii="Arial" w:hAnsi="Arial" w:cs="Arial"/>
          <w:sz w:val="16"/>
        </w:rPr>
      </w:pPr>
      <w:r>
        <w:rPr>
          <w:rFonts w:cs="Arial" w:ascii="Arial" w:hAnsi="Arial"/>
          <w:sz w:val="16"/>
        </w:rPr>
      </w:r>
    </w:p>
    <w:p>
      <w:pPr>
        <w:pStyle w:val="Normal"/>
        <w:rPr>
          <w:rFonts w:ascii="Arial" w:hAnsi="Arial" w:cs="Arial"/>
          <w:sz w:val="20"/>
        </w:rPr>
      </w:pPr>
      <w:r>
        <w:rPr>
          <w:rFonts w:cs="Arial" w:ascii="Arial" w:hAnsi="Arial"/>
          <w:sz w:val="20"/>
        </w:rPr>
        <w:t>Note:  The cash flow and return summaries above reflect discounted cash flow valuations from the viewpoint of a potential buyer and incorporate Henwood commodity curves.  Because the prospective bidders have views on future commodity prices that may not necessarily reflect those of either Enron’s or Henwood’s, their bid prices may reflect values that differ significantly from the RAC’s DCF valuations.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 DCF valuation using Enron Mid curves would reflect the scenario in which Enron is unable to sell the plant.  This probabilistic value was approximately negative $95.5 MM NPV at a 12% discount rate.</w:t>
      </w:r>
    </w:p>
    <w:p>
      <w:pPr>
        <w:pStyle w:val="Normal"/>
        <w:rPr>
          <w:rFonts w:ascii="Arial" w:hAnsi="Arial" w:cs="Arial"/>
          <w:sz w:val="20"/>
        </w:rPr>
      </w:pPr>
      <w:r>
        <w:rPr>
          <w:rFonts w:cs="Arial" w:ascii="Arial" w:hAnsi="Arial"/>
          <w:sz w:val="20"/>
        </w:rPr>
      </w:r>
    </w:p>
    <w:p>
      <w:pPr>
        <w:pStyle w:val="BodyText"/>
        <w:rPr>
          <w:rFonts w:cs="Arial"/>
        </w:rPr>
      </w:pPr>
      <w:r>
        <w:rPr>
          <w:rFonts w:cs="Arial"/>
        </w:rPr>
        <w:t>Using Henwood price curves as a proxy for market consensus, a $10 million promote implies an IRR of 8.2% (unlevered); a $15 million promote implies an IRR of 7.9% (unlevered).</w:t>
      </w:r>
    </w:p>
    <w:p>
      <w:pPr>
        <w:pStyle w:val="Heading1"/>
        <w:pBdr>
          <w:top w:val="single" w:sz="8" w:space="1" w:color="000000"/>
        </w:pBdr>
        <w:ind w:hanging="0" w:start="0" w:end="-36"/>
        <w:rPr/>
      </w:pPr>
      <w:r>
        <w:rPr>
          <w:rFonts w:cs="Arial" w:ascii="Arial" w:hAnsi="Arial"/>
        </w:rPr>
        <w:t xml:space="preserve">CASH FLOW SUMMARY </w:t>
      </w:r>
      <w:r>
        <w:rPr>
          <w:rFonts w:cs="Arial" w:ascii="Arial" w:hAnsi="Arial"/>
          <w:b w:val="false"/>
          <w:bCs/>
          <w:sz w:val="18"/>
        </w:rPr>
        <w:t>(Assumes “Develop and Hold” scenario, not contemplated “Sale Scenario”)</w:t>
      </w:r>
    </w:p>
    <w:p>
      <w:pPr>
        <w:pStyle w:val="Normal"/>
        <w:rPr>
          <w:rFonts w:ascii="Arial" w:hAnsi="Arial" w:cs="Arial"/>
          <w:b/>
          <w:bCs/>
          <w:sz w:val="20"/>
          <w:lang w:val="en-CA" w:eastAsia="en-CA"/>
        </w:rPr>
      </w:pPr>
      <w:r>
        <w:rPr>
          <w:rFonts w:cs="Arial" w:ascii="Arial" w:hAnsi="Arial"/>
          <w:b/>
          <w:bCs/>
          <w:sz w:val="20"/>
          <w:lang w:val="en-CA" w:eastAsia="en-CA"/>
        </w:rPr>
        <w:drawing>
          <wp:anchor behindDoc="0" distT="0" distB="0" distL="114935" distR="114935" simplePos="0" locked="0" layoutInCell="1" allowOverlap="1" relativeHeight="2">
            <wp:simplePos x="0" y="0"/>
            <wp:positionH relativeFrom="column">
              <wp:posOffset>685800</wp:posOffset>
            </wp:positionH>
            <wp:positionV relativeFrom="paragraph">
              <wp:posOffset>10160</wp:posOffset>
            </wp:positionV>
            <wp:extent cx="5153025" cy="207708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6"/>
                    <a:srcRect l="-7" t="-17" r="-7" b="-17"/>
                    <a:stretch>
                      <a:fillRect/>
                    </a:stretch>
                  </pic:blipFill>
                  <pic:spPr bwMode="auto">
                    <a:xfrm>
                      <a:off x="0" y="0"/>
                      <a:ext cx="5153025" cy="2077085"/>
                    </a:xfrm>
                    <a:prstGeom prst="rect">
                      <a:avLst/>
                    </a:prstGeom>
                    <a:noFill/>
                  </pic:spPr>
                </pic:pic>
              </a:graphicData>
            </a:graphic>
          </wp:anchor>
        </w:drawing>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lang w:val="en-CA" w:eastAsia="en-CA"/>
        </w:rPr>
      </w:pPr>
      <w:r>
        <w:rPr>
          <w:rFonts w:cs="Arial" w:ascii="Arial" w:hAnsi="Arial"/>
          <w:sz w:val="20"/>
          <w:lang w:val="en-CA" w:eastAsia="en-CA"/>
        </w:rPr>
        <w:drawing>
          <wp:anchor behindDoc="0" distT="0" distB="0" distL="114935" distR="114935" simplePos="0" locked="0" layoutInCell="1" allowOverlap="1" relativeHeight="3">
            <wp:simplePos x="0" y="0"/>
            <wp:positionH relativeFrom="column">
              <wp:posOffset>1714500</wp:posOffset>
            </wp:positionH>
            <wp:positionV relativeFrom="paragraph">
              <wp:posOffset>137160</wp:posOffset>
            </wp:positionV>
            <wp:extent cx="2962910" cy="205740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7"/>
                    <a:srcRect l="-12" t="-17" r="-12" b="-17"/>
                    <a:stretch>
                      <a:fillRect/>
                    </a:stretch>
                  </pic:blipFill>
                  <pic:spPr bwMode="auto">
                    <a:xfrm>
                      <a:off x="0" y="0"/>
                      <a:ext cx="2962910" cy="2057400"/>
                    </a:xfrm>
                    <a:prstGeom prst="rect">
                      <a:avLst/>
                    </a:prstGeom>
                    <a:noFill/>
                  </pic:spPr>
                </pic:pic>
              </a:graphicData>
            </a:graphic>
          </wp:anchor>
        </w:drawing>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TRANSACTION UPSIDES/OPTIONALITY</w:t>
      </w:r>
    </w:p>
    <w:p>
      <w:pPr>
        <w:pStyle w:val="Heading9"/>
        <w:widowControl/>
        <w:tabs>
          <w:tab w:val="clear" w:pos="2870"/>
          <w:tab w:val="clear" w:pos="3617"/>
          <w:tab w:val="center" w:pos="2909" w:leader="none"/>
          <w:tab w:val="center" w:pos="4079" w:leader="none"/>
        </w:tabs>
        <w:ind w:start="0" w:end="-217"/>
        <w:rPr>
          <w:rFonts w:ascii="Arial" w:hAnsi="Arial" w:cs="Arial"/>
          <w:b w:val="false"/>
          <w:i/>
          <w:i/>
        </w:rPr>
      </w:pPr>
      <w:r>
        <w:rPr>
          <w:rFonts w:cs="Arial" w:ascii="Arial" w:hAnsi="Arial"/>
          <w:b w:val="false"/>
          <w:i/>
        </w:rPr>
      </w:r>
    </w:p>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N/A</w:t>
      </w:r>
    </w:p>
    <w:p>
      <w:pPr>
        <w:pStyle w:val="Normal"/>
        <w:rPr>
          <w:rFonts w:ascii="Arial" w:hAnsi="Arial" w:cs="Arial"/>
          <w:b/>
          <w:sz w:val="20"/>
        </w:rPr>
      </w:pPr>
      <w:r>
        <w:rPr>
          <w:rFonts w:cs="Arial" w:ascii="Arial" w:hAnsi="Arial"/>
          <w:b/>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 xml:space="preserve">RISK MATRIX </w:t>
      </w:r>
    </w:p>
    <w:p>
      <w:pPr>
        <w:pStyle w:val="Header"/>
        <w:widowControl/>
        <w:tabs>
          <w:tab w:val="clear" w:pos="4320"/>
          <w:tab w:val="clear" w:pos="8640"/>
        </w:tabs>
        <w:rPr>
          <w:rFonts w:ascii="Arial" w:hAnsi="Arial" w:cs="Arial"/>
          <w:b/>
          <w:i/>
          <w:i/>
        </w:rPr>
      </w:pPr>
      <w:r>
        <w:rPr>
          <w:rFonts w:cs="Arial" w:ascii="Arial" w:hAnsi="Arial"/>
          <w:b/>
          <w:i/>
        </w:rPr>
      </w:r>
    </w:p>
    <w:tbl>
      <w:tblPr>
        <w:tblW w:w="10260" w:type="dxa"/>
        <w:jc w:val="start"/>
        <w:tblInd w:w="108" w:type="dxa"/>
        <w:tblLayout w:type="fixed"/>
        <w:tblCellMar>
          <w:top w:w="0" w:type="dxa"/>
          <w:start w:w="108" w:type="dxa"/>
          <w:bottom w:w="0" w:type="dxa"/>
          <w:end w:w="108" w:type="dxa"/>
        </w:tblCellMar>
      </w:tblPr>
      <w:tblGrid>
        <w:gridCol w:w="3060"/>
        <w:gridCol w:w="7200"/>
      </w:tblGrid>
      <w:tr>
        <w:trPr/>
        <w:tc>
          <w:tcPr>
            <w:tcW w:w="306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720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Construction Risk</w:t>
            </w:r>
          </w:p>
        </w:tc>
        <w:tc>
          <w:tcPr>
            <w:tcW w:w="72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 xml:space="preserve">LED is currently negotiating a $152 million EPC contract with Modern Continental.  Project construction costs could be higher than currently forecasted; however, the degree of variability and potential for unforeseen costs are low at this point given the known cost of major equipment and improved estimates for project interconnections and cooling water treatment facilities. In addition, the proforma includes maximum cost expectations on these items as well as an additional $9.6 million contingency. Key to Modern’s execution will be its ability to hire and maintain appropriate levels of skilled union labor in a tight power plant construction market.  Modern is already working with AMEC, an international design engineering firm based in the UK with 50,000 employees with offices in Atlanta, Georgia and Vancouver, B.C. on the project. </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Legal / Environmental / Permitting Risk</w:t>
            </w:r>
          </w:p>
        </w:tc>
        <w:tc>
          <w:tcPr>
            <w:tcW w:w="72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Legal Risk Rating = 2.  See attached Legal Risk Memorandum.  Development is progressing well.  Status of critical path items is outlined in Appendix I.</w:t>
            </w:r>
          </w:p>
        </w:tc>
      </w:tr>
      <w:tr>
        <w:trPr/>
        <w:tc>
          <w:tcPr>
            <w:tcW w:w="30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Operating / Fuel Risk</w:t>
            </w:r>
          </w:p>
        </w:tc>
        <w:tc>
          <w:tcPr>
            <w:tcW w:w="72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 xml:space="preserve">ENA continues to talk with gas suppliers about the various options available for natural gas supply for the plant.  LED has NOT entered into a long-term transportation agreement with Williams’ Northwest Pipeline (“NWPL”). ENA’s gas group is assisting West Origination in understanding the gas transport and supply options for the project and could assist the purchaser of LED if necessary. A long-term agreement has been executed between E-Next and Cascade Natural Gas Corporation (“CNGC”) to transport natural gas from the South Longview tap on NWPL to the project. </w:t>
            </w:r>
          </w:p>
        </w:tc>
      </w:tr>
      <w:tr>
        <w:trPr/>
        <w:tc>
          <w:tcPr>
            <w:tcW w:w="306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rFonts w:ascii="Arial" w:hAnsi="Arial" w:cs="Arial"/>
              </w:rPr>
            </w:pPr>
            <w:r>
              <w:rPr>
                <w:rFonts w:cs="Arial" w:ascii="Arial" w:hAnsi="Arial"/>
              </w:rPr>
              <w:t>Commodity / Market Risk</w:t>
            </w:r>
          </w:p>
        </w:tc>
        <w:tc>
          <w:tcPr>
            <w:tcW w:w="72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Reserve margins in the Western Systems Coordinating Council (“WSCC”) are forecast to be tight as load grows and insufficient, additional generation is added.  In particular, capacity additions in the Pacific Northwest are projected to be the lowest of any region in the WSCC.  Also, the marginal system heat rate is higher at Mid-Columbia for a 10-year period starting July 1, 2003, than at any other pricing point in the West according to both EAW curves (9,996 Btu/kWh) and Henwood (10,675 Btu/KWh).  With a 6900 Btu/kWh heat rate (7200 btu/kWh with duct firing) and a favorable grid location, the plant will be attractive to asset-focused industry players.</w:t>
            </w:r>
          </w:p>
        </w:tc>
      </w:tr>
      <w:tr>
        <w:trPr/>
        <w:tc>
          <w:tcPr>
            <w:tcW w:w="306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rFonts w:ascii="Arial" w:hAnsi="Arial" w:cs="Arial"/>
              </w:rPr>
            </w:pPr>
            <w:r>
              <w:rPr>
                <w:rFonts w:cs="Arial" w:ascii="Arial" w:hAnsi="Arial"/>
              </w:rPr>
              <w:t>Equity Syndication Risk</w:t>
            </w:r>
          </w:p>
        </w:tc>
        <w:tc>
          <w:tcPr>
            <w:tcW w:w="720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Factors that make the project attractive to an equity investor are its strategic location in the Pacific Northwest, near industrial load, demand centers and California and efficient combined-cycle technology.</w:t>
            </w:r>
          </w:p>
        </w:tc>
      </w:tr>
    </w:tbl>
    <w:p>
      <w:pPr>
        <w:pStyle w:val="Header"/>
        <w:widowControl/>
        <w:tabs>
          <w:tab w:val="clear" w:pos="4320"/>
          <w:tab w:val="clear" w:pos="8640"/>
        </w:tabs>
        <w:rPr>
          <w:rFonts w:ascii="Arial" w:hAnsi="Arial" w:cs="Arial"/>
        </w:rPr>
      </w:pPr>
      <w:r>
        <w:rPr>
          <w:rFonts w:cs="Arial" w:ascii="Arial" w:hAnsi="Arial"/>
        </w:rPr>
        <w:br/>
      </w:r>
    </w:p>
    <w:p>
      <w:pPr>
        <w:pStyle w:val="Heading1"/>
        <w:pBdr>
          <w:top w:val="single" w:sz="8" w:space="1" w:color="000000"/>
        </w:pBdr>
        <w:ind w:hanging="0" w:start="0"/>
        <w:rPr>
          <w:rFonts w:ascii="Arial" w:hAnsi="Arial" w:cs="Arial"/>
          <w:b w:val="false"/>
        </w:rPr>
      </w:pPr>
      <w:r>
        <w:rPr>
          <w:rFonts w:cs="Arial" w:ascii="Arial" w:hAnsi="Arial"/>
        </w:rPr>
        <w:t xml:space="preserve">KEY SUCCESS FACTORS </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52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5220" w:type="dxa"/>
            <w:tcBorders>
              <w:top w:val="single" w:sz="4" w:space="0" w:color="000000"/>
              <w:start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Poor                                                                  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eastAsia="Arial" w:cs="Arial" w:ascii="Arial" w:hAnsi="Arial"/>
                <w:b/>
                <w:sz w:val="20"/>
              </w:rPr>
              <w:t xml:space="preserve">                                            </w:t>
            </w:r>
            <w:r>
              <w:rPr>
                <w:rFonts w:cs="Arial" w:ascii="Arial" w:hAnsi="Arial"/>
                <w:b/>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eastAsia="Arial" w:cs="Arial" w:ascii="Arial" w:hAnsi="Arial"/>
                <w:b/>
                <w:sz w:val="20"/>
              </w:rPr>
              <w:t xml:space="preserve">                                            </w:t>
            </w:r>
            <w:r>
              <w:rPr>
                <w:rFonts w:cs="Arial" w:ascii="Arial" w:hAnsi="Arial"/>
                <w:b/>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X</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eastAsia="Arial" w:cs="Arial" w:ascii="Arial" w:hAnsi="Arial"/>
                <w:b/>
                <w:sz w:val="20"/>
              </w:rPr>
              <w:t xml:space="preserve">                                     </w:t>
            </w:r>
            <w:r>
              <w:rPr>
                <w:rFonts w:cs="Arial" w:ascii="Arial" w:hAnsi="Arial"/>
                <w:b/>
                <w:sz w:val="20"/>
              </w:rPr>
              <w:t>X</w:t>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pBdr>
          <w:top w:val="single" w:sz="8" w:space="1" w:color="000000"/>
        </w:pBdr>
        <w:ind w:end="-36"/>
        <w:rPr>
          <w:rFonts w:ascii="Arial" w:hAnsi="Arial" w:cs="Arial"/>
          <w:sz w:val="20"/>
        </w:rPr>
      </w:pPr>
      <w:r>
        <w:rPr>
          <w:rFonts w:cs="Arial" w:ascii="Arial" w:hAnsi="Arial"/>
          <w:b/>
          <w:sz w:val="20"/>
        </w:rPr>
        <w:t>EXIT STRATEGY</w:t>
      </w:r>
    </w:p>
    <w:p>
      <w:pPr>
        <w:pStyle w:val="Header"/>
        <w:widowControl/>
        <w:tabs>
          <w:tab w:val="clear" w:pos="4320"/>
          <w:tab w:val="clear" w:pos="8640"/>
        </w:tabs>
        <w:rPr>
          <w:rFonts w:ascii="Arial" w:hAnsi="Arial" w:cs="Arial"/>
          <w:sz w:val="20"/>
        </w:rPr>
      </w:pPr>
      <w:r>
        <w:rPr>
          <w:rFonts w:cs="Arial" w:ascii="Arial" w:hAnsi="Arial"/>
          <w:sz w:val="20"/>
        </w:rPr>
      </w:r>
    </w:p>
    <w:p>
      <w:pPr>
        <w:pStyle w:val="BodyText"/>
        <w:rPr>
          <w:rFonts w:cs="Arial"/>
          <w:bCs w:val="false"/>
        </w:rPr>
      </w:pPr>
      <w:r>
        <w:rPr>
          <w:rFonts w:cs="Arial"/>
          <w:bCs w:val="false"/>
        </w:rPr>
        <w:t xml:space="preserve">West Origination’s exit strategy is to sell LED on or before October 31, 2001.   A non-binding letter of intent for the sale of the facility was signed with McCook and discussions about the project have continued over the last several months. McCook has signed an agreement with the Bonneville Power Administration (“BPA”) requiring its Longview aluminum smelting facility to acquire power independently after 2006. In addition, a two-round auction process has been started with 22 potential purchasers. Nine preliminary, indicative bids were received in the first round of the marketing process.  The promote fees from these bids ranging largely from $10 to $25 million plus Enron’s costs. Two, recent, comparable combined-cycle frame technology projects, Coyote Springs 2 and Pastoria were developed and sold for promote fees of approximately $16.5 million and $37.4 million respectively.  The dollars per kW listed below for LED reflect an EPC estimate of $152 million versus a $126 million EPC cost for Coyote Springs 2. </w:t>
      </w:r>
    </w:p>
    <w:p>
      <w:pPr>
        <w:pStyle w:val="BodyText"/>
        <w:rPr>
          <w:rFonts w:cs="Arial"/>
          <w:bCs w:val="false"/>
        </w:rPr>
      </w:pPr>
      <w:r>
        <w:rPr>
          <w:rFonts w:cs="Arial"/>
          <w:bCs w:val="false"/>
        </w:rPr>
      </w:r>
    </w:p>
    <w:p>
      <w:pPr>
        <w:pStyle w:val="BodyText"/>
        <w:rPr>
          <w:rFonts w:cs="Arial"/>
          <w:b/>
          <w:u w:val="single"/>
        </w:rPr>
      </w:pPr>
      <w:r>
        <w:rPr>
          <w:rFonts w:cs="Arial"/>
          <w:b/>
          <w:u w:val="single"/>
        </w:rPr>
        <w:t>Comparable Projects:</w:t>
      </w:r>
    </w:p>
    <w:p>
      <w:pPr>
        <w:pStyle w:val="BodyText"/>
        <w:rPr>
          <w:rFonts w:cs="Arial"/>
          <w:b/>
          <w:u w:val="single"/>
        </w:rPr>
      </w:pPr>
      <w:r>
        <w:rPr>
          <w:rFonts w:cs="Arial"/>
          <w:b/>
          <w:u w:val="single"/>
        </w:rPr>
      </w:r>
    </w:p>
    <w:tbl>
      <w:tblPr>
        <w:tblW w:w="9450" w:type="dxa"/>
        <w:jc w:val="start"/>
        <w:tblInd w:w="378" w:type="dxa"/>
        <w:tblLayout w:type="fixed"/>
        <w:tblCellMar>
          <w:top w:w="0" w:type="dxa"/>
          <w:start w:w="108" w:type="dxa"/>
          <w:bottom w:w="0" w:type="dxa"/>
          <w:end w:w="108" w:type="dxa"/>
        </w:tblCellMar>
      </w:tblPr>
      <w:tblGrid>
        <w:gridCol w:w="3150"/>
        <w:gridCol w:w="2160"/>
        <w:gridCol w:w="2070"/>
        <w:gridCol w:w="2070"/>
      </w:tblGrid>
      <w:tr>
        <w:trPr>
          <w:trHeight w:val="250"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Pastoria</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Coyote Springs 2</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Longview</w:t>
            </w:r>
          </w:p>
        </w:tc>
      </w:tr>
      <w:tr>
        <w:trPr>
          <w:trHeight w:val="250"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Capacity</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750 MW</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280 MW</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290 MW</w:t>
            </w:r>
          </w:p>
        </w:tc>
      </w:tr>
      <w:tr>
        <w:trPr>
          <w:trHeight w:val="250"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$/kW w/o Development Fee</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$730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$580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$691</w:t>
            </w:r>
          </w:p>
        </w:tc>
      </w:tr>
      <w:tr>
        <w:trPr>
          <w:trHeight w:val="233"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Development Fee</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$37.4 MM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$16.5 MM</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$10MM to $15MM</w:t>
            </w:r>
          </w:p>
        </w:tc>
      </w:tr>
      <w:tr>
        <w:trPr>
          <w:trHeight w:val="225"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$/kW w/ Development Fee</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$780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$640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$725 - $743</w:t>
            </w:r>
          </w:p>
        </w:tc>
      </w:tr>
      <w:tr>
        <w:trPr>
          <w:trHeight w:val="225"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Fixed O&amp;M $/MWh</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$1.80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$1.50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$1.90</w:t>
            </w:r>
          </w:p>
        </w:tc>
      </w:tr>
      <w:tr>
        <w:trPr>
          <w:trHeight w:val="213"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Non-Fuel Variable O&amp;M $/MWh</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$2.76</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$2.51</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$2.27</w:t>
            </w:r>
          </w:p>
        </w:tc>
      </w:tr>
      <w:tr>
        <w:trPr>
          <w:trHeight w:val="213"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Status</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Sold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Sold</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Under Development</w:t>
            </w:r>
          </w:p>
        </w:tc>
      </w:tr>
    </w:tbl>
    <w:p>
      <w:pPr>
        <w:pStyle w:val="BodyText"/>
        <w:rPr>
          <w:rFonts w:cs="Arial"/>
          <w:b/>
          <w:u w:val="single"/>
        </w:rPr>
      </w:pPr>
      <w:r>
        <w:rPr>
          <w:rFonts w:cs="Arial"/>
          <w:b/>
          <w:u w:val="single"/>
        </w:rPr>
      </w:r>
    </w:p>
    <w:p>
      <w:pPr>
        <w:pStyle w:val="BodyText"/>
        <w:rPr>
          <w:rFonts w:cs="Arial"/>
          <w:b/>
          <w:u w:val="single"/>
        </w:rPr>
      </w:pPr>
      <w:r>
        <w:rPr>
          <w:rFonts w:cs="Arial"/>
          <w:b/>
          <w:u w:val="single"/>
        </w:rPr>
      </w:r>
    </w:p>
    <w:p>
      <w:pPr>
        <w:pStyle w:val="BodyText"/>
        <w:rPr>
          <w:rFonts w:cs="Arial"/>
          <w:b/>
          <w:u w:val="single"/>
        </w:rPr>
      </w:pPr>
      <w:r>
        <w:rPr>
          <w:rFonts w:cs="Arial"/>
          <w:b/>
          <w:u w:val="single"/>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pBdr>
          <w:top w:val="single" w:sz="8" w:space="1" w:color="000000"/>
        </w:pBdr>
        <w:rPr>
          <w:rFonts w:ascii="Arial" w:hAnsi="Arial" w:cs="Arial"/>
          <w:b/>
          <w:sz w:val="20"/>
        </w:rPr>
      </w:pPr>
      <w:r>
        <w:rPr>
          <w:rFonts w:cs="Arial" w:ascii="Arial" w:hAnsi="Arial"/>
          <w:b/>
          <w:sz w:val="20"/>
        </w:rPr>
      </w:r>
    </w:p>
    <w:p>
      <w:pPr>
        <w:pStyle w:val="Normal"/>
        <w:pBdr>
          <w:top w:val="single" w:sz="8" w:space="1" w:color="000000"/>
        </w:pBdr>
        <w:rPr>
          <w:rFonts w:ascii="Arial" w:hAnsi="Arial" w:cs="Arial"/>
          <w:sz w:val="20"/>
        </w:rPr>
      </w:pPr>
      <w:r>
        <w:rPr>
          <w:rFonts w:cs="Arial" w:ascii="Arial" w:hAnsi="Arial"/>
          <w:sz w:val="20"/>
        </w:rPr>
        <w:t>Project Columbia is now in a more advanced stage of development.  Since February 2001, the project team has secured a site, has commenced negotiation of an EPC Contract and has been engaged in securing or modifying the necessary permits, interconnections, rights-of-way and water supply.  Although development risk has diminished, there remains some risk that the project will not complete development in a timely manner.</w:t>
      </w:r>
    </w:p>
    <w:p>
      <w:pPr>
        <w:pStyle w:val="Normal"/>
        <w:pBdr>
          <w:top w:val="single" w:sz="8" w:space="1" w:color="000000"/>
        </w:pBdr>
        <w:rPr>
          <w:rFonts w:ascii="Arial" w:hAnsi="Arial" w:cs="Arial"/>
          <w:sz w:val="20"/>
        </w:rPr>
      </w:pPr>
      <w:r>
        <w:rPr>
          <w:rFonts w:cs="Arial" w:ascii="Arial" w:hAnsi="Arial"/>
          <w:sz w:val="20"/>
        </w:rPr>
      </w:r>
    </w:p>
    <w:p>
      <w:pPr>
        <w:pStyle w:val="Normal"/>
        <w:pBdr>
          <w:top w:val="single" w:sz="8" w:space="1" w:color="000000"/>
        </w:pBdr>
        <w:rPr>
          <w:rFonts w:ascii="Arial" w:hAnsi="Arial" w:cs="Arial"/>
          <w:sz w:val="20"/>
        </w:rPr>
      </w:pPr>
      <w:r>
        <w:rPr>
          <w:rFonts w:cs="Arial" w:ascii="Arial" w:hAnsi="Arial"/>
          <w:sz w:val="20"/>
        </w:rPr>
        <w:t>The supply-demand balance for GE 7FA turbines appears to be changing as the demand for new gas-fired generation capacity across the country has waned.  The present demand for gas turbines, particularly 7FAs, is beyond its peak suggesting that the downside of holding a 7FA is greater than six months ago.</w:t>
      </w:r>
    </w:p>
    <w:p>
      <w:pPr>
        <w:pStyle w:val="Normal"/>
        <w:pBdr>
          <w:top w:val="single" w:sz="8" w:space="1" w:color="000000"/>
        </w:pBdr>
        <w:rPr>
          <w:rFonts w:ascii="Arial" w:hAnsi="Arial" w:cs="Arial"/>
          <w:sz w:val="20"/>
        </w:rPr>
      </w:pPr>
      <w:r>
        <w:rPr>
          <w:rFonts w:cs="Arial" w:ascii="Arial" w:hAnsi="Arial"/>
          <w:sz w:val="20"/>
        </w:rPr>
      </w:r>
    </w:p>
    <w:p>
      <w:pPr>
        <w:pStyle w:val="Normal"/>
        <w:pBdr>
          <w:top w:val="single" w:sz="8" w:space="1" w:color="000000"/>
        </w:pBdr>
        <w:rPr>
          <w:rFonts w:ascii="Arial" w:hAnsi="Arial" w:cs="Arial"/>
          <w:sz w:val="20"/>
        </w:rPr>
      </w:pPr>
      <w:r>
        <w:rPr>
          <w:rFonts w:cs="Arial" w:ascii="Arial" w:hAnsi="Arial"/>
          <w:sz w:val="20"/>
        </w:rPr>
        <w:t>Given the poor results of the economic model, approval of this request is primarily justified by the negotiations that are underway with McCook and the potential market value of the project as indicated by several non-binding bids in the first round of the auction process.</w:t>
      </w:r>
    </w:p>
    <w:p>
      <w:pPr>
        <w:pStyle w:val="Normal"/>
        <w:pBdr>
          <w:top w:val="single" w:sz="8" w:space="1" w:color="000000"/>
        </w:pBdr>
        <w:rPr>
          <w:rFonts w:ascii="Arial" w:hAnsi="Arial" w:cs="Arial"/>
          <w:sz w:val="20"/>
        </w:rPr>
      </w:pPr>
      <w:r>
        <w:rPr>
          <w:rFonts w:cs="Arial" w:ascii="Arial" w:hAnsi="Arial"/>
          <w:sz w:val="20"/>
        </w:rPr>
      </w:r>
    </w:p>
    <w:p>
      <w:pPr>
        <w:pStyle w:val="BodyText"/>
        <w:rPr>
          <w:rFonts w:cs="Arial"/>
        </w:rPr>
      </w:pPr>
      <w:r>
        <w:rPr>
          <w:rFonts w:cs="Arial"/>
        </w:rPr>
        <w:t>In the event that the sale to McCook fails and bids on the project are less than presently indicated and the project is canceled, West Origination will have the option to either purchase the equipment (to use in other projects) or cancel the gas turbine, steam turbine, and HRSG procurement contracts.  The table below outlines cancellation costs on October 31, 2001 and total procurement costs for this equipment as well as two other E-Next expenses that would be incurred by October 31, 2001.</w:t>
      </w:r>
    </w:p>
    <w:p>
      <w:pPr>
        <w:pStyle w:val="BodyText"/>
        <w:rPr>
          <w:rFonts w:cs="Arial"/>
        </w:rPr>
      </w:pPr>
      <w:r>
        <w:rPr>
          <w:rFonts w:cs="Arial"/>
        </w:rPr>
      </w:r>
    </w:p>
    <w:p>
      <w:pPr>
        <w:pStyle w:val="BodyText"/>
        <w:rPr>
          <w:rFonts w:cs="Arial"/>
        </w:rPr>
      </w:pPr>
      <w:r>
        <w:rPr>
          <w:rFonts w:cs="Arial"/>
        </w:rPr>
      </w:r>
    </w:p>
    <w:p>
      <w:pPr>
        <w:pStyle w:val="BodyText"/>
        <w:rPr>
          <w:rFonts w:cs="Arial"/>
        </w:rPr>
      </w:pPr>
      <w:r>
        <w:rPr>
          <w:rFonts w:cs="Arial"/>
        </w:rPr>
      </w:r>
    </w:p>
    <w:p>
      <w:pPr>
        <w:pStyle w:val="BodyText"/>
        <w:rPr>
          <w:rFonts w:cs="Arial"/>
        </w:rPr>
      </w:pPr>
      <w:r>
        <w:rPr>
          <w:rFonts w:cs="Arial"/>
        </w:rPr>
      </w:r>
    </w:p>
    <w:p>
      <w:pPr>
        <w:pStyle w:val="BodyText"/>
        <w:rPr>
          <w:rFonts w:cs="Arial"/>
        </w:rPr>
      </w:pPr>
      <w:r>
        <w:rPr>
          <w:rFonts w:cs="Arial"/>
        </w:rPr>
      </w:r>
    </w:p>
    <w:p>
      <w:pPr>
        <w:pStyle w:val="BodyText"/>
        <w:rPr>
          <w:rFonts w:cs="Arial"/>
        </w:rPr>
      </w:pPr>
      <w:r>
        <w:rPr>
          <w:rFonts w:cs="Arial"/>
        </w:rPr>
      </w:r>
    </w:p>
    <w:p>
      <w:pPr>
        <w:pStyle w:val="BodyText"/>
        <w:rPr>
          <w:rFonts w:cs="Arial"/>
        </w:rPr>
      </w:pPr>
      <w:r>
        <w:rPr>
          <w:rFonts w:cs="Arial"/>
        </w:rPr>
      </w:r>
    </w:p>
    <w:p>
      <w:pPr>
        <w:pStyle w:val="BodyText"/>
        <w:rPr>
          <w:rFonts w:cs="Arial"/>
        </w:rPr>
      </w:pPr>
      <w:r>
        <w:rPr>
          <w:rFonts w:cs="Arial"/>
        </w:rPr>
      </w:r>
    </w:p>
    <w:p>
      <w:pPr>
        <w:pStyle w:val="BodyText"/>
        <w:rPr>
          <w:rFonts w:cs="Arial"/>
        </w:rPr>
      </w:pPr>
      <w:r>
        <w:rPr>
          <w:rFonts w:cs="Arial"/>
        </w:rPr>
      </w:r>
    </w:p>
    <w:p>
      <w:pPr>
        <w:pStyle w:val="BodyText"/>
        <w:rPr>
          <w:rFonts w:cs="Arial"/>
        </w:rPr>
      </w:pPr>
      <w:r>
        <w:rPr>
          <w:rFonts w:cs="Arial"/>
        </w:rPr>
      </w:r>
    </w:p>
    <w:p>
      <w:pPr>
        <w:pStyle w:val="BodyText"/>
        <w:rPr>
          <w:rFonts w:cs="Arial"/>
        </w:rPr>
      </w:pPr>
      <w:r>
        <w:rPr>
          <w:rFonts w:cs="Arial"/>
        </w:rPr>
      </w:r>
    </w:p>
    <w:p>
      <w:pPr>
        <w:pStyle w:val="BodyText"/>
        <w:rPr>
          <w:rFonts w:cs="Arial"/>
        </w:rPr>
      </w:pPr>
      <w:r>
        <w:rPr>
          <w:rFonts w:cs="Arial"/>
        </w:rPr>
      </w:r>
    </w:p>
    <w:tbl>
      <w:tblPr>
        <w:tblW w:w="9612" w:type="dxa"/>
        <w:jc w:val="start"/>
        <w:tblInd w:w="0" w:type="dxa"/>
        <w:tblLayout w:type="fixed"/>
        <w:tblCellMar>
          <w:top w:w="0" w:type="dxa"/>
          <w:start w:w="108" w:type="dxa"/>
          <w:bottom w:w="0" w:type="dxa"/>
          <w:end w:w="108" w:type="dxa"/>
        </w:tblCellMar>
      </w:tblPr>
      <w:tblGrid>
        <w:gridCol w:w="2214"/>
        <w:gridCol w:w="1674"/>
        <w:gridCol w:w="1980"/>
        <w:gridCol w:w="1530"/>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szCs w:val="20"/>
              </w:rPr>
            </w:pPr>
            <w:r>
              <w:rPr>
                <w:rFonts w:cs="Arial" w:ascii="Arial" w:hAnsi="Arial"/>
                <w:b/>
                <w:bCs/>
                <w:sz w:val="20"/>
                <w:szCs w:val="20"/>
              </w:rPr>
              <w:t>($ millions)</w:t>
            </w:r>
          </w:p>
        </w:tc>
        <w:tc>
          <w:tcPr>
            <w:tcW w:w="167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szCs w:val="20"/>
              </w:rPr>
            </w:pPr>
            <w:r>
              <w:rPr>
                <w:rFonts w:cs="Arial" w:ascii="Arial" w:hAnsi="Arial"/>
                <w:b/>
                <w:bCs/>
                <w:sz w:val="20"/>
              </w:rPr>
              <w:t>Cancellation Cost on 10/31/01</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szCs w:val="20"/>
              </w:rPr>
            </w:pPr>
            <w:r>
              <w:rPr>
                <w:rFonts w:cs="Arial" w:ascii="Arial" w:hAnsi="Arial"/>
                <w:b/>
                <w:bCs/>
                <w:sz w:val="20"/>
              </w:rPr>
              <w:t>Total Payments on 10/31/01</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szCs w:val="20"/>
              </w:rPr>
            </w:pPr>
            <w:r>
              <w:rPr>
                <w:rFonts w:cs="Arial" w:ascii="Arial" w:hAnsi="Arial"/>
                <w:b/>
                <w:bCs/>
                <w:sz w:val="20"/>
              </w:rPr>
              <w:t>Total Cost</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szCs w:val="20"/>
              </w:rPr>
            </w:pPr>
            <w:r>
              <w:rPr>
                <w:rFonts w:cs="Arial" w:ascii="Arial" w:hAnsi="Arial"/>
                <w:b/>
                <w:bCs/>
                <w:sz w:val="20"/>
              </w:rPr>
              <w:t>Reimbursement if Cancel on 10/31/01</w:t>
            </w:r>
          </w:p>
        </w:tc>
      </w:tr>
      <w:tr>
        <w:trPr/>
        <w:tc>
          <w:tcPr>
            <w:tcW w:w="2214"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bCs/>
                <w:szCs w:val="24"/>
              </w:rPr>
            </w:pPr>
            <w:r>
              <w:rPr>
                <w:rFonts w:cs="Arial" w:ascii="Arial" w:hAnsi="Arial"/>
                <w:bCs/>
                <w:szCs w:val="24"/>
              </w:rPr>
              <w:t>GE Gas Turbine</w:t>
            </w:r>
          </w:p>
        </w:tc>
        <w:tc>
          <w:tcPr>
            <w:tcW w:w="167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szCs w:val="20"/>
              </w:rPr>
            </w:pPr>
            <w:r>
              <w:rPr>
                <w:rFonts w:cs="Arial" w:ascii="Arial" w:hAnsi="Arial"/>
                <w:sz w:val="20"/>
              </w:rPr>
              <w:t>10.2</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szCs w:val="20"/>
              </w:rPr>
            </w:pPr>
            <w:r>
              <w:rPr>
                <w:rFonts w:cs="Arial" w:ascii="Arial" w:hAnsi="Arial"/>
                <w:sz w:val="20"/>
              </w:rPr>
              <w:t>13.30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szCs w:val="20"/>
              </w:rPr>
            </w:pPr>
            <w:r>
              <w:rPr>
                <w:rFonts w:cs="Arial" w:ascii="Arial" w:hAnsi="Arial"/>
                <w:sz w:val="20"/>
              </w:rPr>
              <w:t>39.2</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szCs w:val="20"/>
              </w:rPr>
            </w:pPr>
            <w:r>
              <w:rPr>
                <w:rFonts w:cs="Arial" w:ascii="Arial" w:hAnsi="Arial"/>
                <w:sz w:val="20"/>
              </w:rPr>
              <w:t>3.1</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szCs w:val="20"/>
              </w:rPr>
            </w:pPr>
            <w:r>
              <w:rPr>
                <w:rFonts w:cs="Arial" w:ascii="Arial" w:hAnsi="Arial"/>
                <w:b/>
                <w:bCs/>
                <w:sz w:val="20"/>
              </w:rPr>
              <w:t>Alstom Steam Turbine</w:t>
            </w:r>
          </w:p>
        </w:tc>
        <w:tc>
          <w:tcPr>
            <w:tcW w:w="167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szCs w:val="20"/>
              </w:rPr>
            </w:pPr>
            <w:r>
              <w:rPr>
                <w:rFonts w:cs="Arial" w:ascii="Arial" w:hAnsi="Arial"/>
                <w:sz w:val="20"/>
              </w:rPr>
              <w:t>7.0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szCs w:val="20"/>
              </w:rPr>
            </w:pPr>
            <w:r>
              <w:rPr>
                <w:rFonts w:cs="Arial" w:ascii="Arial" w:hAnsi="Arial"/>
                <w:sz w:val="20"/>
              </w:rPr>
              <w:t>0.90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szCs w:val="20"/>
              </w:rPr>
            </w:pPr>
            <w:r>
              <w:rPr>
                <w:rFonts w:cs="Arial" w:ascii="Arial" w:hAnsi="Arial"/>
                <w:sz w:val="20"/>
              </w:rPr>
              <w:t>12.1</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szCs w:val="20"/>
              </w:rPr>
            </w:pPr>
            <w:r>
              <w:rPr>
                <w:rFonts w:cs="Arial" w:ascii="Arial" w:hAnsi="Arial"/>
                <w:sz w:val="20"/>
              </w:rPr>
              <w:t>(6.1)</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szCs w:val="20"/>
              </w:rPr>
            </w:pPr>
            <w:r>
              <w:rPr>
                <w:rFonts w:cs="Arial" w:ascii="Arial" w:hAnsi="Arial"/>
                <w:b/>
                <w:bCs/>
                <w:sz w:val="20"/>
              </w:rPr>
              <w:t>Nooter/Eriksen HRSG</w:t>
            </w:r>
          </w:p>
        </w:tc>
        <w:tc>
          <w:tcPr>
            <w:tcW w:w="167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szCs w:val="20"/>
              </w:rPr>
            </w:pPr>
            <w:r>
              <w:rPr>
                <w:rFonts w:cs="Arial" w:ascii="Arial" w:hAnsi="Arial"/>
                <w:sz w:val="20"/>
              </w:rPr>
              <w:t>2.5</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szCs w:val="20"/>
              </w:rPr>
            </w:pPr>
            <w:r>
              <w:rPr>
                <w:rFonts w:cs="Arial" w:ascii="Arial" w:hAnsi="Arial"/>
                <w:sz w:val="20"/>
              </w:rPr>
              <w:t>4.20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szCs w:val="20"/>
              </w:rPr>
            </w:pPr>
            <w:r>
              <w:rPr>
                <w:rFonts w:cs="Arial" w:ascii="Arial" w:hAnsi="Arial"/>
                <w:sz w:val="20"/>
              </w:rPr>
              <w:t>14.0</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szCs w:val="20"/>
              </w:rPr>
            </w:pPr>
            <w:r>
              <w:rPr>
                <w:rFonts w:cs="Arial" w:ascii="Arial" w:hAnsi="Arial"/>
                <w:sz w:val="20"/>
              </w:rPr>
              <w:t>1.7</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cs="Arial" w:ascii="Arial" w:hAnsi="Arial"/>
                <w:b/>
                <w:bCs/>
                <w:sz w:val="20"/>
              </w:rPr>
              <w:t>ABB Step Up Transformer</w:t>
            </w:r>
          </w:p>
        </w:tc>
        <w:tc>
          <w:tcPr>
            <w:tcW w:w="167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0.2*</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0.20*</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2.0</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0.0</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cs="Arial" w:ascii="Arial" w:hAnsi="Arial"/>
                <w:b/>
                <w:bCs/>
                <w:sz w:val="20"/>
              </w:rPr>
              <w:t>CNGC Exposure</w:t>
            </w:r>
          </w:p>
        </w:tc>
        <w:tc>
          <w:tcPr>
            <w:tcW w:w="167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0.95</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N/A</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N/A</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N/A</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cs="Arial" w:ascii="Arial" w:hAnsi="Arial"/>
                <w:b/>
                <w:bCs/>
                <w:sz w:val="20"/>
              </w:rPr>
              <w:t>Capitalized Interest</w:t>
            </w:r>
          </w:p>
        </w:tc>
        <w:tc>
          <w:tcPr>
            <w:tcW w:w="167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0.5</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N/A</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N/A</w:t>
            </w:r>
          </w:p>
        </w:tc>
        <w:tc>
          <w:tcPr>
            <w:tcW w:w="221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N/A</w:t>
            </w:r>
          </w:p>
        </w:tc>
      </w:tr>
      <w:tr>
        <w:trPr>
          <w:trHeight w:val="377" w:hRule="atLeast"/>
        </w:trPr>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b/>
                <w:bCs/>
                <w:sz w:val="22"/>
              </w:rPr>
            </w:pPr>
            <w:r>
              <w:rPr>
                <w:rFonts w:cs="Arial" w:ascii="Arial" w:hAnsi="Arial"/>
                <w:b/>
                <w:bCs/>
                <w:sz w:val="22"/>
              </w:rPr>
              <w:t>TOTAL</w:t>
            </w:r>
          </w:p>
        </w:tc>
        <w:tc>
          <w:tcPr>
            <w:tcW w:w="16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bCs/>
                <w:sz w:val="22"/>
              </w:rPr>
            </w:pPr>
            <w:r>
              <w:rPr>
                <w:rFonts w:cs="Arial" w:ascii="Arial" w:hAnsi="Arial"/>
                <w:b/>
                <w:bCs/>
                <w:sz w:val="22"/>
              </w:rPr>
              <w:t>$21.4</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b/>
                <w:bCs/>
                <w:sz w:val="22"/>
              </w:rPr>
            </w:pPr>
            <w:r>
              <w:rPr>
                <w:rFonts w:cs="Arial" w:ascii="Arial" w:hAnsi="Arial"/>
                <w:b/>
                <w:bCs/>
                <w:sz w:val="22"/>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sz w:val="22"/>
              </w:rPr>
            </w:pPr>
            <w:r>
              <w:rPr>
                <w:rFonts w:cs="Arial" w:ascii="Arial" w:hAnsi="Arial"/>
                <w:sz w:val="22"/>
              </w:rPr>
            </w:r>
          </w:p>
        </w:tc>
        <w:tc>
          <w:tcPr>
            <w:tcW w:w="22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sz w:val="22"/>
              </w:rPr>
            </w:pPr>
            <w:r>
              <w:rPr>
                <w:rFonts w:cs="Arial" w:ascii="Arial" w:hAnsi="Arial"/>
                <w:sz w:val="22"/>
              </w:rPr>
            </w:r>
          </w:p>
        </w:tc>
      </w:tr>
    </w:tbl>
    <w:p>
      <w:pPr>
        <w:pStyle w:val="Normal"/>
        <w:pBdr>
          <w:top w:val="single" w:sz="8" w:space="0" w:color="000000"/>
        </w:pBdr>
        <w:rPr>
          <w:rFonts w:ascii="Arial" w:hAnsi="Arial" w:cs="Arial"/>
          <w:b/>
          <w:sz w:val="20"/>
        </w:rPr>
      </w:pPr>
      <w:r>
        <w:rPr>
          <w:rFonts w:cs="Arial" w:ascii="Arial" w:hAnsi="Arial"/>
          <w:b/>
          <w:sz w:val="20"/>
        </w:rPr>
      </w:r>
    </w:p>
    <w:p>
      <w:pPr>
        <w:pStyle w:val="Normal"/>
        <w:pBdr>
          <w:top w:val="single" w:sz="8" w:space="0" w:color="000000"/>
        </w:pBdr>
        <w:rPr>
          <w:rFonts w:ascii="Arial" w:hAnsi="Arial" w:cs="Arial"/>
          <w:bCs/>
          <w:sz w:val="18"/>
        </w:rPr>
      </w:pPr>
      <w:r>
        <w:rPr>
          <w:rFonts w:cs="Arial" w:ascii="Arial" w:hAnsi="Arial"/>
          <w:bCs/>
          <w:sz w:val="18"/>
        </w:rPr>
        <w:t>*Estimated @ 10% of Total Costs</w:t>
      </w:r>
    </w:p>
    <w:p>
      <w:pPr>
        <w:pStyle w:val="Normal"/>
        <w:rPr>
          <w:rFonts w:ascii="Arial" w:hAnsi="Arial" w:cs="Arial"/>
          <w:b/>
          <w:bCs/>
          <w:sz w:val="20"/>
        </w:rPr>
      </w:pPr>
      <w:r>
        <w:rPr>
          <w:rFonts w:cs="Arial" w:ascii="Arial" w:hAnsi="Arial"/>
          <w:b/>
          <w:bCs/>
          <w:sz w:val="20"/>
        </w:rPr>
      </w:r>
    </w:p>
    <w:p>
      <w:pPr>
        <w:pStyle w:val="Normal"/>
        <w:pBdr>
          <w:top w:val="single" w:sz="8" w:space="0" w:color="000000"/>
        </w:pBdr>
        <w:rPr>
          <w:rFonts w:ascii="Arial" w:hAnsi="Arial" w:cs="Arial"/>
          <w:b/>
          <w:sz w:val="20"/>
        </w:rPr>
      </w:pPr>
      <w:r>
        <w:rPr>
          <w:rFonts w:cs="Arial" w:ascii="Arial" w:hAnsi="Arial"/>
          <w:b/>
          <w:sz w:val="20"/>
        </w:rPr>
        <w:t xml:space="preserve">CONDITIONS PRECEDENT </w:t>
      </w:r>
    </w:p>
    <w:p>
      <w:pPr>
        <w:pStyle w:val="Normal"/>
        <w:rPr>
          <w:rFonts w:ascii="Arial" w:hAnsi="Arial" w:cs="Arial"/>
          <w:b/>
          <w:sz w:val="20"/>
        </w:rPr>
      </w:pPr>
      <w:r>
        <w:rPr>
          <w:rFonts w:cs="Arial" w:ascii="Arial" w:hAnsi="Arial"/>
          <w:b/>
          <w:sz w:val="20"/>
        </w:rPr>
      </w:r>
    </w:p>
    <w:p>
      <w:pPr>
        <w:pStyle w:val="Header"/>
        <w:widowControl/>
        <w:tabs>
          <w:tab w:val="clear" w:pos="4320"/>
          <w:tab w:val="clear" w:pos="8640"/>
        </w:tabs>
        <w:rPr>
          <w:rFonts w:ascii="Arial" w:hAnsi="Arial" w:cs="Arial"/>
          <w:bCs/>
          <w:szCs w:val="24"/>
        </w:rPr>
      </w:pPr>
      <w:r>
        <w:rPr>
          <w:rFonts w:cs="Arial" w:ascii="Arial" w:hAnsi="Arial"/>
          <w:bCs/>
          <w:szCs w:val="24"/>
        </w:rPr>
        <w:t>None</w:t>
      </w:r>
    </w:p>
    <w:p>
      <w:pPr>
        <w:pStyle w:val="Normal"/>
        <w:rPr>
          <w:rFonts w:ascii="Arial" w:hAnsi="Arial" w:cs="Arial"/>
          <w:b/>
          <w:bCs/>
          <w:sz w:val="20"/>
          <w:szCs w:val="24"/>
        </w:rPr>
      </w:pPr>
      <w:r>
        <w:rPr>
          <w:rFonts w:cs="Arial" w:ascii="Arial" w:hAnsi="Arial"/>
          <w:b/>
          <w:bCs/>
          <w:sz w:val="20"/>
          <w:szCs w:val="24"/>
        </w:rPr>
      </w:r>
    </w:p>
    <w:p>
      <w:pPr>
        <w:pStyle w:val="Normal"/>
        <w:rPr>
          <w:rFonts w:ascii="Arial" w:hAnsi="Arial" w:cs="Arial"/>
          <w:b/>
          <w:sz w:val="20"/>
        </w:rPr>
      </w:pPr>
      <w:r>
        <w:rPr>
          <w:rFonts w:cs="Arial" w:ascii="Arial" w:hAnsi="Arial"/>
          <w:b/>
          <w:sz w:val="20"/>
        </w:rPr>
      </w:r>
    </w:p>
    <w:p>
      <w:pPr>
        <w:pStyle w:val="Normal"/>
        <w:pBdr>
          <w:top w:val="single" w:sz="8" w:space="0" w:color="000000"/>
        </w:pBdr>
        <w:rPr>
          <w:rFonts w:ascii="Arial" w:hAnsi="Arial" w:cs="Arial"/>
          <w:b/>
          <w:sz w:val="20"/>
        </w:rPr>
      </w:pPr>
      <w:r>
        <w:rPr>
          <w:rFonts w:cs="Arial" w:ascii="Arial" w:hAnsi="Arial"/>
          <w:b/>
          <w:sz w:val="20"/>
        </w:rPr>
        <w:t>MILESTONES</w:t>
      </w:r>
    </w:p>
    <w:p>
      <w:pPr>
        <w:pStyle w:val="Normal"/>
        <w:rPr>
          <w:rFonts w:ascii="Arial" w:hAnsi="Arial" w:cs="Arial"/>
          <w:b/>
          <w:sz w:val="20"/>
        </w:rPr>
      </w:pPr>
      <w:r>
        <w:rPr>
          <w:rFonts w:cs="Arial" w:ascii="Arial" w:hAnsi="Arial"/>
          <w:b/>
          <w:sz w:val="20"/>
        </w:rPr>
      </w:r>
    </w:p>
    <w:p>
      <w:pPr>
        <w:pStyle w:val="Heading1"/>
        <w:ind w:hanging="0" w:start="0"/>
        <w:rPr>
          <w:rFonts w:ascii="Arial" w:hAnsi="Arial" w:cs="Arial"/>
          <w:b w:val="false"/>
          <w:sz w:val="20"/>
        </w:rPr>
      </w:pPr>
      <w:r>
        <w:rPr>
          <w:rFonts w:cs="Arial" w:ascii="Arial" w:hAnsi="Arial"/>
          <w:b w:val="false"/>
          <w:sz w:val="20"/>
        </w:rPr>
      </w:r>
    </w:p>
    <w:p>
      <w:pPr>
        <w:pStyle w:val="Normal"/>
        <w:numPr>
          <w:ilvl w:val="0"/>
          <w:numId w:val="2"/>
        </w:numPr>
        <w:rPr>
          <w:rFonts w:ascii="Arial" w:hAnsi="Arial" w:cs="Arial"/>
          <w:sz w:val="20"/>
        </w:rPr>
      </w:pPr>
      <w:r>
        <w:rPr>
          <w:rFonts w:cs="Arial" w:ascii="Arial" w:hAnsi="Arial"/>
          <w:sz w:val="20"/>
        </w:rPr>
        <w:t>Begin EPC contractor selection process</w:t>
        <w:tab/>
        <w:tab/>
        <w:tab/>
        <w:t>Achieved</w:t>
      </w:r>
    </w:p>
    <w:p>
      <w:pPr>
        <w:pStyle w:val="Normal"/>
        <w:numPr>
          <w:ilvl w:val="0"/>
          <w:numId w:val="2"/>
        </w:numPr>
        <w:rPr>
          <w:rFonts w:ascii="Arial" w:hAnsi="Arial" w:cs="Arial"/>
          <w:sz w:val="20"/>
        </w:rPr>
      </w:pPr>
      <w:r>
        <w:rPr>
          <w:rFonts w:cs="Arial" w:ascii="Arial" w:hAnsi="Arial"/>
          <w:sz w:val="20"/>
        </w:rPr>
        <w:t>Execute lease option</w:t>
        <w:tab/>
        <w:tab/>
        <w:tab/>
        <w:tab/>
        <w:tab/>
        <w:t>Achieved</w:t>
        <w:tab/>
        <w:tab/>
        <w:tab/>
        <w:t xml:space="preserve"> </w:t>
      </w:r>
    </w:p>
    <w:p>
      <w:pPr>
        <w:pStyle w:val="Normal"/>
        <w:numPr>
          <w:ilvl w:val="0"/>
          <w:numId w:val="2"/>
        </w:numPr>
        <w:rPr>
          <w:rFonts w:ascii="Arial" w:hAnsi="Arial" w:cs="Arial"/>
          <w:sz w:val="20"/>
        </w:rPr>
      </w:pPr>
      <w:r>
        <w:rPr>
          <w:rFonts w:cs="Arial" w:ascii="Arial" w:hAnsi="Arial"/>
          <w:sz w:val="20"/>
        </w:rPr>
        <w:t>Execute options to acquire water (Port and CSOB)</w:t>
        <w:tab/>
        <w:tab/>
        <w:t>Achieved</w:t>
      </w:r>
    </w:p>
    <w:p>
      <w:pPr>
        <w:pStyle w:val="Normal"/>
        <w:numPr>
          <w:ilvl w:val="0"/>
          <w:numId w:val="2"/>
        </w:numPr>
        <w:rPr>
          <w:rFonts w:ascii="Arial" w:hAnsi="Arial" w:cs="Arial"/>
          <w:sz w:val="20"/>
        </w:rPr>
      </w:pPr>
      <w:r>
        <w:rPr>
          <w:rFonts w:cs="Arial" w:ascii="Arial" w:hAnsi="Arial"/>
          <w:sz w:val="20"/>
        </w:rPr>
        <w:t>Execute option for wastewater disposal (CSOB)</w:t>
        <w:tab/>
        <w:tab/>
        <w:t>Achieved</w:t>
        <w:tab/>
        <w:tab/>
        <w:t xml:space="preserve"> </w:t>
      </w:r>
    </w:p>
    <w:p>
      <w:pPr>
        <w:pStyle w:val="Normal"/>
        <w:numPr>
          <w:ilvl w:val="0"/>
          <w:numId w:val="2"/>
        </w:numPr>
        <w:rPr>
          <w:rFonts w:ascii="Arial" w:hAnsi="Arial" w:cs="Arial"/>
          <w:sz w:val="20"/>
        </w:rPr>
      </w:pPr>
      <w:r>
        <w:rPr>
          <w:rFonts w:cs="Arial" w:ascii="Arial" w:hAnsi="Arial"/>
          <w:sz w:val="20"/>
        </w:rPr>
        <w:t>Finalize gas interconnection plan</w:t>
        <w:tab/>
        <w:tab/>
        <w:tab/>
        <w:tab/>
        <w:t>Achieved</w:t>
        <w:tab/>
        <w:tab/>
        <w:tab/>
        <w:t xml:space="preserve"> </w:t>
      </w:r>
    </w:p>
    <w:p>
      <w:pPr>
        <w:pStyle w:val="Normal"/>
        <w:numPr>
          <w:ilvl w:val="0"/>
          <w:numId w:val="2"/>
        </w:numPr>
        <w:rPr>
          <w:rFonts w:ascii="Arial" w:hAnsi="Arial" w:cs="Arial"/>
          <w:sz w:val="20"/>
        </w:rPr>
      </w:pPr>
      <w:r>
        <w:rPr>
          <w:rFonts w:cs="Arial" w:ascii="Arial" w:hAnsi="Arial"/>
          <w:sz w:val="20"/>
        </w:rPr>
        <w:t>Receive SIS and IFS from BPA</w:t>
        <w:tab/>
        <w:tab/>
        <w:tab/>
        <w:tab/>
        <w:t>Achieved</w:t>
        <w:tab/>
        <w:tab/>
        <w:t xml:space="preserve"> </w:t>
      </w:r>
    </w:p>
    <w:p>
      <w:pPr>
        <w:pStyle w:val="Normal"/>
        <w:numPr>
          <w:ilvl w:val="0"/>
          <w:numId w:val="2"/>
        </w:numPr>
        <w:rPr>
          <w:rFonts w:ascii="Arial" w:hAnsi="Arial" w:cs="Arial"/>
          <w:sz w:val="20"/>
        </w:rPr>
      </w:pPr>
      <w:r>
        <w:rPr>
          <w:rFonts w:cs="Arial" w:ascii="Arial" w:hAnsi="Arial"/>
          <w:sz w:val="20"/>
        </w:rPr>
        <w:t xml:space="preserve">Receive 249 MW air permit </w:t>
        <w:tab/>
        <w:tab/>
        <w:tab/>
        <w:tab/>
        <w:tab/>
        <w:t>Achieved; See Appendix I</w:t>
        <w:tab/>
        <w:tab/>
        <w:t xml:space="preserve"> </w:t>
        <w:tab/>
      </w:r>
    </w:p>
    <w:p>
      <w:pPr>
        <w:pStyle w:val="Normal"/>
        <w:numPr>
          <w:ilvl w:val="0"/>
          <w:numId w:val="2"/>
        </w:numPr>
        <w:rPr>
          <w:rFonts w:ascii="Arial" w:hAnsi="Arial" w:cs="Arial"/>
          <w:sz w:val="20"/>
        </w:rPr>
      </w:pPr>
      <w:r>
        <w:rPr>
          <w:rFonts w:cs="Arial" w:ascii="Arial" w:hAnsi="Arial"/>
          <w:sz w:val="20"/>
        </w:rPr>
        <w:t>Finalize wastewater disposal plan</w:t>
        <w:tab/>
        <w:tab/>
        <w:tab/>
        <w:tab/>
        <w:t>Achieved</w:t>
      </w:r>
    </w:p>
    <w:p>
      <w:pPr>
        <w:pStyle w:val="Normal"/>
        <w:numPr>
          <w:ilvl w:val="0"/>
          <w:numId w:val="2"/>
        </w:numPr>
        <w:rPr>
          <w:rFonts w:ascii="Arial" w:hAnsi="Arial" w:cs="Arial"/>
          <w:sz w:val="20"/>
        </w:rPr>
      </w:pPr>
      <w:r>
        <w:rPr>
          <w:rFonts w:cs="Arial" w:ascii="Arial" w:hAnsi="Arial"/>
          <w:sz w:val="20"/>
        </w:rPr>
        <w:t>Complete ground lease negotiations</w:t>
        <w:tab/>
        <w:tab/>
        <w:tab/>
        <w:tab/>
        <w:t>Achieved; See Appendix I</w:t>
        <w:tab/>
      </w:r>
    </w:p>
    <w:p>
      <w:pPr>
        <w:pStyle w:val="Normal"/>
        <w:numPr>
          <w:ilvl w:val="0"/>
          <w:numId w:val="2"/>
        </w:numPr>
        <w:rPr>
          <w:rFonts w:ascii="Arial" w:hAnsi="Arial" w:cs="Arial"/>
          <w:sz w:val="20"/>
        </w:rPr>
      </w:pPr>
      <w:r>
        <w:rPr>
          <w:rFonts w:cs="Arial" w:ascii="Arial" w:hAnsi="Arial"/>
          <w:sz w:val="20"/>
        </w:rPr>
        <w:t>Complete water acquisition agreement negotiations (Port)</w:t>
        <w:tab/>
        <w:t>Achieved</w:t>
        <w:tab/>
      </w:r>
    </w:p>
    <w:p>
      <w:pPr>
        <w:pStyle w:val="Normal"/>
        <w:numPr>
          <w:ilvl w:val="0"/>
          <w:numId w:val="2"/>
        </w:numPr>
        <w:rPr>
          <w:rFonts w:ascii="Arial" w:hAnsi="Arial" w:cs="Arial"/>
          <w:sz w:val="20"/>
        </w:rPr>
      </w:pPr>
      <w:r>
        <w:rPr>
          <w:rFonts w:cs="Arial" w:ascii="Arial" w:hAnsi="Arial"/>
          <w:sz w:val="20"/>
        </w:rPr>
        <w:t>Complete BPA “Record of Decision”</w:t>
        <w:tab/>
        <w:tab/>
        <w:tab/>
        <w:tab/>
        <w:t xml:space="preserve"> 7/31/01</w:t>
      </w:r>
    </w:p>
    <w:p>
      <w:pPr>
        <w:pStyle w:val="Normal"/>
        <w:numPr>
          <w:ilvl w:val="0"/>
          <w:numId w:val="2"/>
        </w:numPr>
        <w:rPr>
          <w:rFonts w:ascii="Arial" w:hAnsi="Arial" w:cs="Arial"/>
          <w:sz w:val="20"/>
        </w:rPr>
      </w:pPr>
      <w:r>
        <w:rPr>
          <w:rFonts w:cs="Arial" w:ascii="Arial" w:hAnsi="Arial"/>
          <w:sz w:val="20"/>
        </w:rPr>
        <w:t>Complete EPC contract negotiations</w:t>
        <w:tab/>
        <w:tab/>
        <w:tab/>
        <w:tab/>
        <w:t xml:space="preserve"> 8/15/01 </w:t>
        <w:tab/>
      </w:r>
    </w:p>
    <w:p>
      <w:pPr>
        <w:pStyle w:val="Normal"/>
        <w:numPr>
          <w:ilvl w:val="0"/>
          <w:numId w:val="2"/>
        </w:numPr>
        <w:rPr>
          <w:rFonts w:ascii="Arial" w:hAnsi="Arial" w:cs="Arial"/>
          <w:sz w:val="20"/>
        </w:rPr>
      </w:pPr>
      <w:r>
        <w:rPr>
          <w:rFonts w:cs="Arial" w:ascii="Arial" w:hAnsi="Arial"/>
          <w:sz w:val="20"/>
        </w:rPr>
        <w:t>Complete power transmission services agreement</w:t>
        <w:tab/>
        <w:tab/>
        <w:t>Not applicable; See Appendix I</w:t>
      </w:r>
    </w:p>
    <w:p>
      <w:pPr>
        <w:pStyle w:val="Normal"/>
        <w:numPr>
          <w:ilvl w:val="0"/>
          <w:numId w:val="2"/>
        </w:numPr>
        <w:rPr>
          <w:rFonts w:ascii="Arial" w:hAnsi="Arial" w:cs="Arial"/>
          <w:sz w:val="20"/>
        </w:rPr>
      </w:pPr>
      <w:r>
        <w:rPr>
          <w:rFonts w:cs="Arial" w:ascii="Arial" w:hAnsi="Arial"/>
          <w:sz w:val="20"/>
        </w:rPr>
        <w:t>Complete wastewater disposal agreement (CSOB)</w:t>
        <w:tab/>
        <w:tab/>
        <w:t xml:space="preserve"> 9/15/01</w:t>
      </w:r>
    </w:p>
    <w:p>
      <w:pPr>
        <w:pStyle w:val="Normal"/>
        <w:numPr>
          <w:ilvl w:val="0"/>
          <w:numId w:val="2"/>
        </w:numPr>
        <w:rPr>
          <w:rFonts w:ascii="Arial" w:hAnsi="Arial" w:cs="Arial"/>
          <w:sz w:val="20"/>
        </w:rPr>
      </w:pPr>
      <w:r>
        <w:rPr>
          <w:rFonts w:cs="Arial" w:ascii="Arial" w:hAnsi="Arial"/>
          <w:sz w:val="20"/>
        </w:rPr>
        <w:t>Complete effluent supply agreement (CSOB)</w:t>
        <w:tab/>
        <w:tab/>
        <w:t xml:space="preserve"> 9/15/01</w:t>
      </w:r>
    </w:p>
    <w:p>
      <w:pPr>
        <w:pStyle w:val="Normal"/>
        <w:numPr>
          <w:ilvl w:val="0"/>
          <w:numId w:val="2"/>
        </w:numPr>
        <w:rPr>
          <w:rFonts w:ascii="Arial" w:hAnsi="Arial" w:cs="Arial"/>
          <w:sz w:val="20"/>
        </w:rPr>
      </w:pPr>
      <w:r>
        <w:rPr>
          <w:rFonts w:cs="Arial" w:ascii="Arial" w:hAnsi="Arial"/>
          <w:sz w:val="20"/>
        </w:rPr>
        <w:t>Complete BPA agreements</w:t>
        <w:tab/>
        <w:tab/>
        <w:tab/>
        <w:tab/>
        <w:tab/>
        <w:t xml:space="preserve"> 9/30/01; See Appendix I</w:t>
      </w:r>
    </w:p>
    <w:p>
      <w:pPr>
        <w:pStyle w:val="Normal"/>
        <w:numPr>
          <w:ilvl w:val="0"/>
          <w:numId w:val="2"/>
        </w:numPr>
        <w:rPr>
          <w:rFonts w:ascii="Arial" w:hAnsi="Arial" w:cs="Arial"/>
          <w:sz w:val="20"/>
        </w:rPr>
      </w:pPr>
      <w:r>
        <w:rPr>
          <w:rFonts w:cs="Arial" w:ascii="Arial" w:hAnsi="Arial"/>
          <w:sz w:val="20"/>
        </w:rPr>
        <w:t>Receive modified 290 MW air permit</w:t>
        <w:tab/>
        <w:tab/>
        <w:tab/>
        <w:tab/>
        <w:t xml:space="preserve"> 9/30/01</w:t>
      </w:r>
    </w:p>
    <w:p>
      <w:pPr>
        <w:pStyle w:val="Normal"/>
        <w:numPr>
          <w:ilvl w:val="0"/>
          <w:numId w:val="2"/>
        </w:numPr>
        <w:rPr>
          <w:rFonts w:ascii="Arial" w:hAnsi="Arial" w:cs="Arial"/>
          <w:sz w:val="20"/>
        </w:rPr>
      </w:pPr>
      <w:r>
        <w:rPr>
          <w:rFonts w:cs="Arial" w:ascii="Arial" w:hAnsi="Arial"/>
          <w:sz w:val="20"/>
        </w:rPr>
        <w:t>Receive 290 MW SEPA determination (if required)</w:t>
        <w:tab/>
        <w:tab/>
        <w:t xml:space="preserve"> 9/30/01</w:t>
      </w:r>
    </w:p>
    <w:p>
      <w:pPr>
        <w:pStyle w:val="Normal"/>
        <w:numPr>
          <w:ilvl w:val="0"/>
          <w:numId w:val="2"/>
        </w:numPr>
        <w:rPr>
          <w:rFonts w:ascii="Arial" w:hAnsi="Arial" w:cs="Arial"/>
          <w:sz w:val="20"/>
        </w:rPr>
      </w:pPr>
      <w:r>
        <w:rPr>
          <w:rFonts w:cs="Arial" w:ascii="Arial" w:hAnsi="Arial"/>
          <w:sz w:val="20"/>
        </w:rPr>
        <w:t>Receive wastewater discharge permit</w:t>
        <w:tab/>
        <w:tab/>
        <w:tab/>
        <w:t xml:space="preserve"> 9/30/01</w:t>
      </w:r>
    </w:p>
    <w:p>
      <w:pPr>
        <w:pStyle w:val="Normal"/>
        <w:numPr>
          <w:ilvl w:val="0"/>
          <w:numId w:val="2"/>
        </w:numPr>
        <w:rPr>
          <w:rFonts w:ascii="Arial" w:hAnsi="Arial" w:cs="Arial"/>
          <w:sz w:val="20"/>
        </w:rPr>
      </w:pPr>
      <w:r>
        <w:rPr>
          <w:rFonts w:cs="Arial" w:ascii="Arial" w:hAnsi="Arial"/>
          <w:sz w:val="20"/>
        </w:rPr>
        <w:t>Receive reclaimed water permit</w:t>
        <w:tab/>
        <w:tab/>
        <w:tab/>
        <w:tab/>
        <w:t xml:space="preserve"> 9/30/01</w:t>
      </w:r>
    </w:p>
    <w:p>
      <w:pPr>
        <w:pStyle w:val="Normal"/>
        <w:numPr>
          <w:ilvl w:val="0"/>
          <w:numId w:val="2"/>
        </w:numPr>
        <w:rPr>
          <w:rFonts w:ascii="Arial" w:hAnsi="Arial" w:cs="Arial"/>
          <w:sz w:val="20"/>
        </w:rPr>
      </w:pPr>
      <w:r>
        <w:rPr>
          <w:rFonts w:cs="Arial" w:ascii="Arial" w:hAnsi="Arial"/>
          <w:sz w:val="20"/>
        </w:rPr>
        <w:t>Determine cooling water supply (Port of CSOB)</w:t>
        <w:tab/>
        <w:tab/>
        <w:t xml:space="preserve"> 9/30/01</w:t>
      </w:r>
    </w:p>
    <w:p>
      <w:pPr>
        <w:pStyle w:val="Normal"/>
        <w:numPr>
          <w:ilvl w:val="0"/>
          <w:numId w:val="2"/>
        </w:numPr>
        <w:rPr>
          <w:rFonts w:ascii="Arial" w:hAnsi="Arial" w:cs="Arial"/>
          <w:b/>
          <w:sz w:val="20"/>
        </w:rPr>
      </w:pPr>
      <w:r>
        <w:rPr>
          <w:rFonts w:cs="Arial" w:ascii="Arial" w:hAnsi="Arial"/>
          <w:sz w:val="20"/>
        </w:rPr>
        <w:t xml:space="preserve">Sell project </w:t>
        <w:tab/>
        <w:tab/>
        <w:tab/>
        <w:tab/>
        <w:tab/>
        <w:tab/>
        <w:tab/>
        <w:t>10/31/01</w:t>
      </w:r>
      <w:r>
        <w:br w:type="page"/>
      </w:r>
    </w:p>
    <w:p>
      <w:pPr>
        <w:pStyle w:val="Normal"/>
        <w:rPr>
          <w:rFonts w:ascii="Arial" w:hAnsi="Arial" w:cs="Arial"/>
          <w:b/>
          <w:sz w:val="20"/>
        </w:rPr>
      </w:pPr>
      <w:r>
        <w:rPr>
          <w:rFonts w:cs="Arial" w:ascii="Arial" w:hAnsi="Arial"/>
          <w:b/>
          <w:sz w:val="20"/>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32"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448" w:type="dxa"/>
            <w:tcBorders/>
          </w:tcPr>
          <w:p>
            <w:pPr>
              <w:pStyle w:val="Normal"/>
              <w:spacing w:before="120" w:after="0"/>
              <w:rPr>
                <w:rFonts w:ascii="Arial" w:hAnsi="Arial" w:cs="Arial"/>
                <w:sz w:val="20"/>
              </w:rPr>
            </w:pPr>
            <w:r>
              <w:rPr>
                <w:rFonts w:cs="Arial" w:ascii="Arial" w:hAnsi="Arial"/>
                <w:sz w:val="20"/>
              </w:rPr>
              <w:t>West Origination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Jake Thomas</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Regional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Christopher Calger</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Technical Services</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Brian Redmond</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Accounting</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Wes Colwell/Cris Sherman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Lavorato/Louise Kitchen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Frevert</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4" w:space="0" w:color="000000"/>
            </w:tcBorders>
          </w:tcPr>
          <w:p>
            <w:pPr>
              <w:pStyle w:val="Normal"/>
              <w:spacing w:before="120" w:after="0"/>
              <w:rPr>
                <w:rFonts w:ascii="Arial" w:hAnsi="Arial" w:cs="Arial"/>
                <w:sz w:val="20"/>
              </w:rPr>
            </w:pPr>
            <w:r>
              <w:rPr>
                <w:rFonts w:cs="Arial" w:ascii="Arial" w:hAnsi="Arial"/>
                <w:sz w:val="20"/>
              </w:rPr>
              <w:t>Jeff Skilling</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r>
        <w:br w:type="page"/>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p>
      <w:pPr>
        <w:pStyle w:val="Heading6"/>
        <w:ind w:hanging="0" w:start="0"/>
        <w:jc w:val="start"/>
        <w:rPr>
          <w:rFonts w:ascii="Arial" w:hAnsi="Arial" w:cs="Arial"/>
          <w:bCs/>
          <w:sz w:val="24"/>
        </w:rPr>
      </w:pPr>
      <w:r>
        <w:rPr>
          <w:rFonts w:cs="Arial" w:ascii="Arial" w:hAnsi="Arial"/>
          <w:bCs/>
          <w:sz w:val="24"/>
        </w:rPr>
        <w:t>Appendix I - Status of Critical Path Items</w:t>
      </w:r>
    </w:p>
    <w:p>
      <w:pPr>
        <w:pStyle w:val="Normal"/>
        <w:rPr>
          <w:rFonts w:ascii="Arial" w:hAnsi="Arial" w:cs="Arial"/>
          <w:bCs/>
          <w:sz w:val="24"/>
        </w:rPr>
      </w:pPr>
      <w:r>
        <w:rPr>
          <w:rFonts w:cs="Arial" w:ascii="Arial" w:hAnsi="Arial"/>
          <w:bCs/>
          <w:sz w:val="24"/>
        </w:rPr>
      </w:r>
    </w:p>
    <w:tbl>
      <w:tblPr>
        <w:tblW w:w="10710" w:type="dxa"/>
        <w:jc w:val="start"/>
        <w:tblInd w:w="108" w:type="dxa"/>
        <w:tblLayout w:type="fixed"/>
        <w:tblCellMar>
          <w:top w:w="0" w:type="dxa"/>
          <w:start w:w="108" w:type="dxa"/>
          <w:bottom w:w="0" w:type="dxa"/>
          <w:end w:w="108" w:type="dxa"/>
        </w:tblCellMar>
      </w:tblPr>
      <w:tblGrid>
        <w:gridCol w:w="2970"/>
        <w:gridCol w:w="7740"/>
      </w:tblGrid>
      <w:tr>
        <w:trPr/>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sz w:val="20"/>
              </w:rPr>
            </w:pPr>
            <w:r>
              <w:rPr>
                <w:rFonts w:cs="Arial" w:ascii="Arial" w:hAnsi="Arial"/>
                <w:b/>
                <w:i/>
                <w:sz w:val="20"/>
              </w:rPr>
              <w:t>Item</w:t>
            </w:r>
          </w:p>
        </w:tc>
        <w:tc>
          <w:tcPr>
            <w:tcW w:w="77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i/>
                <w:sz w:val="20"/>
              </w:rPr>
            </w:pPr>
            <w:r>
              <w:rPr>
                <w:rFonts w:cs="Arial" w:ascii="Arial" w:hAnsi="Arial"/>
                <w:b/>
                <w:i/>
                <w:sz w:val="20"/>
              </w:rPr>
              <w:t>Status</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Record of Decision</w:t>
            </w:r>
          </w:p>
        </w:tc>
        <w:tc>
          <w:tcPr>
            <w:tcW w:w="77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BPA has almost completed the Supplement Analysis on the project. Once this is complete, the Record of Decision (“ROD”) can be signed by BPA’s acting administrator. It is expected that the ROD will be signed by July 31, 2001. There is a chance that BPA will charge LED an environmental mitigation payment related to the issuance of the ROD. Although West Origination believes the payment is unfound, there are some indications that it could be as high as $2 million. The highest payment paid to date was $180,000 on the Goldendale project. Following issuance of the ROD, there is a 90-day period in which BPA’s decision can be challenged in the Ninth Circuit Court of Appeals. A challenge does not stay BPA’s decision or action and has no impact on plant construction. BPA rarely loses a challenge. To get a stay of action, the challenging party must post a bond for the value of the economic harm to all parties affected by the stay. </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Air Permit</w:t>
            </w:r>
          </w:p>
        </w:tc>
        <w:tc>
          <w:tcPr>
            <w:tcW w:w="77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A 249 MW permit was issued by the Southwest Clean Air Agency (“SWCAA”) on May 19, 2001.  Receipt of the 290 MW permit is expected by September 15, 2001. </w:t>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Construction Storm Water Permit</w:t>
            </w:r>
          </w:p>
        </w:tc>
        <w:tc>
          <w:tcPr>
            <w:tcW w:w="77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This permit was issued on June 4, 2001.</w:t>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Operation Storm Water Permit</w:t>
            </w:r>
          </w:p>
        </w:tc>
        <w:tc>
          <w:tcPr>
            <w:tcW w:w="77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This permit will be issued in conjunction with the NPDES wastewater discharge permit. It is expected that it will be received in September 2001.</w:t>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SEPA Permit</w:t>
            </w:r>
          </w:p>
        </w:tc>
        <w:tc>
          <w:tcPr>
            <w:tcW w:w="77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The Mitigated Determination of Non-Significance for the 249 MW facility was issued in May 2001. New SEPA documents which increase the plant size to 290 MW have been submitted to Cowlitz County, the lead SEPA agent. Cowlitz County is currently determining the process for the plant increase. If a new determination is required, rather than an amendment, it is expected that this will be issued in September 2001.</w:t>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NPDES Wastewater Discharge Permit</w:t>
            </w:r>
          </w:p>
        </w:tc>
        <w:tc>
          <w:tcPr>
            <w:tcW w:w="77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It is expected that Washington Department of Ecology (“DOE”) will issue this permit in September, 2001. </w:t>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Reclaimed Water Permit</w:t>
            </w:r>
          </w:p>
        </w:tc>
        <w:tc>
          <w:tcPr>
            <w:tcW w:w="77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It is expected that DOE will issue this permit in September, 2001. </w:t>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Wastewater Supply and Wastewater Agreements</w:t>
            </w:r>
          </w:p>
        </w:tc>
        <w:tc>
          <w:tcPr>
            <w:tcW w:w="77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LED entered into an option agreement with the Cowlitz Sewer Operating Board (“CSOB”) to enter into an agreement to secure effluent for cooling water and wastewater discharge through the Cowlitz Water Pollution Control (“CWPC”) outfall.  A nonrefundable option payment of $30,000 was made to the CSOB. Pricing for wastewater discharge and effluent supply was set forth in the option agreement. LED will pay a $250,000 hook-up fee and $7,500 per month for wastewater discharge of up to 850,000 gallons. A $50,000 connection fee will be paid if LED elects to obtain effluent supply. The monthly fee to obtain up to 2.3 million gallons per day of effluent is $7,500. Agreements with the CSOB for wastewater discharge and effluent supply are currently being negotiated.</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For plant cooling purposes, LED will either pipe effluent from the CWPC treatment plant for further treatment on site or obtain industrial water from the Port. An option agreement to enter into an agreement to acquire industrial water from the Port was signed on July 19, 2001. A nonrefundable option payment of $20,000 will be made if the Port secures sufficient water supply through new water rights. An underlying agreement to acquire industrial water from the Port has been substantially negotiated and is an attachment to the option agreement. LED would pay $.54 per 100 cubic feet of water obtained.</w:t>
              <w:br/>
              <w:br/>
              <w:t xml:space="preserve">The discharged process wastewater from the proposed plant would be sent to the CWPC treatment plant’s outfall on the Columbia River.  LED’s wastewater will be monitored for compliance with its NPDES wastewater discharge permit prior to combining with effluent from the CWPC.  </w:t>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Ground Option / Lease</w:t>
            </w:r>
          </w:p>
        </w:tc>
        <w:tc>
          <w:tcPr>
            <w:tcW w:w="77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LED entered into an Option to Lease Agreement (“Lease Option”) with the Port on April 16, 2001.  A nonrefundable option premium of $20,000 was paid. The Lease Option identifies the 20-acre parcel of land that is the Project Site (“Primary Parcel”) and a 10-acre construction laydown area (“Laydown Parcel”).  The Lease Option allows the Port to carve out a 2-acre parcel of land from the Primary Parcel for construction of a transmission substation.  The 18-acre site would be large enough to accommodate LED and a future expansion.  The ground lease (“Ground Lease”) for both parcels was substantially negotiated prior to execution of the Lease Option.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The initial term of the Ground Lease is 30 years and grants the Lessee an option to extend the term an additional 10 years.  Rent for the Primary Parcel will be $750 per acre per month and $500 per acre per month for the Laydown Parcel. Both rents will be escalated annually by the percentage change in the Gross Domestic Product – Implicit Price Deflator Index published by the United States Department of Commerce, Bureau of Economic Analysis.</w:t>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Gas Interconnect</w:t>
            </w:r>
          </w:p>
        </w:tc>
        <w:tc>
          <w:tcPr>
            <w:tcW w:w="77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CNGC will construct an approximately one-mile long extension to its existing lateral off of Williams NWPL.  A special contract was negotiated with CNGC to provide transportation of 500,000 therms of gas per day.  The contract offers pricing outside of CNGC’s normal tariff rate structure and is currently under review by the Washington Utilities and Transportation Commission (“WUTC”).  CNGC has indicated that the WUTC has not identified any issues with the contract and approval is expected by August 2001.  </w:t>
              <w:br/>
              <w:br/>
              <w:t>The primary term of this agreement is 30 years, during which E-next or its permitted assignee will pay a monthly facilities charge of $40,000. E-next or its permitted assignee will also pay a variable commodity charge of $0.001 per therm to be escalated annually by the Consumer Price Index for All Urban Consumers – U.S. City Average – All Items, as reported in the U.S. Department of Labor, Bureau of Labor Statistics Report.  Gas will be delivered to the Site at a guaranteed minimum pressure of 350 psig.</w:t>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Electrical Interconnect</w:t>
            </w:r>
          </w:p>
        </w:tc>
        <w:tc>
          <w:tcPr>
            <w:tcW w:w="774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autoSpaceDE w:val="false"/>
              <w:rPr>
                <w:rFonts w:ascii="Arial" w:hAnsi="Arial" w:cs="Arial"/>
                <w:szCs w:val="24"/>
              </w:rPr>
            </w:pPr>
            <w:r>
              <w:rPr>
                <w:rFonts w:cs="Arial" w:ascii="Arial" w:hAnsi="Arial"/>
                <w:szCs w:val="24"/>
              </w:rPr>
              <w:t>LED is currently negotiating a Generation Interconnect Agreement and a Construction and Operation and Maintenance Agreement with the Bonneville Power Administration ("BPA"). The Construction and Operation and Maintenance Agreement will require LED to pay BPA for the actual costs of building, owning, and operating the Project's electrical interconnection to the BPA's Longview Substation. BPA's preliminary Interconnection Facilities Study provided a cost estimate of $8.8 million for the design and construction of these facilities. LED has executed a Facilities Study Agreement with BPA to prepare a detailed scope of work and cost estimate for the interconnection facilities.</w:t>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Firm Transmission</w:t>
            </w:r>
          </w:p>
        </w:tc>
        <w:tc>
          <w:tcPr>
            <w:tcW w:w="7740" w:type="dxa"/>
            <w:tcBorders>
              <w:top w:val="single" w:sz="4" w:space="0" w:color="000000"/>
              <w:start w:val="single" w:sz="4" w:space="0" w:color="000000"/>
              <w:bottom w:val="single" w:sz="4" w:space="0" w:color="000000"/>
              <w:end w:val="single" w:sz="4" w:space="0" w:color="000000"/>
            </w:tcBorders>
          </w:tcPr>
          <w:p>
            <w:pPr>
              <w:pStyle w:val="Normal"/>
              <w:autoSpaceDE w:val="false"/>
              <w:rPr>
                <w:rFonts w:ascii="Arial" w:hAnsi="Arial" w:cs="Arial"/>
                <w:sz w:val="20"/>
              </w:rPr>
            </w:pPr>
            <w:r>
              <w:rPr>
                <w:rFonts w:cs="Arial" w:ascii="Arial" w:hAnsi="Arial"/>
                <w:sz w:val="20"/>
              </w:rPr>
              <w:t>LED has applied to the BPA for firm point-to-point transmission. These applications are in the transmission request queue for 200 MW of firm point-to-point transmission from the Longview Substation to each of the following points: Mid-Columbia, Big Eddy, and John Day. An additional application is in the queue for 200 MW of firm transmission from Big Eddy to the Nevada-Oregon Border on the DC Intertie. BPA has issued a System Impact Study report based on these applications. LED has executed a Facilities Study Agreement with BPA to prepare a detailed scope of work and cost estimate for the necessary system upgrades. Due to the number of applications in the transmission queue, BPA does not expect to complete the Facilities Study and extend Transmission Service Agreements until Spring of 2002. Decisions to execute any or all of the Transmission Service Agreements, when extended, will be made by the ultimate purchaser of the facility to conform to the purchaser’s specific transmission requirements.</w:t>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EPC Option / Contract</w:t>
            </w:r>
          </w:p>
        </w:tc>
        <w:tc>
          <w:tcPr>
            <w:tcW w:w="77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LED has executed an option agreement to enter into an EPC contract with Modern Continental South. It is expected that the EPC contract will be fully negotiated by August 15, 2001. A full notice to proceed would be given by the purchaser upon sale of the project. </w:t>
            </w:r>
          </w:p>
        </w:tc>
      </w:tr>
      <w:tr>
        <w:trPr/>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Major Equipment</w:t>
            </w:r>
          </w:p>
        </w:tc>
        <w:tc>
          <w:tcPr>
            <w:tcW w:w="77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The GE gas turbine, Alstom steam turbine, Nooter / Eriksen HRSG, and ABB step up transformer to be purchased by E-next are in final contract negotiations. Delivery dates of the equipment support an August 1, 2003 commercial operations date. </w:t>
            </w:r>
          </w:p>
        </w:tc>
      </w:tr>
    </w:tbl>
    <w:p>
      <w:pPr>
        <w:pStyle w:val="Normal"/>
        <w:rPr>
          <w:rFonts w:ascii="Arial" w:hAnsi="Arial" w:cs="Arial"/>
          <w:bCs/>
          <w:sz w:val="20"/>
        </w:rPr>
      </w:pPr>
      <w:r>
        <w:rPr>
          <w:rFonts w:cs="Arial" w:ascii="Arial" w:hAnsi="Arial"/>
          <w:bCs/>
          <w:sz w:val="20"/>
        </w:rPr>
      </w:r>
    </w:p>
    <w:p>
      <w:pPr>
        <w:pStyle w:val="Normal"/>
        <w:rPr>
          <w:rFonts w:ascii="Arial" w:hAnsi="Arial" w:cs="Arial"/>
          <w:bCs/>
          <w:sz w:val="20"/>
        </w:rPr>
      </w:pPr>
      <w:r>
        <w:rPr>
          <w:rFonts w:cs="Arial" w:ascii="Arial" w:hAnsi="Arial"/>
          <w:bCs/>
          <w:sz w:val="20"/>
        </w:rPr>
      </w:r>
    </w:p>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8</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Deal Name: DASH Longview 072701.doc</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i w:val="false"/>
        <w:b w:val="fals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b w:val="false"/>
      <w:i w:val="false"/>
    </w:rPr>
  </w:style>
  <w:style w:type="character" w:styleId="WW8Num3z0">
    <w:name w:val="WW8Num3z0"/>
    <w:qFormat/>
    <w:rPr>
      <w:b w:val="false"/>
      <w:i w:val="false"/>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b w:val="false"/>
      <w:i w:val="false"/>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rFonts w:ascii="Arial" w:hAnsi="Arial" w:cs="Arial"/>
      <w:bC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pBdr>
        <w:top w:val="single" w:sz="8" w:space="1" w:color="000000"/>
      </w:pBdr>
    </w:pPr>
    <w:rPr>
      <w:rFonts w:ascii="Arial" w:hAnsi="Arial" w:cs="Arial"/>
      <w:bCs/>
      <w:sz w:val="20"/>
    </w:rPr>
  </w:style>
  <w:style w:type="paragraph" w:styleId="BodyText3">
    <w:name w:val="Body Text 3"/>
    <w:basedOn w:val="Normal"/>
    <w:qFormat/>
    <w:pPr>
      <w:pBdr>
        <w:bottom w:val="single" w:sz="8" w:space="1" w:color="000000"/>
      </w:pBdr>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2001-07-27T19:54:00Z</dcterms:created>
  <dc:creator>kjolly</dc:creator>
  <dc:description>V3.3
Updated to add filename to headers
</dc:description>
  <dc:language>en-CA</dc:language>
  <cp:lastModifiedBy>cschneid</cp:lastModifiedBy>
  <cp:lastPrinted>2001-07-26T18:48:00Z</cp:lastPrinted>
  <dcterms:modified xsi:type="dcterms:W3CDTF">2001-07-27T19:54:00Z</dcterms:modified>
  <cp:revision>2</cp:revision>
  <dc:subject/>
  <dc:title>ENRON RISK ASSESSMENT AND CONTROL</dc:title>
</cp:coreProperties>
</file>