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6"/>
        <w:ind w:hanging="0" w:start="0"/>
        <w:rPr>
          <w:sz w:val="32"/>
        </w:rPr>
      </w:pPr>
      <w:r>
        <w:rPr/>
        <w:t>DEAL APPROVAL SHEET</w:t>
      </w:r>
    </w:p>
    <w:p>
      <w:pPr>
        <w:pStyle w:val="Normal"/>
        <w:rPr>
          <w:sz w:val="32"/>
        </w:rPr>
      </w:pPr>
      <w:r>
        <w:rPr>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Acta Technologies</w:t>
            </w:r>
          </w:p>
          <w:p>
            <w:pPr>
              <w:pStyle w:val="Normal"/>
              <w:ind w:end="792"/>
              <w:rPr/>
            </w:pPr>
            <w:r>
              <w:rPr/>
              <w:t>Counterparty:  Acta Technologies, Inc.</w:t>
            </w:r>
          </w:p>
          <w:p>
            <w:pPr>
              <w:pStyle w:val="Normal"/>
              <w:rPr/>
            </w:pPr>
            <w:r>
              <w:rPr/>
              <w:t>Business Unit:  Enron Net Works Ventures</w:t>
            </w:r>
          </w:p>
          <w:p>
            <w:pPr>
              <w:pStyle w:val="Normal"/>
              <w:rPr/>
            </w:pPr>
            <w:r>
              <w:rPr/>
              <w:t>Business Unit Originator:  Stephen Horn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August 2, 2000</w:t>
            </w:r>
          </w:p>
          <w:p>
            <w:pPr>
              <w:pStyle w:val="Normal"/>
              <w:ind w:firstLine="90" w:start="-198" w:end="-1095"/>
              <w:rPr/>
            </w:pPr>
            <w:r>
              <w:rPr/>
              <w:t>RAC Analyst:  David Gorte</w:t>
            </w:r>
          </w:p>
          <w:p>
            <w:pPr>
              <w:pStyle w:val="Normal"/>
              <w:ind w:firstLine="90" w:start="-198" w:end="-738"/>
              <w:rPr/>
            </w:pPr>
            <w:r>
              <w:rPr/>
              <w:t>Investment Type:  Equity</w:t>
            </w:r>
          </w:p>
          <w:p>
            <w:pPr>
              <w:pStyle w:val="Normal"/>
              <w:ind w:firstLine="90" w:start="-198" w:end="-738"/>
              <w:rPr/>
            </w:pPr>
            <w:r>
              <w:rPr/>
              <w:t xml:space="preserve">Capital Funding Source(s):  Balance Sheet  </w:t>
            </w:r>
          </w:p>
          <w:p>
            <w:pPr>
              <w:pStyle w:val="Normal"/>
              <w:ind w:firstLine="90" w:start="-198" w:end="-738"/>
              <w:rPr/>
            </w:pPr>
            <w:r>
              <w:rPr/>
              <w:t>Expected Closing Date:  August 4, 2000</w:t>
            </w:r>
          </w:p>
          <w:p>
            <w:pPr>
              <w:pStyle w:val="Normal"/>
              <w:ind w:firstLine="90" w:start="-198" w:end="-738"/>
              <w:rPr/>
            </w:pPr>
            <w:r>
              <w:rPr/>
              <w:t>Expected Funding Date:  August 4,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firstLine="360" w:end="-306"/>
        <w:rPr/>
      </w:pPr>
      <w:r>
        <w:rPr/>
        <w:t>Capital Commitment</w:t>
        <w:tab/>
        <w:tab/>
        <w:t>$ 1,999,999.80</w:t>
      </w:r>
    </w:p>
    <w:p>
      <w:pPr>
        <w:pStyle w:val="Normal"/>
        <w:rPr/>
      </w:pPr>
      <w:r>
        <w:rPr/>
      </w:r>
    </w:p>
    <w:p>
      <w:pPr>
        <w:pStyle w:val="Heading2"/>
        <w:widowControl/>
        <w:pBdr>
          <w:top w:val="single" w:sz="8" w:space="1" w:color="000000"/>
        </w:pBdr>
        <w:ind w:hanging="0" w:start="0" w:end="-36"/>
        <w:rPr>
          <w:i w:val="false"/>
          <w:i w:val="false"/>
        </w:rPr>
      </w:pPr>
      <w:r>
        <w:rPr>
          <w:i w:val="false"/>
        </w:rPr>
        <w:t>DEAL DESCRIPTION</w:t>
      </w:r>
    </w:p>
    <w:p>
      <w:pPr>
        <w:pStyle w:val="Normal"/>
        <w:jc w:val="both"/>
        <w:rPr/>
      </w:pPr>
      <w:r>
        <w:rPr/>
        <w:t xml:space="preserve">Enron proposes to make a minority equity investment of $2 million for 1.06% of the equity (fully diluted) of Acta Technologies, Inc. (“Acta”). Acta is a private company building e-commerce extraction, transformation, and loading (ETL), analytics, and transactional caching software.  Enron uses Acta’s software on three projects and the SAP implementation is likely to increase Enron’s use of Acta’s products. </w:t>
      </w:r>
    </w:p>
    <w:p>
      <w:pPr>
        <w:pStyle w:val="Normal"/>
        <w:jc w:val="both"/>
        <w:rPr/>
      </w:pPr>
      <w:r>
        <w:rPr/>
      </w:r>
    </w:p>
    <w:p>
      <w:pPr>
        <w:pStyle w:val="Normal"/>
        <w:ind w:end="-36"/>
        <w:jc w:val="both"/>
        <w:rPr/>
      </w:pPr>
      <w:r>
        <w:rPr/>
        <w:t>Acta, founded in 1997, expects 2000 revenues of $17.8MM, and had 1998 and 1999 revenues of  $3.5MM and $11.3MM, respectively. Carol Mills Baldwin, CEO, was the GM of the Enterprise Systems Division of Hewlett-Packard Co. Andre Simone, CFO, was SVP and CFO of ADAC Laboratories.  Chuck Altomare, VP-Engineering, was VP of R&amp;D at in the TransAct Business Group of Informix Corporation. Alex Gorelik, CTO and founder of Acta, was a Systems Architect in the Distributed Products Group at Sybase Inc. Sachin Chawla, VP-Applied Solutions, has held positions at Sybase, Inc. and at Metaphor Computer.</w:t>
      </w:r>
    </w:p>
    <w:p>
      <w:pPr>
        <w:pStyle w:val="Normal"/>
        <w:jc w:val="both"/>
        <w:rPr/>
      </w:pPr>
      <w:r>
        <w:rPr/>
      </w:r>
    </w:p>
    <w:p>
      <w:pPr>
        <w:pStyle w:val="Normal"/>
        <w:jc w:val="both"/>
        <w:rPr/>
      </w:pPr>
      <w:r>
        <w:rPr/>
        <w:t xml:space="preserve">Acta’s original product allowed advanced analysis of data kept in SAP systems. Their new product, eCache fills a need faced by ‘click-and-mortar’ entrants. Companies seeking to present data from legacy systems on the internet are currently limited by a lack of rapid access to that data. Acta’s software maintains an intermediary database that can be rapidly queried and updated by online tools and ensures data consistency between this intermediary and the company’s legacy systems. Enron will very likely need this functionality for their back-office e-commerce applications. </w:t>
      </w:r>
    </w:p>
    <w:p>
      <w:pPr>
        <w:pStyle w:val="Normal"/>
        <w:jc w:val="both"/>
        <w:rPr/>
      </w:pPr>
      <w:r>
        <w:rPr/>
      </w:r>
    </w:p>
    <w:p>
      <w:pPr>
        <w:pStyle w:val="Normal"/>
        <w:jc w:val="both"/>
        <w:rPr/>
      </w:pPr>
      <w:r>
        <w:rPr/>
        <w:t>Acta is first to market with an attractive solution in the growing B2B community integration space. They have positive reviews on their data caching products from Enron’s John Norden and others within the organization. They also have a strong base in their original application: their existing ETL tool has been sold to 140 companies including Shell, Xerox, Lockheed Martin, and Enron. They have strong VC sponsorship and a strong management team. Acta’s anticipated returns are 3-5x within an anticipated 15-month holding period. Higher valuations are possible for Acta if they become a key B2Bi technology. Acta’s downside is limited because the company has proven products; they would be a logical acquisition target for several competitors.</w:t>
      </w:r>
    </w:p>
    <w:p>
      <w:pPr>
        <w:pStyle w:val="Normal"/>
        <w:rPr/>
      </w:pPr>
      <w:r>
        <w:rPr/>
      </w:r>
    </w:p>
    <w:p>
      <w:pPr>
        <w:pStyle w:val="Heading2"/>
        <w:widowControl/>
        <w:pBdr>
          <w:top w:val="single" w:sz="8" w:space="1" w:color="000000"/>
        </w:pBdr>
        <w:ind w:hanging="0" w:start="0" w:end="-36"/>
        <w:rPr/>
      </w:pPr>
      <w:r>
        <w:rPr/>
        <w:t>TRANSACTION SOURCES AND USES OF FUNDS</w:t>
      </w:r>
    </w:p>
    <w:tbl>
      <w:tblPr>
        <w:tblW w:w="9360" w:type="dxa"/>
        <w:jc w:val="start"/>
        <w:tblInd w:w="378" w:type="dxa"/>
        <w:tblLayout w:type="fixed"/>
        <w:tblCellMar>
          <w:top w:w="0" w:type="dxa"/>
          <w:start w:w="108" w:type="dxa"/>
          <w:bottom w:w="0" w:type="dxa"/>
          <w:end w:w="108" w:type="dxa"/>
        </w:tblCellMar>
      </w:tblPr>
      <w:tblGrid>
        <w:gridCol w:w="3420"/>
        <w:gridCol w:w="1260"/>
        <w:gridCol w:w="540"/>
        <w:gridCol w:w="2790"/>
        <w:gridCol w:w="1350"/>
      </w:tblGrid>
      <w:tr>
        <w:trPr/>
        <w:tc>
          <w:tcPr>
            <w:tcW w:w="342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54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350" w:type="dxa"/>
            <w:tcBorders/>
          </w:tcPr>
          <w:p>
            <w:pPr>
              <w:pStyle w:val="Normal"/>
              <w:jc w:val="end"/>
              <w:rPr>
                <w:u w:val="single"/>
              </w:rPr>
            </w:pPr>
            <w:r>
              <w:rPr>
                <w:u w:val="single"/>
              </w:rPr>
              <w:t>Uses</w:t>
            </w:r>
          </w:p>
        </w:tc>
      </w:tr>
      <w:tr>
        <w:trPr/>
        <w:tc>
          <w:tcPr>
            <w:tcW w:w="3420" w:type="dxa"/>
            <w:tcBorders/>
          </w:tcPr>
          <w:p>
            <w:pPr>
              <w:pStyle w:val="Header"/>
              <w:widowControl/>
              <w:tabs>
                <w:tab w:val="clear" w:pos="4320"/>
                <w:tab w:val="clear" w:pos="8640"/>
              </w:tabs>
              <w:ind w:hanging="162" w:start="162" w:end="0"/>
              <w:rPr/>
            </w:pPr>
            <w:r>
              <w:rPr>
                <w:i/>
              </w:rPr>
              <w:t>Previous Investors</w:t>
            </w:r>
            <w:r>
              <w:rPr/>
              <w:t xml:space="preserve">*:  Greylock, USVentures, Comdisco, Van Wagoner, </w:t>
            </w:r>
          </w:p>
        </w:tc>
        <w:tc>
          <w:tcPr>
            <w:tcW w:w="1260" w:type="dxa"/>
            <w:tcBorders/>
          </w:tcPr>
          <w:p>
            <w:pPr>
              <w:pStyle w:val="Normal"/>
              <w:jc w:val="end"/>
              <w:rPr/>
            </w:pPr>
            <w:r>
              <w:rPr/>
              <w:t>$19,465,940</w:t>
            </w:r>
          </w:p>
        </w:tc>
        <w:tc>
          <w:tcPr>
            <w:tcW w:w="540" w:type="dxa"/>
            <w:tcBorders/>
          </w:tcPr>
          <w:p>
            <w:pPr>
              <w:pStyle w:val="Normal"/>
              <w:snapToGrid w:val="false"/>
              <w:jc w:val="end"/>
              <w:rPr/>
            </w:pPr>
            <w:r>
              <w:rPr/>
            </w:r>
          </w:p>
        </w:tc>
        <w:tc>
          <w:tcPr>
            <w:tcW w:w="2790" w:type="dxa"/>
            <w:tcBorders/>
          </w:tcPr>
          <w:p>
            <w:pPr>
              <w:pStyle w:val="Normal"/>
              <w:snapToGrid w:val="false"/>
              <w:jc w:val="end"/>
              <w:rPr/>
            </w:pPr>
            <w:r>
              <w:rPr/>
            </w:r>
          </w:p>
        </w:tc>
        <w:tc>
          <w:tcPr>
            <w:tcW w:w="1350" w:type="dxa"/>
            <w:tcBorders/>
          </w:tcPr>
          <w:p>
            <w:pPr>
              <w:pStyle w:val="Normal"/>
              <w:snapToGrid w:val="false"/>
              <w:jc w:val="end"/>
              <w:rPr/>
            </w:pPr>
            <w:r>
              <w:rPr/>
            </w:r>
          </w:p>
        </w:tc>
      </w:tr>
      <w:tr>
        <w:trPr/>
        <w:tc>
          <w:tcPr>
            <w:tcW w:w="3420" w:type="dxa"/>
            <w:tcBorders/>
          </w:tcPr>
          <w:p>
            <w:pPr>
              <w:pStyle w:val="Header"/>
              <w:widowControl/>
              <w:tabs>
                <w:tab w:val="clear" w:pos="4320"/>
                <w:tab w:val="clear" w:pos="8640"/>
              </w:tabs>
              <w:rPr/>
            </w:pPr>
            <w:r>
              <w:rPr>
                <w:i/>
              </w:rPr>
              <w:t>New Investors:</w:t>
            </w:r>
            <w:r>
              <w:rPr/>
              <w:t xml:space="preserve"> Charter Ventures, Robertson Co-Investment</w:t>
            </w:r>
          </w:p>
        </w:tc>
        <w:tc>
          <w:tcPr>
            <w:tcW w:w="1260" w:type="dxa"/>
            <w:tcBorders/>
          </w:tcPr>
          <w:p>
            <w:pPr>
              <w:pStyle w:val="Normal"/>
              <w:jc w:val="end"/>
              <w:rPr/>
            </w:pPr>
            <w:r>
              <w:rPr/>
              <w:t>$12,500,000</w:t>
            </w:r>
          </w:p>
        </w:tc>
        <w:tc>
          <w:tcPr>
            <w:tcW w:w="540" w:type="dxa"/>
            <w:tcBorders/>
          </w:tcPr>
          <w:p>
            <w:pPr>
              <w:pStyle w:val="Normal"/>
              <w:snapToGrid w:val="false"/>
              <w:jc w:val="end"/>
              <w:rPr/>
            </w:pPr>
            <w:r>
              <w:rPr/>
            </w:r>
          </w:p>
        </w:tc>
        <w:tc>
          <w:tcPr>
            <w:tcW w:w="2790" w:type="dxa"/>
            <w:tcBorders/>
          </w:tcPr>
          <w:p>
            <w:pPr>
              <w:pStyle w:val="Normal"/>
              <w:snapToGrid w:val="false"/>
              <w:jc w:val="end"/>
              <w:rPr/>
            </w:pPr>
            <w:r>
              <w:rPr/>
            </w:r>
          </w:p>
        </w:tc>
        <w:tc>
          <w:tcPr>
            <w:tcW w:w="1350" w:type="dxa"/>
            <w:tcBorders/>
          </w:tcPr>
          <w:p>
            <w:pPr>
              <w:pStyle w:val="Normal"/>
              <w:snapToGrid w:val="false"/>
              <w:jc w:val="end"/>
              <w:rPr/>
            </w:pPr>
            <w:r>
              <w:rPr/>
            </w:r>
          </w:p>
        </w:tc>
      </w:tr>
      <w:tr>
        <w:trPr/>
        <w:tc>
          <w:tcPr>
            <w:tcW w:w="3420" w:type="dxa"/>
            <w:tcBorders/>
          </w:tcPr>
          <w:p>
            <w:pPr>
              <w:pStyle w:val="Header"/>
              <w:widowControl/>
              <w:tabs>
                <w:tab w:val="clear" w:pos="4320"/>
                <w:tab w:val="clear" w:pos="8640"/>
              </w:tabs>
              <w:rPr/>
            </w:pPr>
            <w:r>
              <w:rPr>
                <w:i/>
              </w:rPr>
              <w:t>Other Investors</w:t>
            </w:r>
            <w:r>
              <w:rPr/>
              <w:t xml:space="preserve"> </w:t>
            </w:r>
          </w:p>
        </w:tc>
        <w:tc>
          <w:tcPr>
            <w:tcW w:w="1260" w:type="dxa"/>
            <w:tcBorders/>
          </w:tcPr>
          <w:p>
            <w:pPr>
              <w:pStyle w:val="Normal"/>
              <w:jc w:val="end"/>
              <w:rPr/>
            </w:pPr>
            <w:r>
              <w:rPr/>
              <w:t>$3,975,000</w:t>
            </w:r>
          </w:p>
        </w:tc>
        <w:tc>
          <w:tcPr>
            <w:tcW w:w="540" w:type="dxa"/>
            <w:tcBorders/>
          </w:tcPr>
          <w:p>
            <w:pPr>
              <w:pStyle w:val="Normal"/>
              <w:snapToGrid w:val="false"/>
              <w:jc w:val="end"/>
              <w:rPr/>
            </w:pPr>
            <w:r>
              <w:rPr/>
            </w:r>
          </w:p>
        </w:tc>
        <w:tc>
          <w:tcPr>
            <w:tcW w:w="2790" w:type="dxa"/>
            <w:tcBorders/>
          </w:tcPr>
          <w:p>
            <w:pPr>
              <w:pStyle w:val="Normal"/>
              <w:snapToGrid w:val="false"/>
              <w:jc w:val="end"/>
              <w:rPr/>
            </w:pPr>
            <w:r>
              <w:rPr/>
            </w:r>
          </w:p>
        </w:tc>
        <w:tc>
          <w:tcPr>
            <w:tcW w:w="1350" w:type="dxa"/>
            <w:tcBorders/>
          </w:tcPr>
          <w:p>
            <w:pPr>
              <w:pStyle w:val="Normal"/>
              <w:snapToGrid w:val="false"/>
              <w:jc w:val="end"/>
              <w:rPr/>
            </w:pPr>
            <w:r>
              <w:rPr/>
            </w:r>
          </w:p>
        </w:tc>
      </w:tr>
      <w:tr>
        <w:trPr/>
        <w:tc>
          <w:tcPr>
            <w:tcW w:w="3420" w:type="dxa"/>
            <w:tcBorders/>
          </w:tcPr>
          <w:p>
            <w:pPr>
              <w:pStyle w:val="Header"/>
              <w:widowControl/>
              <w:tabs>
                <w:tab w:val="clear" w:pos="4320"/>
                <w:tab w:val="clear" w:pos="8640"/>
              </w:tabs>
              <w:rPr/>
            </w:pPr>
            <w:r>
              <w:rPr/>
              <w:t>Enron Equity</w:t>
            </w:r>
          </w:p>
        </w:tc>
        <w:tc>
          <w:tcPr>
            <w:tcW w:w="1260" w:type="dxa"/>
            <w:tcBorders/>
          </w:tcPr>
          <w:p>
            <w:pPr>
              <w:pStyle w:val="Normal"/>
              <w:jc w:val="end"/>
              <w:rPr/>
            </w:pPr>
            <w:r>
              <w:rPr/>
              <w:t>$2,000,000</w:t>
            </w:r>
          </w:p>
        </w:tc>
        <w:tc>
          <w:tcPr>
            <w:tcW w:w="540" w:type="dxa"/>
            <w:tcBorders/>
          </w:tcPr>
          <w:p>
            <w:pPr>
              <w:pStyle w:val="Normal"/>
              <w:snapToGrid w:val="false"/>
              <w:jc w:val="end"/>
              <w:rPr/>
            </w:pPr>
            <w:r>
              <w:rPr/>
            </w:r>
          </w:p>
        </w:tc>
        <w:tc>
          <w:tcPr>
            <w:tcW w:w="2790" w:type="dxa"/>
            <w:tcBorders/>
          </w:tcPr>
          <w:p>
            <w:pPr>
              <w:pStyle w:val="Normal"/>
              <w:jc w:val="end"/>
              <w:rPr/>
            </w:pPr>
            <w:r>
              <w:rPr/>
              <w:t>General Corporate Purposes</w:t>
            </w:r>
          </w:p>
        </w:tc>
        <w:tc>
          <w:tcPr>
            <w:tcW w:w="1350" w:type="dxa"/>
            <w:tcBorders/>
          </w:tcPr>
          <w:p>
            <w:pPr>
              <w:pStyle w:val="Normal"/>
              <w:jc w:val="end"/>
              <w:rPr/>
            </w:pPr>
            <w:r>
              <w:rPr/>
              <w:t>$37,940,940</w:t>
            </w:r>
          </w:p>
        </w:tc>
      </w:tr>
      <w:tr>
        <w:trPr/>
        <w:tc>
          <w:tcPr>
            <w:tcW w:w="3420" w:type="dxa"/>
            <w:tcBorders/>
          </w:tcPr>
          <w:p>
            <w:pPr>
              <w:pStyle w:val="Normal"/>
              <w:rPr/>
            </w:pPr>
            <w:r>
              <w:rPr/>
              <w:t>Total</w:t>
            </w:r>
          </w:p>
        </w:tc>
        <w:tc>
          <w:tcPr>
            <w:tcW w:w="1260" w:type="dxa"/>
            <w:tcBorders>
              <w:top w:val="single" w:sz="6" w:space="0" w:color="000000"/>
            </w:tcBorders>
          </w:tcPr>
          <w:p>
            <w:pPr>
              <w:pStyle w:val="Normal"/>
              <w:jc w:val="end"/>
              <w:rPr/>
            </w:pPr>
            <w:r>
              <w:rPr/>
              <w:t>$37,940,940</w:t>
            </w:r>
          </w:p>
        </w:tc>
        <w:tc>
          <w:tcPr>
            <w:tcW w:w="540" w:type="dxa"/>
            <w:tcBorders/>
          </w:tcPr>
          <w:p>
            <w:pPr>
              <w:pStyle w:val="Normal"/>
              <w:snapToGrid w:val="false"/>
              <w:jc w:val="end"/>
              <w:rPr/>
            </w:pPr>
            <w:r>
              <w:rPr/>
            </w:r>
          </w:p>
        </w:tc>
        <w:tc>
          <w:tcPr>
            <w:tcW w:w="2790" w:type="dxa"/>
            <w:tcBorders/>
          </w:tcPr>
          <w:p>
            <w:pPr>
              <w:pStyle w:val="Normal"/>
              <w:jc w:val="end"/>
              <w:rPr/>
            </w:pPr>
            <w:r>
              <w:rPr/>
              <w:t>Total</w:t>
            </w:r>
          </w:p>
        </w:tc>
        <w:tc>
          <w:tcPr>
            <w:tcW w:w="1350" w:type="dxa"/>
            <w:tcBorders>
              <w:top w:val="single" w:sz="6" w:space="0" w:color="000000"/>
            </w:tcBorders>
          </w:tcPr>
          <w:p>
            <w:pPr>
              <w:pStyle w:val="Normal"/>
              <w:jc w:val="end"/>
              <w:rPr/>
            </w:pPr>
            <w:r>
              <w:rPr/>
              <w:t>$37,940,940</w:t>
            </w:r>
          </w:p>
        </w:tc>
      </w:tr>
    </w:tbl>
    <w:p>
      <w:pPr>
        <w:pStyle w:val="Normal"/>
        <w:rPr/>
      </w:pPr>
      <w:r>
        <w:rPr/>
        <w:t>* Lead investors in Series D Preferred round of finance</w:t>
      </w:r>
    </w:p>
    <w:p>
      <w:pPr>
        <w:pStyle w:val="Heading2"/>
        <w:ind w:hanging="0" w:start="0"/>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p>
      <w:pPr>
        <w:pStyle w:val="Normal"/>
        <w:rPr/>
      </w:pPr>
      <w:r>
        <w:rPr/>
        <w:t xml:space="preserve">Market returns are supported by a strong cast of players investing alongside Enron in the Series D Preferred round of finance.  The round is being led by a group of Series C investors: Greylock, USVentures, Comdisco, and Van Wagoner. </w:t>
      </w:r>
    </w:p>
    <w:p>
      <w:pPr>
        <w:pStyle w:val="Normal"/>
        <w:rPr/>
      </w:pPr>
      <w:r>
        <w:rPr/>
        <w:t>Acta is expected to go public in the first quarter of 2001. Management, Underwriters, and Enron anticipate a value of at least $600+ MM based on current projections; the company should trade above this after the IPO.  At $600 MM our ownership of 1.06% would be worth $6.38 MM representing a 3.2X return.  Enron’s shares will have a 180-day underwriter lock-up after the IPO and be restricted stock for 1 year.</w:t>
      </w:r>
      <w:r>
        <w:br w:type="page"/>
      </w:r>
    </w:p>
    <w:p>
      <w:pPr>
        <w:pStyle w:val="Normal"/>
        <w:rPr/>
      </w:pPr>
      <w:r>
        <w:rPr/>
      </w:r>
    </w:p>
    <w:p>
      <w:pPr>
        <w:pStyle w:val="Heading1"/>
        <w:pBdr>
          <w:top w:val="single" w:sz="8" w:space="1" w:color="000000"/>
        </w:pBdr>
        <w:ind w:hanging="0" w:start="0" w:end="-36"/>
        <w:rPr/>
      </w:pPr>
      <w:r>
        <w:rPr/>
        <w:t>CASH FLOW SUMMARY</w:t>
      </w:r>
    </w:p>
    <w:p>
      <w:pPr>
        <w:pStyle w:val="Normal"/>
        <w:rPr/>
      </w:pPr>
      <w:r>
        <w:rPr/>
        <w:t>No distributions or other cash flows are expected until exit.</w: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numPr>
          <w:ilvl w:val="0"/>
          <w:numId w:val="10"/>
        </w:numPr>
        <w:ind w:hanging="360" w:start="360" w:end="-36"/>
        <w:rPr/>
      </w:pPr>
      <w:r>
        <w:rPr/>
        <w:t>Enron may be able to work with Acta on e-caching applications for Enron’s businesses.</w:t>
      </w:r>
    </w:p>
    <w:p>
      <w:pPr>
        <w:pStyle w:val="Normal"/>
        <w:numPr>
          <w:ilvl w:val="0"/>
          <w:numId w:val="10"/>
        </w:numPr>
        <w:ind w:hanging="360" w:start="360" w:end="-36"/>
        <w:rPr/>
      </w:pPr>
      <w:r>
        <w:rPr/>
        <w:t>Increase Enron’s presence in transaction-oriented software technologies.</w:t>
      </w:r>
    </w:p>
    <w:p>
      <w:pPr>
        <w:pStyle w:val="Normal"/>
        <w:numPr>
          <w:ilvl w:val="0"/>
          <w:numId w:val="10"/>
        </w:numPr>
        <w:ind w:hanging="360" w:start="360" w:end="-36"/>
        <w:rPr/>
      </w:pPr>
      <w:r>
        <w:rPr/>
        <w:t>Increase Enron’s visibility in the e-commerce business by participating in transactions with high quality partners.</w:t>
      </w:r>
    </w:p>
    <w:p>
      <w:pPr>
        <w:pStyle w:val="Normal"/>
        <w:ind w:end="-36"/>
        <w:rPr/>
      </w:pPr>
      <w:r>
        <w:rPr/>
      </w:r>
    </w:p>
    <w:p>
      <w:pPr>
        <w:pStyle w:val="Heading2"/>
        <w:widowControl/>
        <w:pBdr>
          <w:top w:val="single" w:sz="8" w:space="1" w:color="000000"/>
        </w:pBdr>
        <w:ind w:hanging="0" w:start="0" w:end="-36"/>
        <w:rPr>
          <w:i w:val="false"/>
          <w:i w:val="false"/>
        </w:rPr>
      </w:pPr>
      <w:r>
        <w:rPr>
          <w:i w:val="false"/>
        </w:rPr>
        <w:t xml:space="preserve">EXIT STRATEGY </w:t>
      </w:r>
    </w:p>
    <w:p>
      <w:pPr>
        <w:pStyle w:val="Normal"/>
        <w:rPr/>
      </w:pPr>
      <w:r>
        <w:rPr/>
        <w:t>The S-1 is expected to be filed in Q1 2001. Enron’s shares will have a 180-day underwriter lock-up after the IPO and be restricted stock for 1 year.  When the shares are freely tradable, Enron’s position (278,940 shares, 1.06% ownership) can be liquidated in a very short timeframe.</w:t>
      </w:r>
    </w:p>
    <w:p>
      <w:pPr>
        <w:pStyle w:val="Normal"/>
        <w:widowControl w:val="false"/>
        <w:rPr>
          <w:i/>
          <w:i/>
        </w:rPr>
      </w:pPr>
      <w:r>
        <w:rPr>
          <w:i/>
        </w:rPr>
      </w:r>
    </w:p>
    <w:p>
      <w:pPr>
        <w:pStyle w:val="Normal"/>
        <w:widowControl w:val="false"/>
        <w:rPr>
          <w:b/>
        </w:rPr>
      </w:pPr>
      <w:r>
        <w:rPr>
          <w:b/>
        </w:rPr>
        <w:t>RISK MATRIX (Maximum 5)</w:t>
      </w:r>
    </w:p>
    <w:p>
      <w:pPr>
        <w:pStyle w:val="Header"/>
        <w:keepLines/>
        <w:tabs>
          <w:tab w:val="clear" w:pos="4320"/>
          <w:tab w:val="clear" w:pos="8640"/>
        </w:tabs>
        <w:rPr>
          <w:b/>
        </w:rPr>
      </w:pPr>
      <w:r>
        <w:rPr>
          <w:b/>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Heading8"/>
              <w:keepLines/>
              <w:ind w:hanging="0" w:start="0"/>
              <w:rPr/>
            </w:pPr>
            <w:r>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Heading8"/>
              <w:keepLines/>
              <w:ind w:hanging="0" w:start="0"/>
              <w:rPr/>
            </w:pPr>
            <w:r>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keepLines/>
              <w:widowControl w:val="false"/>
              <w:rPr/>
            </w:pPr>
            <w:r>
              <w:rPr/>
              <w:t>Market Acceptance</w:t>
            </w:r>
          </w:p>
        </w:tc>
        <w:tc>
          <w:tcPr>
            <w:tcW w:w="5670" w:type="dxa"/>
            <w:tcBorders>
              <w:top w:val="single" w:sz="6" w:space="0" w:color="000000"/>
              <w:start w:val="single" w:sz="6" w:space="0" w:color="000000"/>
              <w:bottom w:val="single" w:sz="6" w:space="0" w:color="000000"/>
              <w:end w:val="single" w:sz="6" w:space="0" w:color="000000"/>
            </w:tcBorders>
          </w:tcPr>
          <w:p>
            <w:pPr>
              <w:pStyle w:val="Normal"/>
              <w:keepLines/>
              <w:widowControl w:val="false"/>
              <w:jc w:val="both"/>
              <w:rPr/>
            </w:pPr>
            <w:r>
              <w:rPr/>
              <w:t xml:space="preserve">The marketplace may not see a need for data analysis and caching within e-commerce applications. If the market exists, it may be smaller than anticipated. </w:t>
            </w:r>
          </w:p>
          <w:p>
            <w:pPr>
              <w:pStyle w:val="Normal"/>
              <w:keepLines/>
              <w:widowControl w:val="false"/>
              <w:jc w:val="both"/>
              <w:rPr/>
            </w:pPr>
            <w:r>
              <w:rPr/>
            </w:r>
          </w:p>
          <w:p>
            <w:pPr>
              <w:pStyle w:val="Normal"/>
              <w:keepLines/>
              <w:widowControl w:val="false"/>
              <w:jc w:val="both"/>
              <w:rPr/>
            </w:pPr>
            <w:r>
              <w:rPr/>
              <w:t>However, experts feel there is an increasing need in the marketplace for these tools. Rapid access to legacy systems data will be a critical component of the e-commerce strategies of nearly every player in the e-commerce space. The passage of time and the introduction of new systems inexorably creates ‘legacy’ systems.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keepLines/>
              <w:widowControl w:val="false"/>
              <w:rPr/>
            </w:pPr>
            <w:r>
              <w:rPr/>
              <w:t>Competition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Lines/>
              <w:widowControl w:val="false"/>
              <w:jc w:val="both"/>
              <w:rPr/>
            </w:pPr>
            <w:r>
              <w:rPr/>
              <w:t xml:space="preserve">If the market exists, it may not exist for Acta. Acta’s major competition is from Informatica, SAP, and other players in the transaction-enabling &amp; data analytics space.  </w:t>
            </w:r>
          </w:p>
          <w:p>
            <w:pPr>
              <w:pStyle w:val="Normal"/>
              <w:keepLines/>
              <w:widowControl w:val="false"/>
              <w:jc w:val="both"/>
              <w:rPr/>
            </w:pPr>
            <w:r>
              <w:rPr/>
            </w:r>
          </w:p>
          <w:p>
            <w:pPr>
              <w:pStyle w:val="Normal"/>
              <w:keepLines/>
              <w:widowControl w:val="false"/>
              <w:jc w:val="both"/>
              <w:rPr/>
            </w:pPr>
            <w:r>
              <w:rPr/>
              <w:t>Informatica does not offer the real-time enablement inherent in Acta’s eCache technology, and SAP is not expected to provide robust connectivity beyond their own platform.</w:t>
            </w:r>
          </w:p>
        </w:tc>
      </w:tr>
    </w:tbl>
    <w:p>
      <w:pPr>
        <w:pStyle w:val="Normal"/>
        <w:rPr/>
      </w:pPr>
      <w:r>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Lines/>
              <w:widowControl w:val="false"/>
              <w:rPr/>
            </w:pPr>
            <w:r>
              <w:rPr/>
              <w:t>IPO Risk</w:t>
            </w:r>
          </w:p>
        </w:tc>
        <w:tc>
          <w:tcPr>
            <w:tcW w:w="5670" w:type="dxa"/>
            <w:tcBorders>
              <w:top w:val="single" w:sz="6" w:space="0" w:color="000000"/>
              <w:start w:val="single" w:sz="6" w:space="0" w:color="000000"/>
              <w:bottom w:val="single" w:sz="6" w:space="0" w:color="000000"/>
              <w:end w:val="single" w:sz="6" w:space="0" w:color="000000"/>
            </w:tcBorders>
          </w:tcPr>
          <w:p>
            <w:pPr>
              <w:pStyle w:val="Normal"/>
              <w:keepLines/>
              <w:widowControl w:val="false"/>
              <w:jc w:val="both"/>
              <w:rPr/>
            </w:pPr>
            <w:r>
              <w:rPr/>
              <w:t>The IPO market may not exist or be funding entrants at anticipated levels, or the IPO market’s timing may be different than anticipated. Timing or funding issues, combined with Acta’s consumption of current assets (‘burn rate’) may result in insolvency.</w:t>
            </w:r>
          </w:p>
          <w:p>
            <w:pPr>
              <w:pStyle w:val="Normal"/>
              <w:keepLines/>
              <w:widowControl w:val="false"/>
              <w:jc w:val="both"/>
              <w:rPr/>
            </w:pPr>
            <w:r>
              <w:rPr/>
              <w:t xml:space="preserve">After this round of capital is raised and balanced against the Q2-2000 loss, Acta will have approximately $30MM in cash. At an average burn rate of $2.8MM/month over the next three quarters, they are projected to run out of cash at the beginning of June 2001.  </w:t>
            </w:r>
          </w:p>
          <w:p>
            <w:pPr>
              <w:pStyle w:val="Normal"/>
              <w:keepLines/>
              <w:widowControl w:val="false"/>
              <w:jc w:val="both"/>
              <w:rPr/>
            </w:pPr>
            <w:r>
              <w:rPr/>
            </w:r>
          </w:p>
          <w:p>
            <w:pPr>
              <w:pStyle w:val="Normal"/>
              <w:keepLines/>
              <w:widowControl w:val="false"/>
              <w:jc w:val="both"/>
              <w:rPr/>
            </w:pPr>
            <w:r>
              <w:rPr/>
              <w:t>Management, Underwriters, and Enron anticipate a value at IPO of at least $600+ MM in Q1 2000 based on current projections.  A stronger IPO market and aftermarket for IPOs will dramatically increase Enron’s returns.  Acta’s strong cast of customers and management should partially mitigate the risk of softening in the IPO market.  Additionally, Acta’s strong post-round cash position should provide flexibility on the timing of the offering to maximize the capital-raising opportunity.</w:t>
            </w:r>
          </w:p>
          <w:p>
            <w:pPr>
              <w:pStyle w:val="Normal"/>
              <w:keepLines/>
              <w:widowControl w:val="false"/>
              <w:jc w:val="both"/>
              <w:rPr/>
            </w:pPr>
            <w:r>
              <w:rPr/>
              <w:t>Should the IPO market continue at today’s pace, we foresee the following milestones as required to complete an offering:</w:t>
            </w:r>
          </w:p>
          <w:p>
            <w:pPr>
              <w:pStyle w:val="Normal"/>
              <w:keepLines/>
              <w:widowControl w:val="false"/>
              <w:numPr>
                <w:ilvl w:val="0"/>
                <w:numId w:val="11"/>
              </w:numPr>
              <w:tabs>
                <w:tab w:val="clear" w:pos="720"/>
                <w:tab w:val="left" w:pos="450" w:leader="none"/>
              </w:tabs>
              <w:ind w:hanging="360" w:start="450" w:end="0"/>
              <w:jc w:val="both"/>
              <w:rPr/>
            </w:pPr>
            <w:r>
              <w:rPr/>
              <w:t>Continued rapid sales growth, to 175-200% of current sales</w:t>
            </w:r>
          </w:p>
          <w:p>
            <w:pPr>
              <w:pStyle w:val="Normal"/>
              <w:keepLines/>
              <w:widowControl w:val="false"/>
              <w:numPr>
                <w:ilvl w:val="0"/>
                <w:numId w:val="11"/>
              </w:numPr>
              <w:tabs>
                <w:tab w:val="clear" w:pos="720"/>
                <w:tab w:val="left" w:pos="450" w:leader="none"/>
              </w:tabs>
              <w:ind w:hanging="360" w:start="450" w:end="0"/>
              <w:jc w:val="both"/>
              <w:rPr/>
            </w:pPr>
            <w:r>
              <w:rPr/>
              <w:t>A narrowing of per-quarter losses</w:t>
            </w:r>
          </w:p>
          <w:p>
            <w:pPr>
              <w:pStyle w:val="Normal"/>
              <w:keepLines/>
              <w:widowControl w:val="false"/>
              <w:numPr>
                <w:ilvl w:val="0"/>
                <w:numId w:val="11"/>
              </w:numPr>
              <w:tabs>
                <w:tab w:val="clear" w:pos="720"/>
                <w:tab w:val="left" w:pos="450" w:leader="none"/>
              </w:tabs>
              <w:ind w:hanging="360" w:start="450" w:end="0"/>
              <w:jc w:val="both"/>
              <w:rPr/>
            </w:pPr>
            <w:r>
              <w:rPr/>
              <w:t>Visibility of break-even profitability within 12-18 months of IPO</w:t>
            </w:r>
          </w:p>
          <w:p>
            <w:pPr>
              <w:pStyle w:val="Normal"/>
              <w:keepLines/>
              <w:widowControl w:val="false"/>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val="false"/>
              <w:rPr/>
            </w:pPr>
            <w:r>
              <w:rPr/>
              <w:t>Equity 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val="false"/>
              <w:jc w:val="both"/>
              <w:rPr/>
            </w:pPr>
            <w:r>
              <w:rPr/>
              <w:t xml:space="preserve">Enron will have a 180-day holding requirement, subject to additional registration obligations, on its shares after the IPO.  Enron will be exposed to the continued favor of B2B e-commerce companies and the equity markets in general for the full 180-day underwriter lock-up to make its expected return. </w:t>
            </w:r>
          </w:p>
          <w:p>
            <w:pPr>
              <w:pStyle w:val="Normal"/>
              <w:widowControl w:val="false"/>
              <w:jc w:val="both"/>
              <w:rPr/>
            </w:pPr>
            <w:r>
              <w:rPr/>
            </w:r>
          </w:p>
          <w:p>
            <w:pPr>
              <w:pStyle w:val="Normal"/>
              <w:widowControl w:val="false"/>
              <w:jc w:val="both"/>
              <w:rPr/>
            </w:pPr>
            <w:r>
              <w:rPr/>
              <w:t xml:space="preserve">The equity market views B2B e-commerce infrastructure space as growing at a rapid place. We expect Acta’s solid financials to carry their stock’s value through the 180-day lockup period. </w:t>
            </w:r>
          </w:p>
        </w:tc>
      </w:tr>
    </w:tbl>
    <w:p>
      <w:pPr>
        <w:pStyle w:val="Normal"/>
        <w:rPr/>
      </w:pPr>
      <w:r>
        <w:rPr/>
      </w:r>
    </w:p>
    <w:p>
      <w:pPr>
        <w:pStyle w:val="Heading1"/>
        <w:pBdr>
          <w:top w:val="single" w:sz="8" w:space="1" w:color="000000"/>
        </w:pBdr>
        <w:ind w:hanging="0" w:start="0"/>
        <w:rPr/>
      </w:pPr>
      <w:r>
        <w:rPr/>
        <w:t>KEY SUCCESS FACTORS</w:t>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Header"/>
              <w:widowControl/>
              <w:tabs>
                <w:tab w:val="clear" w:pos="4320"/>
                <w:tab w:val="clear" w:pos="8640"/>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Header"/>
              <w:widowControl/>
              <w:tabs>
                <w:tab w:val="clear" w:pos="4320"/>
                <w:tab w:val="clear" w:pos="8640"/>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Header"/>
              <w:widowControl/>
              <w:tabs>
                <w:tab w:val="clear" w:pos="4320"/>
                <w:tab w:val="clear" w:pos="8640"/>
              </w:tabs>
              <w:snapToGrid w:val="false"/>
              <w:rPr/>
            </w:pPr>
            <w:r>
              <w:rPr/>
            </w:r>
          </w:p>
        </w:tc>
        <w:tc>
          <w:tcPr>
            <w:tcW w:w="2430" w:type="dxa"/>
            <w:tcBorders>
              <w:top w:val="single" w:sz="4" w:space="0" w:color="000000"/>
              <w:bottom w:val="single" w:sz="4" w:space="0" w:color="000000"/>
              <w:end w:val="single" w:sz="4" w:space="0" w:color="000000"/>
            </w:tcBorders>
          </w:tcPr>
          <w:p>
            <w:pPr>
              <w:pStyle w:val="Header"/>
              <w:widowControl/>
              <w:tabs>
                <w:tab w:val="clear" w:pos="4320"/>
                <w:tab w:val="clear" w:pos="8640"/>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jc w:val="center"/>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Header"/>
        <w:widowControl/>
        <w:tabs>
          <w:tab w:val="clear" w:pos="4320"/>
          <w:tab w:val="clear" w:pos="8640"/>
        </w:tabs>
        <w:rPr/>
      </w:pPr>
      <w:r>
        <w:rPr/>
      </w:r>
    </w:p>
    <w:p>
      <w:pPr>
        <w:pStyle w:val="Normal"/>
        <w:pBdr>
          <w:top w:val="single" w:sz="8" w:space="1" w:color="000000"/>
        </w:pBdr>
        <w:rPr>
          <w:b/>
          <w:i/>
          <w:i/>
        </w:rPr>
      </w:pPr>
      <w:r>
        <w:rPr>
          <w:b/>
        </w:rPr>
        <w:t xml:space="preserve">OTHER RAC COMMENTS: </w:t>
      </w:r>
    </w:p>
    <w:p>
      <w:pPr>
        <w:pStyle w:val="Normal"/>
        <w:jc w:val="both"/>
        <w:rPr/>
      </w:pPr>
      <w:r>
        <w:rPr/>
        <w:t>Acta is first to market with an attractive solution in growing B2B community integration space. They have positive reviews on their data caching products from Enron’s John Norden. They also have a strong base in their original application: their existing ETL tool has been sold to 140 companies including Shell, Xerox, Lockheed Martin, and Enron. They have strong VC sponsorship and a strong management team.</w:t>
      </w:r>
    </w:p>
    <w:p>
      <w:pPr>
        <w:pStyle w:val="Normal"/>
        <w:jc w:val="both"/>
        <w:rPr/>
      </w:pPr>
      <w:r>
        <w:rPr/>
        <w:t xml:space="preserve">Acta’s anticipated returns are 3-5x within an anticipated 15-month holding period. Higher valuations are possible for Acta if they become a key B2Bi technology. Acta’s downside is limited because the company has proven products; they would be a logical acquisition target for several competitors. </w:t>
      </w:r>
    </w:p>
    <w:p>
      <w:pPr>
        <w:pStyle w:val="Normal"/>
        <w:jc w:val="both"/>
        <w:rPr/>
      </w:pPr>
      <w:r>
        <w:rPr/>
      </w:r>
    </w:p>
    <w:p>
      <w:pPr>
        <w:pStyle w:val="Normal"/>
        <w:jc w:val="both"/>
        <w:rPr>
          <w:b/>
        </w:rPr>
      </w:pPr>
      <w:r>
        <w:rPr>
          <w:b/>
        </w:rPr>
        <w:t>TRANSACTION MILESTONES:</w:t>
      </w:r>
    </w:p>
    <w:p>
      <w:pPr>
        <w:pStyle w:val="Normal"/>
        <w:jc w:val="both"/>
        <w:rPr>
          <w:b/>
        </w:rPr>
      </w:pPr>
      <w:r>
        <w:rPr>
          <w:b/>
        </w:rPr>
      </w:r>
    </w:p>
    <w:p>
      <w:pPr>
        <w:pStyle w:val="Normal"/>
        <w:numPr>
          <w:ilvl w:val="0"/>
          <w:numId w:val="9"/>
        </w:numPr>
        <w:jc w:val="both"/>
        <w:rPr/>
      </w:pPr>
      <w:r>
        <w:rPr/>
        <w:t>Monitor 3Q2000 and 4Q2000 financial results no later than October 31, 2000 and February 15, 2001</w:t>
      </w:r>
    </w:p>
    <w:p>
      <w:pPr>
        <w:pStyle w:val="Normal"/>
        <w:numPr>
          <w:ilvl w:val="0"/>
          <w:numId w:val="9"/>
        </w:numPr>
        <w:jc w:val="both"/>
        <w:rPr/>
      </w:pPr>
      <w:r>
        <w:rPr/>
        <w:t>Continued rapid sales growth, to 175-200% of current sales</w:t>
      </w:r>
    </w:p>
    <w:p>
      <w:pPr>
        <w:pStyle w:val="Normal"/>
        <w:numPr>
          <w:ilvl w:val="0"/>
          <w:numId w:val="9"/>
        </w:numPr>
        <w:jc w:val="both"/>
        <w:rPr/>
      </w:pPr>
      <w:r>
        <w:rPr/>
        <w:t>A narrowing of per-quarter losses</w:t>
      </w:r>
    </w:p>
    <w:p>
      <w:pPr>
        <w:pStyle w:val="Normal"/>
        <w:numPr>
          <w:ilvl w:val="0"/>
          <w:numId w:val="9"/>
        </w:numPr>
        <w:jc w:val="both"/>
        <w:rPr/>
      </w:pPr>
      <w:r>
        <w:rPr/>
        <w:t>Visibility of break-even profitability within 12-18 months of IPO</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Commercial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Header"/>
              <w:widowControl/>
              <w:tabs>
                <w:tab w:val="clear" w:pos="4320"/>
                <w:tab w:val="clear" w:pos="8640"/>
              </w:tabs>
              <w:spacing w:before="120" w:after="0"/>
              <w:rPr/>
            </w:pPr>
            <w:r>
              <w:rPr/>
              <w:t xml:space="preserve">Steve Horn </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 xml:space="preserve">Commercial Mgmt. </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Jay Fitzgerald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Mike McConnell/Greg Whalley</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Mgmt.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 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($000s)</w:t>
            </w:r>
          </w:p>
        </w:tc>
      </w:tr>
      <w:tr>
        <w:trPr/>
        <w:tc>
          <w:tcPr>
            <w:tcW w:w="7650" w:type="dxa"/>
            <w:tcBorders/>
          </w:tcPr>
          <w:p>
            <w:pPr>
              <w:pStyle w:val="Normal"/>
              <w:rPr/>
            </w:pPr>
            <w:r>
              <w:rPr/>
              <w:t>Total Deal/Project Capital Commitment</w:t>
            </w:r>
          </w:p>
        </w:tc>
        <w:tc>
          <w:tcPr>
            <w:tcW w:w="2250" w:type="dxa"/>
            <w:tcBorders/>
          </w:tcPr>
          <w:p>
            <w:pPr>
              <w:pStyle w:val="Normal"/>
              <w:jc w:val="end"/>
              <w:rPr/>
            </w:pPr>
            <w:r>
              <w:rPr/>
              <w:t>$2,000</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$2,000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7"/>
        </w:numPr>
        <w:rPr/>
      </w:pPr>
      <w:r>
        <w:rPr>
          <w:b/>
        </w:rPr>
        <w:t>Investment terms and pricing:</w:t>
      </w:r>
      <w:r>
        <w:rPr/>
        <w:tab/>
        <w:tab/>
        <w:tab/>
      </w:r>
      <w:r>
        <w:rPr>
          <w:rFonts w:cs="Wingdings" w:ascii="Wingdings" w:hAnsi="Wingdings"/>
        </w:rPr>
        <w:sym w:font="Wingdings" w:char="f078"/>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tab/>
        <w:br/>
        <w:br/>
        <w:br/>
      </w:r>
    </w:p>
    <w:p>
      <w:pPr>
        <w:pStyle w:val="Normal"/>
        <w:numPr>
          <w:ilvl w:val="0"/>
          <w:numId w:val="7"/>
        </w:numPr>
        <w:rPr/>
      </w:pPr>
      <w:r>
        <w:rPr>
          <w:b/>
        </w:rPr>
        <w:t>Financing terms and pricing:</w:t>
      </w:r>
      <w:r>
        <w:rPr/>
        <w:tab/>
        <w:tab/>
        <w:tab/>
      </w:r>
      <w:r>
        <w:rPr>
          <w:rFonts w:cs="Wingdings" w:ascii="Wingdings" w:hAnsi="Wingdings"/>
        </w:rPr>
        <w:sym w:font="Wingdings" w:char="f078"/>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 xml:space="preserve">Describe (if necessary): </w:t>
        <w:br/>
        <w:br/>
        <w:br/>
      </w:r>
    </w:p>
    <w:p>
      <w:pPr>
        <w:pStyle w:val="Normal"/>
        <w:numPr>
          <w:ilvl w:val="0"/>
          <w:numId w:val="7"/>
        </w:numPr>
        <w:rPr/>
      </w:pPr>
      <w:r>
        <w:rPr>
          <w:b/>
        </w:rPr>
        <w:t>Legal or practical liquidity restrictions:</w:t>
      </w:r>
      <w:r>
        <w:rPr/>
        <w:tab/>
      </w:r>
      <w:r>
        <w:rPr>
          <w:rFonts w:eastAsia="Monotype Sorts" w:cs="Monotype Sorts" w:ascii="Monotype Sorts" w:hAnsi="Monotype Sorts"/>
        </w:rPr>
        <w:sym w:font="Monotype Sorts" w:char="f06f"/>
      </w:r>
      <w:r>
        <w:rPr/>
        <w:t xml:space="preserve"> Unrestricted</w:t>
        <w:tab/>
        <w:t xml:space="preserve"> </w:t>
      </w:r>
      <w:r>
        <w:rPr>
          <w:rFonts w:cs="Wingdings" w:ascii="Wingdings" w:hAnsi="Wingdings"/>
        </w:rPr>
        <w:sym w:font="Wingdings" w:char="f078"/>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  Illiquid pre-IPO investment with a 180 day post-IPO hold period.  (IPO expected 3/31/2000)</w:t>
        <w:br/>
        <w:br/>
        <w:br/>
      </w:r>
    </w:p>
    <w:p>
      <w:pPr>
        <w:pStyle w:val="Normal"/>
        <w:numPr>
          <w:ilvl w:val="0"/>
          <w:numId w:val="7"/>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cs="Wingdings" w:ascii="Wingdings" w:hAnsi="Wingdings"/>
        </w:rPr>
        <w:sym w:font="Wingdings" w:char="f078"/>
      </w:r>
      <w:r>
        <w:rPr/>
        <w:t xml:space="preserve"> No Recourse</w:t>
        <w:br/>
        <w:br/>
        <w:t>Describe (if any):</w:t>
        <w:tab/>
        <w:tab/>
        <w:br/>
        <w:br/>
        <w:br/>
      </w:r>
    </w:p>
    <w:p>
      <w:pPr>
        <w:pStyle w:val="Normal"/>
        <w:numPr>
          <w:ilvl w:val="0"/>
          <w:numId w:val="5"/>
        </w:numPr>
        <w:rPr/>
      </w:pPr>
      <w:r>
        <w:rPr>
          <w:b/>
        </w:rPr>
        <w:t>Business unit intent to syndicate:</w:t>
      </w:r>
      <w:r>
        <w:rPr/>
        <w:tab/>
        <w:tab/>
        <w:tab/>
      </w:r>
      <w:r>
        <w:rPr>
          <w:rFonts w:cs="Wingdings" w:ascii="Wingdings" w:hAnsi="Wingdings"/>
        </w:rPr>
        <w:sym w:font="Wingdings" w:char="f078"/>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tab/>
        <w:t>Merchant investment – intent is to hedge and/or sell when practicable.</w:t>
        <w:br/>
        <w:br/>
        <w:br/>
      </w:r>
    </w:p>
    <w:p>
      <w:pPr>
        <w:pStyle w:val="Normal"/>
        <w:numPr>
          <w:ilvl w:val="0"/>
          <w:numId w:val="8"/>
        </w:numPr>
        <w:rPr/>
      </w:pPr>
      <w:r>
        <w:rPr>
          <w:b/>
        </w:rPr>
        <w:t>Intended Enron hold period:</w:t>
        <w:tab/>
      </w:r>
      <w:r>
        <w:rPr/>
        <w:t>180 - 360 days.</w:t>
        <w:br/>
        <w:br/>
        <w:br/>
      </w:r>
    </w:p>
    <w:p>
      <w:pPr>
        <w:pStyle w:val="Normal"/>
        <w:numPr>
          <w:ilvl w:val="0"/>
          <w:numId w:val="3"/>
        </w:numPr>
        <w:rPr>
          <w:b/>
        </w:rPr>
      </w:pPr>
      <w:r>
        <w:rPr>
          <w:b/>
        </w:rPr>
        <w:t>Likely Syndication Market:</w:t>
      </w:r>
      <w:r>
        <w:rPr/>
        <w:tab/>
        <w:tab/>
        <w:tab/>
        <w:tab/>
      </w:r>
      <w:r>
        <w:rPr>
          <w:rFonts w:eastAsia="Monotype Sorts" w:cs="Monotype Sorts" w:ascii="Monotype Sorts" w:hAnsi="Monotype Sorts"/>
        </w:rPr>
        <w:sym w:font="Monotype Sorts" w:char="f06f"/>
      </w:r>
      <w:r>
        <w:rPr/>
        <w:t xml:space="preserve"> </w:t>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t xml:space="preserve"> </w:t>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w:rPr>
          <w:rFonts w:eastAsia="Monotype Sorts" w:cs="Monotype Sorts" w:ascii="Monotype Sorts" w:hAnsi="Monotype Sorts"/>
        </w:rPr>
        <w:sym w:font="Monotype Sorts" w:char="f06f"/>
      </w:r>
      <w:r>
        <w:rPr/>
        <w:t xml:space="preserve"> </w:t>
      </w: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b/>
        </w:rPr>
        <w:t xml:space="preserve"> </w:t>
      </w:r>
      <w:r>
        <w:rPr>
          <w:b/>
        </w:rPr>
        <w:t>Other: New Structured Vehicle</w:t>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6"/>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cs="Wingdings" w:ascii="Wingdings" w:hAnsi="Wingdings"/>
        </w:rPr>
        <w:sym w:font="Wingdings" w:char="f078"/>
      </w:r>
      <w:r>
        <w:rPr/>
        <w:t xml:space="preserve"> No</w:t>
      </w:r>
    </w:p>
    <w:p>
      <w:pPr>
        <w:pStyle w:val="Normal"/>
        <w:rPr/>
      </w:pPr>
      <w:r>
        <w:rPr/>
      </w:r>
    </w:p>
    <w:p>
      <w:pPr>
        <w:pStyle w:val="Normal"/>
        <w:ind w:start="360" w:end="0"/>
        <w:rPr/>
      </w:pPr>
      <w:r>
        <w:rPr/>
      </w:r>
    </w:p>
    <w:p>
      <w:pPr>
        <w:pStyle w:val="Normal"/>
        <w:rPr>
          <w:b/>
        </w:rPr>
      </w:pPr>
      <w:r>
        <w:rPr>
          <w:b/>
        </w:rPr>
        <w:t>Global Finance Representative:</w:t>
        <w:tab/>
        <w:tab/>
        <w:tab/>
        <w:tab/>
        <w:tab/>
        <w:tab/>
      </w:r>
    </w:p>
    <w:p>
      <w:pPr>
        <w:pStyle w:val="Normal"/>
        <w:pBdr>
          <w:top w:val="single" w:sz="4" w:space="1" w:color="000000"/>
        </w:pBdr>
        <w:ind w:start="360" w:end="0"/>
        <w:rPr/>
      </w:pPr>
      <w:r>
        <w:rPr/>
        <w:tab/>
        <w:tab/>
        <w:tab/>
        <w:tab/>
        <w:tab/>
        <w:t xml:space="preserve">        Signature</w:t>
        <w:tab/>
        <w:tab/>
        <w:tab/>
        <w:t xml:space="preserve">     Name (Printed)</w:t>
        <w:tab/>
        <w:tab/>
        <w:t>Date</w:t>
      </w:r>
    </w:p>
    <w:p>
      <w:pPr>
        <w:pStyle w:val="Heading"/>
        <w:jc w:val="start"/>
        <w:rPr>
          <w:b w:val="false"/>
          <w:sz w:val="20"/>
        </w:rPr>
      </w:pPr>
      <w:r>
        <w:rPr>
          <w:b w:val="false"/>
          <w:sz w:val="20"/>
        </w:rPr>
      </w:r>
    </w:p>
    <w:p>
      <w:pPr>
        <w:pStyle w:val="Heading"/>
        <w:rPr/>
      </w:pPr>
      <w:r>
        <w:rPr/>
        <w:t>ENRON RISK ASSESSMENT AND CONTROL</w:t>
      </w:r>
    </w:p>
    <w:p>
      <w:pPr>
        <w:pStyle w:val="Normal"/>
        <w:jc w:val="center"/>
        <w:rPr>
          <w:b/>
          <w:sz w:val="32"/>
        </w:rPr>
      </w:pPr>
      <w:r>
        <w:rPr>
          <w:b/>
          <w:sz w:val="32"/>
        </w:rPr>
        <w:t xml:space="preserve">ENA PORTFOLIO CHECKLIST </w:t>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000" w:hRule="atLeast"/>
        </w:trPr>
        <w:tc>
          <w:tcPr>
            <w:tcW w:w="5490" w:type="dxa"/>
            <w:tcBorders>
              <w:top w:val="single" w:sz="8" w:space="0" w:color="000000"/>
              <w:bottom w:val="single" w:sz="8" w:space="0" w:color="000000"/>
            </w:tcBorders>
          </w:tcPr>
          <w:p>
            <w:pPr>
              <w:pStyle w:val="Normal"/>
              <w:ind w:end="792"/>
              <w:rPr>
                <w:b/>
              </w:rPr>
            </w:pPr>
            <w:r>
              <w:rPr>
                <w:b/>
              </w:rPr>
              <w:t>DEAL NAME:  Acta</w:t>
            </w:r>
          </w:p>
          <w:p>
            <w:pPr>
              <w:pStyle w:val="Normal"/>
              <w:ind w:end="792"/>
              <w:rPr/>
            </w:pPr>
            <w:r>
              <w:rPr/>
              <w:t>Counterparty:  Acta, Inc.</w:t>
            </w:r>
          </w:p>
          <w:p>
            <w:pPr>
              <w:pStyle w:val="Header"/>
              <w:widowControl/>
              <w:tabs>
                <w:tab w:val="clear" w:pos="4320"/>
                <w:tab w:val="clear" w:pos="8640"/>
              </w:tabs>
              <w:rPr/>
            </w:pPr>
            <w:r>
              <w:rPr/>
              <w:t>Business Unit:  Enron Net Works Ventures</w:t>
            </w:r>
          </w:p>
          <w:p>
            <w:pPr>
              <w:pStyle w:val="Normal"/>
              <w:rPr/>
            </w:pPr>
            <w:r>
              <w:rPr/>
              <w:t>Business Unit Originator:  Stephen Horn</w:t>
            </w:r>
          </w:p>
        </w:tc>
        <w:tc>
          <w:tcPr>
            <w:tcW w:w="4950" w:type="dxa"/>
            <w:tcBorders>
              <w:top w:val="single" w:sz="8" w:space="0" w:color="000000"/>
              <w:bottom w:val="single" w:sz="8" w:space="0" w:color="000000"/>
            </w:tcBorders>
          </w:tcPr>
          <w:p>
            <w:pPr>
              <w:pStyle w:val="Normal"/>
              <w:ind w:end="-1095"/>
              <w:jc w:val="both"/>
              <w:rPr/>
            </w:pPr>
            <w:r>
              <w:rPr/>
              <w:t>RAC Analyst:  David Gorte</w:t>
            </w:r>
          </w:p>
          <w:p>
            <w:pPr>
              <w:pStyle w:val="Normal"/>
              <w:ind w:start="-108" w:end="-738"/>
              <w:jc w:val="both"/>
              <w:rPr/>
            </w:pPr>
            <w:r>
              <w:rPr/>
              <w:t xml:space="preserve">  </w:t>
            </w:r>
            <w:r>
              <w:rPr/>
              <w:t>Investment Type:  Equity</w:t>
            </w:r>
          </w:p>
        </w:tc>
      </w:tr>
    </w:tbl>
    <w:p>
      <w:pPr>
        <w:pStyle w:val="Normal"/>
        <w:rPr/>
      </w:pPr>
      <w:r>
        <w:rPr>
          <w:rFonts w:cs="Wingdings" w:ascii="Wingdings" w:hAnsi="Wingdings"/>
        </w:rPr>
        <w:sym w:font="Wingdings" w:char="f078"/>
      </w:r>
      <w:r>
        <w:rPr/>
        <w:t>Rate of Return</w:t>
        <w:tab/>
        <w:tab/>
      </w:r>
      <w:r>
        <w:rPr>
          <w:rFonts w:cs="Wingdings" w:ascii="Wingdings" w:hAnsi="Wingdings"/>
        </w:rPr>
        <w:sym w:font="Wingdings" w:char="f078"/>
      </w:r>
      <w:r>
        <w:rPr/>
        <w:t>Consistency with ENA Strategy</w:t>
        <w:tab/>
      </w:r>
      <w:r>
        <w:rPr>
          <w:rFonts w:cs="Wingdings" w:ascii="Wingdings" w:hAnsi="Wingdings"/>
        </w:rPr>
        <w:sym w:font="Wingdings" w:char="f078"/>
      </w:r>
      <w:r>
        <w:rPr/>
        <w:t>ENA Business Support</w:t>
        <w:tab/>
      </w:r>
      <w:r>
        <w:rPr>
          <w:rFonts w:cs="Wingdings" w:ascii="Wingdings" w:hAnsi="Wingdings"/>
        </w:rPr>
        <w:sym w:font="Wingdings" w:char="f078"/>
      </w:r>
      <w:r>
        <w:rPr/>
        <w:t>Additional Financial Investors</w:t>
      </w:r>
    </w:p>
    <w:p>
      <w:pPr>
        <w:pStyle w:val="Heading4"/>
        <w:pBdr>
          <w:top w:val="single" w:sz="8" w:space="1" w:color="000000"/>
        </w:pBdr>
        <w:tabs>
          <w:tab w:val="clear" w:pos="9990"/>
          <w:tab w:val="left" w:pos="10260" w:leader="none"/>
        </w:tabs>
        <w:rPr/>
      </w:pPr>
      <w:r>
        <w:rPr/>
        <w:t xml:space="preserve">BUSINESS – </w:t>
      </w:r>
    </w:p>
    <w:p>
      <w:pPr>
        <w:pStyle w:val="Normal"/>
        <w:numPr>
          <w:ilvl w:val="0"/>
          <w:numId w:val="4"/>
        </w:numPr>
        <w:rPr/>
      </w:pPr>
      <w:r>
        <w:rPr/>
        <w:t>Management Experience – High Growth</w:t>
        <w:tab/>
        <w:t>Poor</w:t>
        <w:tab/>
        <w:t>-------------------------------------------------------X-- Excellent</w:t>
      </w:r>
    </w:p>
    <w:p>
      <w:pPr>
        <w:pStyle w:val="Normal"/>
        <w:ind w:start="720" w:end="0"/>
        <w:rPr/>
      </w:pPr>
      <w:r>
        <w:rPr/>
        <w:t>Comments: Carol Mills Baldwin, CEO, was the GM of the Enterprise Systems Division of Hewlett-Packard Co. Andre Simone, CFO, was SVP and CFO of ADAC Laboratories.</w:t>
      </w:r>
    </w:p>
    <w:p>
      <w:pPr>
        <w:pStyle w:val="Normal"/>
        <w:numPr>
          <w:ilvl w:val="0"/>
          <w:numId w:val="4"/>
        </w:numPr>
        <w:rPr/>
      </w:pPr>
      <w:r>
        <w:rPr/>
        <w:t>Management Experience – Knowledge</w:t>
        <w:tab/>
        <w:tab/>
        <w:t>Poor</w:t>
        <w:tab/>
        <w:t>------------------------------------------------------X--- Excellent</w:t>
      </w:r>
    </w:p>
    <w:p>
      <w:pPr>
        <w:pStyle w:val="Normal"/>
        <w:ind w:start="720" w:end="0"/>
        <w:rPr/>
      </w:pPr>
      <w:r>
        <w:rPr/>
        <w:t xml:space="preserve">Comments: Chuck Altomare, VP-Engineering,  was VP of R&amp;D at in the TransAct Business Group of Informix Corporation. Alex Gorelik, CTO and founder of Acta, was a Systems Architect in the Distributed Products Group at Sybase Inc. Sachin Chawla, VP-Applied Solutions, has held positions at Sybase, Inc. and at Metaphor Computer. </w:t>
      </w:r>
    </w:p>
    <w:p>
      <w:pPr>
        <w:pStyle w:val="Normal"/>
        <w:numPr>
          <w:ilvl w:val="0"/>
          <w:numId w:val="4"/>
        </w:numPr>
        <w:rPr/>
      </w:pPr>
      <w:r>
        <w:rPr/>
        <w:t>Size of Potential Market</w:t>
        <w:tab/>
        <w:tab/>
        <w:tab/>
        <w:t xml:space="preserve">Small  </w:t>
        <w:tab/>
        <w:t>-------------------------------------------------------X--   Large</w:t>
      </w:r>
    </w:p>
    <w:p>
      <w:pPr>
        <w:pStyle w:val="Normal"/>
        <w:ind w:start="720" w:end="0"/>
        <w:rPr/>
      </w:pPr>
      <w:r>
        <w:rPr/>
        <w:t xml:space="preserve">Comments:  The target market will be approximately $10 Billion annually by 2004. The marketplace consists of large companies which need to integrate e-commerce-capable systems with their existing technology infrastructure. </w:t>
      </w:r>
    </w:p>
    <w:p>
      <w:pPr>
        <w:pStyle w:val="Normal"/>
        <w:numPr>
          <w:ilvl w:val="0"/>
          <w:numId w:val="4"/>
        </w:numPr>
        <w:rPr/>
      </w:pPr>
      <w:r>
        <w:rPr/>
        <w:t>Business Concept</w:t>
        <w:tab/>
        <w:tab/>
        <w:tab/>
        <w:tab/>
        <w:t xml:space="preserve">Poor </w:t>
        <w:tab/>
        <w:t>------------------------------------------------------X--- Excellent</w:t>
      </w:r>
    </w:p>
    <w:p>
      <w:pPr>
        <w:pStyle w:val="BodyTextIndent2"/>
        <w:rPr/>
      </w:pPr>
      <w:r>
        <w:rPr/>
        <w:t>Comments: Acta produces and markets e-commerce ETL, analytics, and transactional caching software which allows ‘back-end’ systems such as SAP to interact with online commerce systems.</w:t>
      </w:r>
    </w:p>
    <w:p>
      <w:pPr>
        <w:pStyle w:val="Normal"/>
        <w:numPr>
          <w:ilvl w:val="0"/>
          <w:numId w:val="4"/>
        </w:numPr>
        <w:rPr/>
      </w:pPr>
      <w:r>
        <w:rPr/>
        <w:t>Competitive Advantage</w:t>
        <w:tab/>
        <w:tab/>
        <w:tab/>
        <w:t>Poor</w:t>
        <w:tab/>
        <w:t>-----------------------------------------------X---------- Excellent</w:t>
      </w:r>
    </w:p>
    <w:p>
      <w:pPr>
        <w:pStyle w:val="Normal"/>
        <w:ind w:start="720" w:end="0"/>
        <w:rPr/>
      </w:pPr>
      <w:r>
        <w:rPr/>
        <w:t>Comments: Acta’s expertise in distributed databases has allowed them to be first to market with a write-through caching technology in their ActaWorks product. This allows customers rapid read and write access to data in legacy systems without burdening said systems or performing complex maintenance and transactions on two databases simultaneously. They are considered the premier data-extraction tool for SAP. Their nearest competitor, Informatica, is targeting read-only analytic applications suited only for non-real-time environments.</w:t>
      </w:r>
    </w:p>
    <w:p>
      <w:pPr>
        <w:pStyle w:val="Normal"/>
        <w:numPr>
          <w:ilvl w:val="0"/>
          <w:numId w:val="4"/>
        </w:numPr>
        <w:rPr/>
      </w:pPr>
      <w:r>
        <w:rPr/>
        <w:t>Assets</w:t>
        <w:tab/>
        <w:tab/>
        <w:tab/>
        <w:tab/>
        <w:tab/>
        <w:t>Poor</w:t>
        <w:tab/>
        <w:t>----------------------------------------------------------- Excellent</w:t>
      </w:r>
    </w:p>
    <w:p>
      <w:pPr>
        <w:pStyle w:val="Normal"/>
        <w:ind w:start="720" w:end="0"/>
        <w:rPr/>
      </w:pPr>
      <w:r>
        <w:rPr/>
        <w:t>Comments:  N/A.</w:t>
      </w:r>
    </w:p>
    <w:p>
      <w:pPr>
        <w:pStyle w:val="Normal"/>
        <w:ind w:start="720" w:end="0"/>
        <w:rPr/>
      </w:pPr>
      <w:r>
        <w:rPr/>
      </w:r>
    </w:p>
    <w:p>
      <w:pPr>
        <w:pStyle w:val="Heading1"/>
        <w:pBdr>
          <w:top w:val="single" w:sz="8" w:space="1" w:color="000000"/>
        </w:pBdr>
        <w:ind w:hanging="0" w:start="0" w:end="-36"/>
        <w:rPr/>
      </w:pPr>
      <w:r>
        <w:rPr/>
        <w:t xml:space="preserve">PORTFOLIO </w:t>
      </w:r>
    </w:p>
    <w:p>
      <w:pPr>
        <w:pStyle w:val="Normal"/>
        <w:rPr/>
      </w:pPr>
      <w:r>
        <w:rPr/>
        <w:t>N/A</w:t>
      </w:r>
    </w:p>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/mnt/main-storage/datasets/enron-docs/doc/DASH_Acta_8_2_00.doc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Acta</w:t>
    </w:r>
  </w:p>
  <w:p>
    <w:pPr>
      <w:pStyle w:val="Header"/>
      <w:widowControl/>
      <w:tabs>
        <w:tab w:val="clear" w:pos="4320"/>
        <w:tab w:val="clear" w:pos="8640"/>
        <w:tab w:val="right" w:pos="7920" w:leader="none"/>
      </w:tabs>
      <w:rPr>
        <w:b/>
      </w:rPr>
    </w:pPr>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decimal"/>
      <w:lvlText w:val="%1)"/>
      <w:lvlJc w:val="start"/>
      <w:pPr>
        <w:tabs>
          <w:tab w:val="num" w:pos="360"/>
        </w:tabs>
        <w:ind w:start="360" w:hanging="360"/>
      </w:pPr>
      <w:rPr/>
    </w:lvl>
  </w:abstractNum>
  <w:abstractNum w:abstractNumId="5">
    <w:lvl w:ilvl="0">
      <w:start w:val="6"/>
      <w:numFmt w:val="decimal"/>
      <w:lvlText w:val="%1a."/>
      <w:lvlJc w:val="start"/>
      <w:pPr>
        <w:tabs>
          <w:tab w:val="num" w:pos="360"/>
        </w:tabs>
        <w:ind w:start="360" w:hanging="360"/>
      </w:pPr>
    </w:lvl>
  </w:abstractNum>
  <w:abstractNum w:abstractNumId="6">
    <w:lvl w:ilvl="0">
      <w:start w:val="6"/>
      <w:numFmt w:val="decimal"/>
      <w:lvlText w:val="%1d."/>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sz w:val="4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widowControl w:val="fals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5z0">
    <w:name w:val="WW8Num15z0"/>
    <w:qFormat/>
    <w:rPr/>
  </w:style>
  <w:style w:type="character" w:styleId="WW8Num18z0">
    <w:name w:val="WW8Num18z0"/>
    <w:qFormat/>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360" w:end="-306"/>
    </w:pPr>
    <w:rPr/>
  </w:style>
  <w:style w:type="paragraph" w:styleId="BodyTextIndent">
    <w:name w:val="Body Text Indent"/>
    <w:basedOn w:val="Normal"/>
    <w:pPr>
      <w:ind w:firstLine="990" w:start="720" w:end="0"/>
    </w:pPr>
    <w:rPr/>
  </w:style>
  <w:style w:type="paragraph" w:styleId="BodyTextIndent2">
    <w:name w:val="Body Text Indent 2"/>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2000-08-02T12:43:00Z</dcterms:created>
  <dc:creator>mruane</dc:creator>
  <dc:description/>
  <dc:language>en-CA</dc:language>
  <cp:lastModifiedBy>Brandon Luna</cp:lastModifiedBy>
  <cp:lastPrinted>2000-08-02T10:47:00Z</cp:lastPrinted>
  <dcterms:modified xsi:type="dcterms:W3CDTF">2000-08-02T13:18:00Z</dcterms:modified>
  <cp:revision>5</cp:revision>
  <dc:subject/>
  <dc:title>ENRON RISK ASSESSMENT AND CONTROL</dc:title>
</cp:coreProperties>
</file>