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lang w:val="en-CA" w:eastAsia="en-CA"/>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t>Alamac Cogeneration</w:t>
                  </w:r>
                  <w:r>
                    <w:rPr>
                      <w:rFonts w:cs="Arial" w:ascii="Arial" w:hAnsi="Arial"/>
                      <w:b/>
                      <w:sz w:val="20"/>
                      <w:lang w:val="en-CA" w:eastAsia="en-CA"/>
                    </w:rPr>
                  </w:r>
                </w:p>
                <w:p>
                  <w:pPr>
                    <w:pStyle w:val="Normal"/>
                    <w:ind w:end="792"/>
                    <w:rPr>
                      <w:rFonts w:ascii="Arial" w:hAnsi="Arial" w:cs="Arial"/>
                      <w:b/>
                      <w:sz w:val="20"/>
                    </w:rPr>
                  </w:pPr>
                  <w:r>
                    <w:rPr>
                      <w:rFonts w:cs="Arial" w:ascii="Arial" w:hAnsi="Arial"/>
                      <w:b/>
                      <w:sz w:val="20"/>
                      <w:lang w:val="en-CA" w:eastAsia="en-CA"/>
                    </w:rPr>
                    <w:t>(Phase III) - Divestiture</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AIG Highstar Capital LP</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Heather Kroll</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May 10,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Ethel Koskas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1"/>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United States</w:t>
                  </w:r>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May 11,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May 11,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Proceeds from Divestiture</w:t>
            </w:r>
          </w:p>
        </w:tc>
        <w:tc>
          <w:tcPr>
            <w:tcW w:w="1332" w:type="dxa"/>
            <w:tcBorders/>
          </w:tcPr>
          <w:p>
            <w:pPr>
              <w:pStyle w:val="Normal"/>
              <w:ind w:end="-36"/>
              <w:jc w:val="end"/>
              <w:rPr>
                <w:rFonts w:ascii="Arial" w:hAnsi="Arial" w:cs="Arial"/>
                <w:sz w:val="20"/>
              </w:rPr>
            </w:pPr>
            <w:r>
              <w:rPr>
                <w:rFonts w:cs="Arial" w:ascii="Arial" w:hAnsi="Arial"/>
                <w:sz w:val="20"/>
              </w:rPr>
              <w:t>$22,765,000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op w:val="single" w:sz="4" w:space="0" w:color="000000"/>
            </w:tcBorders>
          </w:tcPr>
          <w:p>
            <w:pPr>
              <w:pStyle w:val="Normal"/>
              <w:snapToGrid w:val="false"/>
              <w:ind w:end="-36"/>
              <w:jc w:val="center"/>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rPr>
      </w:pPr>
      <w:r>
        <w:rPr>
          <w:rFonts w:cs="Arial" w:ascii="Arial" w:hAnsi="Arial"/>
          <w:i/>
        </w:rPr>
      </w:r>
    </w:p>
    <w:p>
      <w:pPr>
        <w:pStyle w:val="Normal"/>
        <w:ind w:end="-36"/>
        <w:rPr>
          <w:rFonts w:ascii="Arial" w:hAnsi="Arial" w:cs="Arial"/>
          <w:sz w:val="20"/>
        </w:rPr>
      </w:pPr>
      <w:r>
        <w:rPr>
          <w:rFonts w:cs="Arial" w:ascii="Arial" w:hAnsi="Arial"/>
          <w:sz w:val="20"/>
        </w:rPr>
        <w:t xml:space="preserve">On January 31, 2001, ENA formed North Carolina Power Holdings, LLC (NCPH) to purchase two LLC’s, one of which owns a 35 MW coal-fired cogeneration unit located in Elizabethtown, North Carolina and the other of which owns a similar unit located in Lumberton (see attached DASH for details of purchase).  The exit strategy, outlined in the DASH, was to sell the LLC interests to a third-party within 90 days of the purchase.  </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ENA is prepared to sell its interests in NCPH to AIG Highstar Capital LP (“Highstar”) for $22,765,000 pursuant to the terms of the Securities Purchase Agreement (“SPA”) outlined below.  Highstar will pay an additional $3,500,000 on the purchase price of NCPH Highstar will purchase a short-term Financial Put Option when the transaction closes.</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Enron holds a 6.25% (split 50/50 between ENA and EE&amp;CC) interest as a limited partner in Highstar; the $1.422 capital call that Enron will be required to make was approved in a DASH dated September 20, 2000.  Highstar is an investment fund established to make private equity investments in infrastructure assets.</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 xml:space="preserve">The SPA details several transactions that will be signed in conjunction with the sale to HIGHSTAR:  </w:t>
      </w:r>
    </w:p>
    <w:p>
      <w:pPr>
        <w:pStyle w:val="Normal"/>
        <w:ind w:end="-36"/>
        <w:rPr>
          <w:rFonts w:ascii="Arial" w:hAnsi="Arial" w:cs="Arial"/>
          <w:sz w:val="20"/>
        </w:rPr>
      </w:pPr>
      <w:r>
        <w:rPr>
          <w:rFonts w:cs="Arial" w:ascii="Arial" w:hAnsi="Arial"/>
          <w:sz w:val="20"/>
        </w:rPr>
      </w:r>
    </w:p>
    <w:p>
      <w:pPr>
        <w:pStyle w:val="Normal"/>
        <w:numPr>
          <w:ilvl w:val="0"/>
          <w:numId w:val="11"/>
        </w:numPr>
        <w:ind w:hanging="360" w:start="720" w:end="-36"/>
        <w:rPr>
          <w:rFonts w:ascii="Arial" w:hAnsi="Arial" w:cs="Arial"/>
          <w:sz w:val="20"/>
        </w:rPr>
      </w:pPr>
      <w:r>
        <w:rPr>
          <w:rFonts w:cs="Arial" w:ascii="Arial" w:hAnsi="Arial"/>
          <w:sz w:val="20"/>
        </w:rPr>
        <w:t>ENA will sell to Highstar its equity interest in NCPH for $22.765 million effective May 11, 2001.  The sale will include the permits and contracts required to operate the facilities;</w:t>
      </w:r>
    </w:p>
    <w:p>
      <w:pPr>
        <w:pStyle w:val="Normal"/>
        <w:numPr>
          <w:ilvl w:val="0"/>
          <w:numId w:val="11"/>
        </w:numPr>
        <w:ind w:hanging="360" w:start="720" w:end="-36"/>
        <w:rPr>
          <w:rFonts w:ascii="Arial" w:hAnsi="Arial" w:cs="Arial"/>
          <w:sz w:val="20"/>
        </w:rPr>
      </w:pPr>
      <w:r>
        <w:rPr>
          <w:rFonts w:cs="Arial" w:ascii="Arial" w:hAnsi="Arial"/>
          <w:sz w:val="20"/>
        </w:rPr>
        <w:t>The key revenue-generating asset that transfers with NCPH is a Call Option Agreement between NCPH and Carolina Power &amp; Light.  This call option is a true third party agreement and obligation of NCPH; it terminates on December 31, 2001;</w:t>
      </w:r>
    </w:p>
    <w:p>
      <w:pPr>
        <w:pStyle w:val="Normal"/>
        <w:numPr>
          <w:ilvl w:val="0"/>
          <w:numId w:val="11"/>
        </w:numPr>
        <w:ind w:hanging="360" w:start="720" w:end="-36"/>
        <w:rPr>
          <w:rFonts w:ascii="Arial" w:hAnsi="Arial" w:cs="Arial"/>
          <w:sz w:val="20"/>
        </w:rPr>
      </w:pPr>
      <w:r>
        <w:rPr>
          <w:rFonts w:cs="Arial" w:ascii="Arial" w:hAnsi="Arial"/>
          <w:sz w:val="20"/>
        </w:rPr>
        <w:t xml:space="preserve">When the NCPH transaction closes, ENA will sell Highstar a Financial Put Option for $3,500,000 under which Highstar will receive a daily on-peak put option for the balance of 2001 against the “Into TVA” Index with a strike price of $45/MWh.  </w:t>
      </w:r>
      <w:r>
        <w:rPr>
          <w:rFonts w:cs="Arial" w:ascii="Arial" w:hAnsi="Arial"/>
          <w:b/>
          <w:bCs/>
          <w:sz w:val="20"/>
        </w:rPr>
        <w:t>The put will exercise automatically on any day the published price for the Megawatt Daily Into TVA Index Weighted Average Index was below $45/MWh.</w:t>
      </w:r>
      <w:r>
        <w:rPr>
          <w:rFonts w:cs="Arial" w:ascii="Arial" w:hAnsi="Arial"/>
          <w:sz w:val="20"/>
        </w:rPr>
        <w:t xml:space="preserve">  Highstar must purchase the option before August 15, 2001.  As of May 9, 2001, the power desk valued the option at $1,660,000, indicating potential upside of $1,840,000;</w:t>
      </w:r>
    </w:p>
    <w:p>
      <w:pPr>
        <w:pStyle w:val="Normal"/>
        <w:numPr>
          <w:ilvl w:val="0"/>
          <w:numId w:val="11"/>
        </w:numPr>
        <w:ind w:hanging="360" w:start="720" w:end="-36"/>
        <w:rPr>
          <w:rFonts w:ascii="Arial" w:hAnsi="Arial" w:cs="Arial"/>
          <w:sz w:val="20"/>
        </w:rPr>
      </w:pPr>
      <w:r>
        <w:rPr>
          <w:rFonts w:cs="Arial" w:ascii="Arial" w:hAnsi="Arial"/>
          <w:sz w:val="20"/>
        </w:rPr>
        <w:t>Once the closing occurs, EPMI will enter into an Asset Management Services Agreement to administer and manage the NCPH contractual assets and to optimize the selling of any excess energy and excess capacity through December 31, 2001.</w:t>
      </w:r>
    </w:p>
    <w:p>
      <w:pPr>
        <w:pStyle w:val="Normal"/>
        <w:numPr>
          <w:ilvl w:val="0"/>
          <w:numId w:val="11"/>
        </w:numPr>
        <w:ind w:hanging="360" w:start="720" w:end="-36"/>
        <w:rPr>
          <w:rFonts w:ascii="Arial" w:hAnsi="Arial" w:cs="Arial"/>
          <w:sz w:val="20"/>
        </w:rPr>
      </w:pPr>
      <w:r>
        <w:rPr>
          <w:rFonts w:cs="Arial" w:ascii="Arial" w:hAnsi="Arial"/>
          <w:sz w:val="20"/>
        </w:rPr>
        <w:t>Once the closing occurs, ECT Securities and Highstar will enter into a brokerage agreement whereby ECT Securities will act as agent on behalf of Highstar to market the sale of NCPH to a third party.  ECT is entering into this transaction in order to reserve the right to serve as the exclusive marketing agent for the NCPH.  ECT Securities will utilize DealBench to sell NCPH through an auction process.  ECT Securities will receive a brokerage fee of $250,000 if it is successful in selling the project to a third-party.  As contingent consideration for the initial sale between ENA and Highstar, subject to the conditions described below, ENA and Highstar will split any proceeds above $22.0 million (or above $25.5 million after taking into consideration the purchase of the put option), after expenses, based on the schedule below.</w:t>
      </w:r>
    </w:p>
    <w:p>
      <w:pPr>
        <w:pStyle w:val="Normal"/>
        <w:ind w:end="-36"/>
        <w:rPr>
          <w:rFonts w:ascii="Arial" w:hAnsi="Arial" w:cs="Arial"/>
          <w:sz w:val="20"/>
        </w:rPr>
      </w:pPr>
      <w:r>
        <w:rPr>
          <w:rFonts w:cs="Arial" w:ascii="Arial" w:hAnsi="Arial"/>
          <w:sz w:val="20"/>
        </w:rPr>
      </w:r>
    </w:p>
    <w:tbl>
      <w:tblPr>
        <w:tblpPr w:vertAnchor="text" w:horzAnchor="margin" w:tblpXSpec="center" w:leftFromText="180" w:rightFromText="180" w:tblpY="559"/>
        <w:tblW w:w="4320" w:type="dxa"/>
        <w:jc w:val="start"/>
        <w:tblInd w:w="108" w:type="dxa"/>
        <w:tblLayout w:type="fixed"/>
        <w:tblCellMar>
          <w:top w:w="0" w:type="dxa"/>
          <w:start w:w="108" w:type="dxa"/>
          <w:bottom w:w="0" w:type="dxa"/>
          <w:end w:w="108" w:type="dxa"/>
        </w:tblCellMar>
      </w:tblPr>
      <w:tblGrid>
        <w:gridCol w:w="1440"/>
        <w:gridCol w:w="1440"/>
        <w:gridCol w:w="1440"/>
      </w:tblGrid>
      <w:tr>
        <w:trPr/>
        <w:tc>
          <w:tcPr>
            <w:tcW w:w="1440" w:type="dxa"/>
            <w:tcBorders/>
          </w:tcPr>
          <w:p>
            <w:pPr>
              <w:pStyle w:val="Normal"/>
              <w:ind w:end="-36"/>
              <w:jc w:val="center"/>
              <w:rPr>
                <w:rFonts w:ascii="Arial" w:hAnsi="Arial" w:cs="Arial"/>
                <w:sz w:val="20"/>
              </w:rPr>
            </w:pPr>
            <w:r>
              <w:rPr>
                <w:rFonts w:cs="Arial" w:ascii="Arial" w:hAnsi="Arial"/>
                <w:sz w:val="20"/>
              </w:rPr>
              <w:t>Months from May 2001 to Sale date</w:t>
            </w:r>
          </w:p>
        </w:tc>
        <w:tc>
          <w:tcPr>
            <w:tcW w:w="1440" w:type="dxa"/>
            <w:tcBorders/>
          </w:tcPr>
          <w:p>
            <w:pPr>
              <w:pStyle w:val="Normal"/>
              <w:ind w:end="-36"/>
              <w:jc w:val="center"/>
              <w:rPr>
                <w:rFonts w:ascii="Arial" w:hAnsi="Arial" w:cs="Arial"/>
                <w:sz w:val="20"/>
              </w:rPr>
            </w:pPr>
            <w:r>
              <w:rPr>
                <w:rFonts w:cs="Arial" w:ascii="Arial" w:hAnsi="Arial"/>
                <w:sz w:val="20"/>
              </w:rPr>
              <w:t>Proceeds Retained by Highstar</w:t>
            </w:r>
          </w:p>
        </w:tc>
        <w:tc>
          <w:tcPr>
            <w:tcW w:w="1440" w:type="dxa"/>
            <w:tcBorders/>
          </w:tcPr>
          <w:p>
            <w:pPr>
              <w:pStyle w:val="Normal"/>
              <w:ind w:end="-36"/>
              <w:jc w:val="center"/>
              <w:rPr>
                <w:rFonts w:ascii="Arial" w:hAnsi="Arial" w:cs="Arial"/>
                <w:sz w:val="20"/>
              </w:rPr>
            </w:pPr>
            <w:r>
              <w:rPr>
                <w:rFonts w:cs="Arial" w:ascii="Arial" w:hAnsi="Arial"/>
                <w:sz w:val="20"/>
              </w:rPr>
              <w:t>Proceeds Payable to ENA</w:t>
            </w:r>
          </w:p>
        </w:tc>
      </w:tr>
      <w:tr>
        <w:trPr/>
        <w:tc>
          <w:tcPr>
            <w:tcW w:w="1440" w:type="dxa"/>
            <w:tcBorders/>
          </w:tcPr>
          <w:p>
            <w:pPr>
              <w:pStyle w:val="Normal"/>
              <w:ind w:end="-36"/>
              <w:jc w:val="center"/>
              <w:rPr>
                <w:rFonts w:ascii="Arial" w:hAnsi="Arial" w:cs="Arial"/>
                <w:sz w:val="20"/>
              </w:rPr>
            </w:pPr>
            <w:r>
              <w:rPr>
                <w:rFonts w:cs="Arial" w:ascii="Arial" w:hAnsi="Arial"/>
                <w:sz w:val="20"/>
              </w:rPr>
              <w:t>8 or less</w:t>
            </w:r>
          </w:p>
        </w:tc>
        <w:tc>
          <w:tcPr>
            <w:tcW w:w="1440" w:type="dxa"/>
            <w:tcBorders/>
          </w:tcPr>
          <w:p>
            <w:pPr>
              <w:pStyle w:val="Normal"/>
              <w:ind w:end="-36"/>
              <w:jc w:val="center"/>
              <w:rPr>
                <w:rFonts w:ascii="Arial" w:hAnsi="Arial" w:cs="Arial"/>
                <w:sz w:val="20"/>
              </w:rPr>
            </w:pPr>
            <w:r>
              <w:rPr>
                <w:rFonts w:cs="Arial" w:ascii="Arial" w:hAnsi="Arial"/>
                <w:sz w:val="20"/>
              </w:rPr>
              <w:t>10%</w:t>
            </w:r>
          </w:p>
        </w:tc>
        <w:tc>
          <w:tcPr>
            <w:tcW w:w="1440" w:type="dxa"/>
            <w:tcBorders/>
          </w:tcPr>
          <w:p>
            <w:pPr>
              <w:pStyle w:val="Normal"/>
              <w:ind w:end="-36"/>
              <w:jc w:val="center"/>
              <w:rPr>
                <w:rFonts w:ascii="Arial" w:hAnsi="Arial" w:cs="Arial"/>
                <w:sz w:val="20"/>
              </w:rPr>
            </w:pPr>
            <w:r>
              <w:rPr>
                <w:rFonts w:cs="Arial" w:ascii="Arial" w:hAnsi="Arial"/>
                <w:sz w:val="20"/>
              </w:rPr>
              <w:t>90%</w:t>
            </w:r>
          </w:p>
        </w:tc>
      </w:tr>
      <w:tr>
        <w:trPr/>
        <w:tc>
          <w:tcPr>
            <w:tcW w:w="1440" w:type="dxa"/>
            <w:tcBorders/>
          </w:tcPr>
          <w:p>
            <w:pPr>
              <w:pStyle w:val="Normal"/>
              <w:ind w:end="-36"/>
              <w:jc w:val="center"/>
              <w:rPr>
                <w:rFonts w:ascii="Arial" w:hAnsi="Arial" w:cs="Arial"/>
                <w:sz w:val="20"/>
              </w:rPr>
            </w:pPr>
            <w:r>
              <w:rPr>
                <w:rFonts w:cs="Arial" w:ascii="Arial" w:hAnsi="Arial"/>
                <w:sz w:val="20"/>
              </w:rPr>
              <w:t>9</w:t>
            </w:r>
          </w:p>
        </w:tc>
        <w:tc>
          <w:tcPr>
            <w:tcW w:w="1440" w:type="dxa"/>
            <w:tcBorders/>
          </w:tcPr>
          <w:p>
            <w:pPr>
              <w:pStyle w:val="Normal"/>
              <w:ind w:end="-36"/>
              <w:jc w:val="center"/>
              <w:rPr>
                <w:rFonts w:ascii="Arial" w:hAnsi="Arial" w:cs="Arial"/>
                <w:sz w:val="20"/>
              </w:rPr>
            </w:pPr>
            <w:r>
              <w:rPr>
                <w:rFonts w:cs="Arial" w:ascii="Arial" w:hAnsi="Arial"/>
                <w:sz w:val="20"/>
              </w:rPr>
              <w:t>20%</w:t>
            </w:r>
          </w:p>
        </w:tc>
        <w:tc>
          <w:tcPr>
            <w:tcW w:w="1440" w:type="dxa"/>
            <w:tcBorders/>
          </w:tcPr>
          <w:p>
            <w:pPr>
              <w:pStyle w:val="Normal"/>
              <w:ind w:end="-36"/>
              <w:jc w:val="center"/>
              <w:rPr>
                <w:rFonts w:ascii="Arial" w:hAnsi="Arial" w:cs="Arial"/>
                <w:sz w:val="20"/>
              </w:rPr>
            </w:pPr>
            <w:r>
              <w:rPr>
                <w:rFonts w:cs="Arial" w:ascii="Arial" w:hAnsi="Arial"/>
                <w:sz w:val="20"/>
              </w:rPr>
              <w:t>80%</w:t>
            </w:r>
          </w:p>
        </w:tc>
      </w:tr>
      <w:tr>
        <w:trPr/>
        <w:tc>
          <w:tcPr>
            <w:tcW w:w="1440" w:type="dxa"/>
            <w:tcBorders/>
          </w:tcPr>
          <w:p>
            <w:pPr>
              <w:pStyle w:val="Normal"/>
              <w:ind w:end="-36"/>
              <w:jc w:val="center"/>
              <w:rPr>
                <w:rFonts w:ascii="Arial" w:hAnsi="Arial" w:cs="Arial"/>
                <w:sz w:val="20"/>
              </w:rPr>
            </w:pPr>
            <w:r>
              <w:rPr>
                <w:rFonts w:cs="Arial" w:ascii="Arial" w:hAnsi="Arial"/>
                <w:sz w:val="20"/>
              </w:rPr>
              <w:t>10-11</w:t>
            </w:r>
          </w:p>
        </w:tc>
        <w:tc>
          <w:tcPr>
            <w:tcW w:w="1440" w:type="dxa"/>
            <w:tcBorders/>
          </w:tcPr>
          <w:p>
            <w:pPr>
              <w:pStyle w:val="Normal"/>
              <w:ind w:end="-36"/>
              <w:jc w:val="center"/>
              <w:rPr>
                <w:rFonts w:ascii="Arial" w:hAnsi="Arial" w:cs="Arial"/>
                <w:sz w:val="20"/>
              </w:rPr>
            </w:pPr>
            <w:r>
              <w:rPr>
                <w:rFonts w:cs="Arial" w:ascii="Arial" w:hAnsi="Arial"/>
                <w:sz w:val="20"/>
              </w:rPr>
              <w:t>30%</w:t>
            </w:r>
          </w:p>
        </w:tc>
        <w:tc>
          <w:tcPr>
            <w:tcW w:w="1440" w:type="dxa"/>
            <w:tcBorders/>
          </w:tcPr>
          <w:p>
            <w:pPr>
              <w:pStyle w:val="Normal"/>
              <w:ind w:end="-36"/>
              <w:jc w:val="center"/>
              <w:rPr>
                <w:rFonts w:ascii="Arial" w:hAnsi="Arial" w:cs="Arial"/>
                <w:sz w:val="20"/>
              </w:rPr>
            </w:pPr>
            <w:r>
              <w:rPr>
                <w:rFonts w:cs="Arial" w:ascii="Arial" w:hAnsi="Arial"/>
                <w:sz w:val="20"/>
              </w:rPr>
              <w:t>70%</w:t>
            </w:r>
          </w:p>
        </w:tc>
      </w:tr>
      <w:tr>
        <w:trPr/>
        <w:tc>
          <w:tcPr>
            <w:tcW w:w="1440" w:type="dxa"/>
            <w:tcBorders/>
          </w:tcPr>
          <w:p>
            <w:pPr>
              <w:pStyle w:val="Normal"/>
              <w:ind w:end="-36"/>
              <w:jc w:val="center"/>
              <w:rPr>
                <w:rFonts w:ascii="Arial" w:hAnsi="Arial" w:cs="Arial"/>
                <w:sz w:val="20"/>
              </w:rPr>
            </w:pPr>
            <w:r>
              <w:rPr>
                <w:rFonts w:cs="Arial" w:ascii="Arial" w:hAnsi="Arial"/>
                <w:sz w:val="20"/>
              </w:rPr>
              <w:t>12</w:t>
            </w:r>
          </w:p>
        </w:tc>
        <w:tc>
          <w:tcPr>
            <w:tcW w:w="1440" w:type="dxa"/>
            <w:tcBorders/>
          </w:tcPr>
          <w:p>
            <w:pPr>
              <w:pStyle w:val="Normal"/>
              <w:ind w:end="-36"/>
              <w:jc w:val="center"/>
              <w:rPr>
                <w:rFonts w:ascii="Arial" w:hAnsi="Arial" w:cs="Arial"/>
                <w:sz w:val="20"/>
              </w:rPr>
            </w:pPr>
            <w:r>
              <w:rPr>
                <w:rFonts w:cs="Arial" w:ascii="Arial" w:hAnsi="Arial"/>
                <w:sz w:val="20"/>
              </w:rPr>
              <w:t>35%</w:t>
            </w:r>
          </w:p>
        </w:tc>
        <w:tc>
          <w:tcPr>
            <w:tcW w:w="1440" w:type="dxa"/>
            <w:tcBorders/>
          </w:tcPr>
          <w:p>
            <w:pPr>
              <w:pStyle w:val="Normal"/>
              <w:ind w:end="-36"/>
              <w:jc w:val="center"/>
              <w:rPr>
                <w:rFonts w:ascii="Arial" w:hAnsi="Arial" w:cs="Arial"/>
                <w:sz w:val="20"/>
              </w:rPr>
            </w:pPr>
            <w:r>
              <w:rPr>
                <w:rFonts w:cs="Arial" w:ascii="Arial" w:hAnsi="Arial"/>
                <w:sz w:val="20"/>
              </w:rPr>
              <w:t>65%</w:t>
            </w:r>
          </w:p>
        </w:tc>
      </w:tr>
      <w:tr>
        <w:trPr/>
        <w:tc>
          <w:tcPr>
            <w:tcW w:w="1440" w:type="dxa"/>
            <w:tcBorders/>
          </w:tcPr>
          <w:p>
            <w:pPr>
              <w:pStyle w:val="Normal"/>
              <w:ind w:end="-36"/>
              <w:jc w:val="center"/>
              <w:rPr>
                <w:rFonts w:ascii="Arial" w:hAnsi="Arial" w:cs="Arial"/>
                <w:sz w:val="20"/>
              </w:rPr>
            </w:pPr>
            <w:r>
              <w:rPr>
                <w:rFonts w:cs="Arial" w:ascii="Arial" w:hAnsi="Arial"/>
                <w:sz w:val="20"/>
              </w:rPr>
              <w:t>13</w:t>
            </w:r>
          </w:p>
        </w:tc>
        <w:tc>
          <w:tcPr>
            <w:tcW w:w="1440" w:type="dxa"/>
            <w:tcBorders/>
          </w:tcPr>
          <w:p>
            <w:pPr>
              <w:pStyle w:val="Normal"/>
              <w:ind w:end="-36"/>
              <w:jc w:val="center"/>
              <w:rPr>
                <w:rFonts w:ascii="Arial" w:hAnsi="Arial" w:cs="Arial"/>
                <w:sz w:val="20"/>
              </w:rPr>
            </w:pPr>
            <w:r>
              <w:rPr>
                <w:rFonts w:cs="Arial" w:ascii="Arial" w:hAnsi="Arial"/>
                <w:sz w:val="20"/>
              </w:rPr>
              <w:t>40%</w:t>
            </w:r>
          </w:p>
        </w:tc>
        <w:tc>
          <w:tcPr>
            <w:tcW w:w="1440" w:type="dxa"/>
            <w:tcBorders/>
          </w:tcPr>
          <w:p>
            <w:pPr>
              <w:pStyle w:val="Normal"/>
              <w:ind w:end="-36"/>
              <w:jc w:val="center"/>
              <w:rPr>
                <w:rFonts w:ascii="Arial" w:hAnsi="Arial" w:cs="Arial"/>
                <w:sz w:val="20"/>
              </w:rPr>
            </w:pPr>
            <w:r>
              <w:rPr>
                <w:rFonts w:cs="Arial" w:ascii="Arial" w:hAnsi="Arial"/>
                <w:sz w:val="20"/>
              </w:rPr>
              <w:t>60%</w:t>
            </w:r>
          </w:p>
        </w:tc>
      </w:tr>
      <w:tr>
        <w:trPr/>
        <w:tc>
          <w:tcPr>
            <w:tcW w:w="1440" w:type="dxa"/>
            <w:tcBorders/>
          </w:tcPr>
          <w:p>
            <w:pPr>
              <w:pStyle w:val="Normal"/>
              <w:ind w:end="-36"/>
              <w:jc w:val="center"/>
              <w:rPr>
                <w:rFonts w:ascii="Arial" w:hAnsi="Arial" w:cs="Arial"/>
                <w:sz w:val="20"/>
              </w:rPr>
            </w:pPr>
            <w:r>
              <w:rPr>
                <w:rFonts w:cs="Arial" w:ascii="Arial" w:hAnsi="Arial"/>
                <w:sz w:val="20"/>
              </w:rPr>
              <w:t>14</w:t>
            </w:r>
          </w:p>
        </w:tc>
        <w:tc>
          <w:tcPr>
            <w:tcW w:w="1440" w:type="dxa"/>
            <w:tcBorders/>
          </w:tcPr>
          <w:p>
            <w:pPr>
              <w:pStyle w:val="Normal"/>
              <w:ind w:end="-36"/>
              <w:jc w:val="center"/>
              <w:rPr>
                <w:rFonts w:ascii="Arial" w:hAnsi="Arial" w:cs="Arial"/>
                <w:sz w:val="20"/>
              </w:rPr>
            </w:pPr>
            <w:r>
              <w:rPr>
                <w:rFonts w:cs="Arial" w:ascii="Arial" w:hAnsi="Arial"/>
                <w:sz w:val="20"/>
              </w:rPr>
              <w:t>45%</w:t>
            </w:r>
          </w:p>
        </w:tc>
        <w:tc>
          <w:tcPr>
            <w:tcW w:w="1440" w:type="dxa"/>
            <w:tcBorders/>
          </w:tcPr>
          <w:p>
            <w:pPr>
              <w:pStyle w:val="Normal"/>
              <w:ind w:end="-36"/>
              <w:jc w:val="center"/>
              <w:rPr>
                <w:rFonts w:ascii="Arial" w:hAnsi="Arial" w:cs="Arial"/>
                <w:sz w:val="20"/>
              </w:rPr>
            </w:pPr>
            <w:r>
              <w:rPr>
                <w:rFonts w:cs="Arial" w:ascii="Arial" w:hAnsi="Arial"/>
                <w:sz w:val="20"/>
              </w:rPr>
              <w:t>55%</w:t>
            </w:r>
          </w:p>
        </w:tc>
      </w:tr>
      <w:tr>
        <w:trPr/>
        <w:tc>
          <w:tcPr>
            <w:tcW w:w="1440" w:type="dxa"/>
            <w:tcBorders/>
          </w:tcPr>
          <w:p>
            <w:pPr>
              <w:pStyle w:val="Normal"/>
              <w:ind w:end="-36"/>
              <w:jc w:val="center"/>
              <w:rPr>
                <w:rFonts w:ascii="Arial" w:hAnsi="Arial" w:cs="Arial"/>
                <w:sz w:val="20"/>
              </w:rPr>
            </w:pPr>
            <w:r>
              <w:rPr>
                <w:rFonts w:cs="Arial" w:ascii="Arial" w:hAnsi="Arial"/>
                <w:sz w:val="20"/>
              </w:rPr>
              <w:t>15</w:t>
            </w:r>
          </w:p>
        </w:tc>
        <w:tc>
          <w:tcPr>
            <w:tcW w:w="1440" w:type="dxa"/>
            <w:tcBorders/>
          </w:tcPr>
          <w:p>
            <w:pPr>
              <w:pStyle w:val="Normal"/>
              <w:ind w:end="-36"/>
              <w:jc w:val="center"/>
              <w:rPr>
                <w:rFonts w:ascii="Arial" w:hAnsi="Arial" w:cs="Arial"/>
                <w:sz w:val="20"/>
              </w:rPr>
            </w:pPr>
            <w:r>
              <w:rPr>
                <w:rFonts w:cs="Arial" w:ascii="Arial" w:hAnsi="Arial"/>
                <w:sz w:val="20"/>
              </w:rPr>
              <w:t>50%</w:t>
            </w:r>
          </w:p>
        </w:tc>
        <w:tc>
          <w:tcPr>
            <w:tcW w:w="1440" w:type="dxa"/>
            <w:tcBorders/>
          </w:tcPr>
          <w:p>
            <w:pPr>
              <w:pStyle w:val="Normal"/>
              <w:ind w:end="-36"/>
              <w:jc w:val="center"/>
              <w:rPr>
                <w:rFonts w:ascii="Arial" w:hAnsi="Arial" w:cs="Arial"/>
                <w:sz w:val="20"/>
              </w:rPr>
            </w:pPr>
            <w:r>
              <w:rPr>
                <w:rFonts w:cs="Arial" w:ascii="Arial" w:hAnsi="Arial"/>
                <w:sz w:val="20"/>
              </w:rPr>
              <w:t>50%</w:t>
            </w:r>
          </w:p>
        </w:tc>
      </w:tr>
      <w:tr>
        <w:trPr/>
        <w:tc>
          <w:tcPr>
            <w:tcW w:w="1440" w:type="dxa"/>
            <w:tcBorders/>
          </w:tcPr>
          <w:p>
            <w:pPr>
              <w:pStyle w:val="Normal"/>
              <w:ind w:end="-36"/>
              <w:jc w:val="center"/>
              <w:rPr>
                <w:rFonts w:ascii="Arial" w:hAnsi="Arial" w:cs="Arial"/>
                <w:sz w:val="20"/>
              </w:rPr>
            </w:pPr>
            <w:r>
              <w:rPr>
                <w:rFonts w:cs="Arial" w:ascii="Arial" w:hAnsi="Arial"/>
                <w:sz w:val="20"/>
              </w:rPr>
              <w:t>16</w:t>
            </w:r>
          </w:p>
        </w:tc>
        <w:tc>
          <w:tcPr>
            <w:tcW w:w="1440" w:type="dxa"/>
            <w:tcBorders/>
          </w:tcPr>
          <w:p>
            <w:pPr>
              <w:pStyle w:val="Normal"/>
              <w:ind w:end="-36"/>
              <w:jc w:val="center"/>
              <w:rPr>
                <w:rFonts w:ascii="Arial" w:hAnsi="Arial" w:cs="Arial"/>
                <w:sz w:val="20"/>
              </w:rPr>
            </w:pPr>
            <w:r>
              <w:rPr>
                <w:rFonts w:cs="Arial" w:ascii="Arial" w:hAnsi="Arial"/>
                <w:sz w:val="20"/>
              </w:rPr>
              <w:t>55%</w:t>
            </w:r>
          </w:p>
        </w:tc>
        <w:tc>
          <w:tcPr>
            <w:tcW w:w="1440" w:type="dxa"/>
            <w:tcBorders/>
          </w:tcPr>
          <w:p>
            <w:pPr>
              <w:pStyle w:val="Normal"/>
              <w:ind w:end="-36"/>
              <w:jc w:val="center"/>
              <w:rPr>
                <w:rFonts w:ascii="Arial" w:hAnsi="Arial" w:cs="Arial"/>
                <w:sz w:val="20"/>
              </w:rPr>
            </w:pPr>
            <w:r>
              <w:rPr>
                <w:rFonts w:cs="Arial" w:ascii="Arial" w:hAnsi="Arial"/>
                <w:sz w:val="20"/>
              </w:rPr>
              <w:t>45%</w:t>
            </w:r>
          </w:p>
        </w:tc>
      </w:tr>
      <w:tr>
        <w:trPr/>
        <w:tc>
          <w:tcPr>
            <w:tcW w:w="1440" w:type="dxa"/>
            <w:tcBorders/>
          </w:tcPr>
          <w:p>
            <w:pPr>
              <w:pStyle w:val="Normal"/>
              <w:ind w:end="-36"/>
              <w:jc w:val="center"/>
              <w:rPr>
                <w:rFonts w:ascii="Arial" w:hAnsi="Arial" w:cs="Arial"/>
                <w:sz w:val="20"/>
              </w:rPr>
            </w:pPr>
            <w:r>
              <w:rPr>
                <w:rFonts w:cs="Arial" w:ascii="Arial" w:hAnsi="Arial"/>
                <w:sz w:val="20"/>
              </w:rPr>
              <w:t>17</w:t>
            </w:r>
          </w:p>
        </w:tc>
        <w:tc>
          <w:tcPr>
            <w:tcW w:w="1440" w:type="dxa"/>
            <w:tcBorders/>
          </w:tcPr>
          <w:p>
            <w:pPr>
              <w:pStyle w:val="Normal"/>
              <w:ind w:end="-36"/>
              <w:jc w:val="center"/>
              <w:rPr>
                <w:rFonts w:ascii="Arial" w:hAnsi="Arial" w:cs="Arial"/>
                <w:sz w:val="20"/>
              </w:rPr>
            </w:pPr>
            <w:r>
              <w:rPr>
                <w:rFonts w:cs="Arial" w:ascii="Arial" w:hAnsi="Arial"/>
                <w:sz w:val="20"/>
              </w:rPr>
              <w:t>60%</w:t>
            </w:r>
          </w:p>
        </w:tc>
        <w:tc>
          <w:tcPr>
            <w:tcW w:w="1440" w:type="dxa"/>
            <w:tcBorders/>
          </w:tcPr>
          <w:p>
            <w:pPr>
              <w:pStyle w:val="Normal"/>
              <w:ind w:end="-36"/>
              <w:jc w:val="center"/>
              <w:rPr>
                <w:rFonts w:ascii="Arial" w:hAnsi="Arial" w:cs="Arial"/>
                <w:sz w:val="20"/>
              </w:rPr>
            </w:pPr>
            <w:r>
              <w:rPr>
                <w:rFonts w:cs="Arial" w:ascii="Arial" w:hAnsi="Arial"/>
                <w:sz w:val="20"/>
              </w:rPr>
              <w:t>40%</w:t>
            </w:r>
          </w:p>
        </w:tc>
      </w:tr>
      <w:tr>
        <w:trPr/>
        <w:tc>
          <w:tcPr>
            <w:tcW w:w="1440" w:type="dxa"/>
            <w:tcBorders/>
          </w:tcPr>
          <w:p>
            <w:pPr>
              <w:pStyle w:val="Normal"/>
              <w:ind w:end="-36"/>
              <w:jc w:val="center"/>
              <w:rPr>
                <w:rFonts w:ascii="Arial" w:hAnsi="Arial" w:cs="Arial"/>
                <w:sz w:val="20"/>
              </w:rPr>
            </w:pPr>
            <w:r>
              <w:rPr>
                <w:rFonts w:cs="Arial" w:ascii="Arial" w:hAnsi="Arial"/>
                <w:sz w:val="20"/>
              </w:rPr>
              <w:t>18</w:t>
            </w:r>
          </w:p>
        </w:tc>
        <w:tc>
          <w:tcPr>
            <w:tcW w:w="1440" w:type="dxa"/>
            <w:tcBorders/>
          </w:tcPr>
          <w:p>
            <w:pPr>
              <w:pStyle w:val="Normal"/>
              <w:ind w:end="-36"/>
              <w:jc w:val="center"/>
              <w:rPr>
                <w:rFonts w:ascii="Arial" w:hAnsi="Arial" w:cs="Arial"/>
                <w:sz w:val="20"/>
              </w:rPr>
            </w:pPr>
            <w:r>
              <w:rPr>
                <w:rFonts w:cs="Arial" w:ascii="Arial" w:hAnsi="Arial"/>
                <w:sz w:val="20"/>
              </w:rPr>
              <w:t>65%</w:t>
            </w:r>
          </w:p>
        </w:tc>
        <w:tc>
          <w:tcPr>
            <w:tcW w:w="1440" w:type="dxa"/>
            <w:tcBorders/>
          </w:tcPr>
          <w:p>
            <w:pPr>
              <w:pStyle w:val="Normal"/>
              <w:ind w:end="-36"/>
              <w:jc w:val="center"/>
              <w:rPr>
                <w:rFonts w:ascii="Arial" w:hAnsi="Arial" w:cs="Arial"/>
                <w:sz w:val="20"/>
              </w:rPr>
            </w:pPr>
            <w:r>
              <w:rPr>
                <w:rFonts w:cs="Arial" w:ascii="Arial" w:hAnsi="Arial"/>
                <w:sz w:val="20"/>
              </w:rPr>
              <w:t>35%</w:t>
            </w:r>
          </w:p>
        </w:tc>
      </w:tr>
      <w:tr>
        <w:trPr/>
        <w:tc>
          <w:tcPr>
            <w:tcW w:w="1440" w:type="dxa"/>
            <w:tcBorders/>
          </w:tcPr>
          <w:p>
            <w:pPr>
              <w:pStyle w:val="Normal"/>
              <w:ind w:end="-36"/>
              <w:jc w:val="center"/>
              <w:rPr>
                <w:rFonts w:ascii="Arial" w:hAnsi="Arial" w:cs="Arial"/>
                <w:sz w:val="20"/>
              </w:rPr>
            </w:pPr>
            <w:r>
              <w:rPr>
                <w:rFonts w:cs="Arial" w:ascii="Arial" w:hAnsi="Arial"/>
                <w:sz w:val="20"/>
              </w:rPr>
              <w:t>19</w:t>
            </w:r>
          </w:p>
        </w:tc>
        <w:tc>
          <w:tcPr>
            <w:tcW w:w="1440" w:type="dxa"/>
            <w:tcBorders/>
          </w:tcPr>
          <w:p>
            <w:pPr>
              <w:pStyle w:val="Normal"/>
              <w:ind w:end="-36"/>
              <w:jc w:val="center"/>
              <w:rPr>
                <w:rFonts w:ascii="Arial" w:hAnsi="Arial" w:cs="Arial"/>
                <w:sz w:val="20"/>
              </w:rPr>
            </w:pPr>
            <w:r>
              <w:rPr>
                <w:rFonts w:cs="Arial" w:ascii="Arial" w:hAnsi="Arial"/>
                <w:sz w:val="20"/>
              </w:rPr>
              <w:t>70%</w:t>
            </w:r>
          </w:p>
        </w:tc>
        <w:tc>
          <w:tcPr>
            <w:tcW w:w="1440" w:type="dxa"/>
            <w:tcBorders/>
          </w:tcPr>
          <w:p>
            <w:pPr>
              <w:pStyle w:val="Normal"/>
              <w:ind w:end="-36"/>
              <w:jc w:val="center"/>
              <w:rPr>
                <w:rFonts w:ascii="Arial" w:hAnsi="Arial" w:cs="Arial"/>
                <w:sz w:val="20"/>
              </w:rPr>
            </w:pPr>
            <w:r>
              <w:rPr>
                <w:rFonts w:cs="Arial" w:ascii="Arial" w:hAnsi="Arial"/>
                <w:sz w:val="20"/>
              </w:rPr>
              <w:t>30%</w:t>
            </w:r>
          </w:p>
        </w:tc>
      </w:tr>
      <w:tr>
        <w:trPr/>
        <w:tc>
          <w:tcPr>
            <w:tcW w:w="1440" w:type="dxa"/>
            <w:tcBorders/>
          </w:tcPr>
          <w:p>
            <w:pPr>
              <w:pStyle w:val="Normal"/>
              <w:ind w:end="-36"/>
              <w:jc w:val="center"/>
              <w:rPr>
                <w:rFonts w:ascii="Arial" w:hAnsi="Arial" w:cs="Arial"/>
                <w:sz w:val="20"/>
              </w:rPr>
            </w:pPr>
            <w:r>
              <w:rPr>
                <w:rFonts w:cs="Arial" w:ascii="Arial" w:hAnsi="Arial"/>
                <w:sz w:val="20"/>
              </w:rPr>
              <w:t>20</w:t>
            </w:r>
          </w:p>
        </w:tc>
        <w:tc>
          <w:tcPr>
            <w:tcW w:w="1440" w:type="dxa"/>
            <w:tcBorders/>
          </w:tcPr>
          <w:p>
            <w:pPr>
              <w:pStyle w:val="Normal"/>
              <w:ind w:end="-36"/>
              <w:jc w:val="center"/>
              <w:rPr>
                <w:rFonts w:ascii="Arial" w:hAnsi="Arial" w:cs="Arial"/>
                <w:sz w:val="20"/>
              </w:rPr>
            </w:pPr>
            <w:r>
              <w:rPr>
                <w:rFonts w:cs="Arial" w:ascii="Arial" w:hAnsi="Arial"/>
                <w:sz w:val="20"/>
              </w:rPr>
              <w:t>75%</w:t>
            </w:r>
          </w:p>
        </w:tc>
        <w:tc>
          <w:tcPr>
            <w:tcW w:w="1440" w:type="dxa"/>
            <w:tcBorders/>
          </w:tcPr>
          <w:p>
            <w:pPr>
              <w:pStyle w:val="Normal"/>
              <w:ind w:end="-36"/>
              <w:jc w:val="center"/>
              <w:rPr>
                <w:rFonts w:ascii="Arial" w:hAnsi="Arial" w:cs="Arial"/>
                <w:sz w:val="20"/>
              </w:rPr>
            </w:pPr>
            <w:r>
              <w:rPr>
                <w:rFonts w:cs="Arial" w:ascii="Arial" w:hAnsi="Arial"/>
                <w:sz w:val="20"/>
              </w:rPr>
              <w:t>25%</w:t>
            </w:r>
          </w:p>
        </w:tc>
      </w:tr>
      <w:tr>
        <w:trPr/>
        <w:tc>
          <w:tcPr>
            <w:tcW w:w="1440" w:type="dxa"/>
            <w:tcBorders/>
          </w:tcPr>
          <w:p>
            <w:pPr>
              <w:pStyle w:val="Normal"/>
              <w:ind w:end="-36"/>
              <w:jc w:val="center"/>
              <w:rPr>
                <w:rFonts w:ascii="Arial" w:hAnsi="Arial" w:cs="Arial"/>
                <w:sz w:val="20"/>
              </w:rPr>
            </w:pPr>
            <w:r>
              <w:rPr>
                <w:rFonts w:cs="Arial" w:ascii="Arial" w:hAnsi="Arial"/>
                <w:sz w:val="20"/>
              </w:rPr>
              <w:t>21 and thereafter</w:t>
            </w:r>
          </w:p>
        </w:tc>
        <w:tc>
          <w:tcPr>
            <w:tcW w:w="1440" w:type="dxa"/>
            <w:tcBorders/>
          </w:tcPr>
          <w:p>
            <w:pPr>
              <w:pStyle w:val="Normal"/>
              <w:ind w:end="-36"/>
              <w:jc w:val="center"/>
              <w:rPr>
                <w:rFonts w:ascii="Arial" w:hAnsi="Arial" w:cs="Arial"/>
                <w:sz w:val="20"/>
              </w:rPr>
            </w:pPr>
            <w:r>
              <w:rPr>
                <w:rFonts w:cs="Arial" w:ascii="Arial" w:hAnsi="Arial"/>
                <w:sz w:val="20"/>
              </w:rPr>
              <w:t>80%</w:t>
            </w:r>
          </w:p>
        </w:tc>
        <w:tc>
          <w:tcPr>
            <w:tcW w:w="1440" w:type="dxa"/>
            <w:tcBorders/>
          </w:tcPr>
          <w:p>
            <w:pPr>
              <w:pStyle w:val="Normal"/>
              <w:ind w:end="-36"/>
              <w:jc w:val="center"/>
              <w:rPr>
                <w:rFonts w:ascii="Arial" w:hAnsi="Arial" w:cs="Arial"/>
                <w:sz w:val="20"/>
              </w:rPr>
            </w:pPr>
            <w:r>
              <w:rPr>
                <w:rFonts w:cs="Arial" w:ascii="Arial" w:hAnsi="Arial"/>
                <w:sz w:val="20"/>
              </w:rPr>
              <w:t>20%</w:t>
            </w:r>
          </w:p>
        </w:tc>
      </w:tr>
    </w:tbl>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eastAsia="Arial" w:cs="Arial"/>
          <w:sz w:val="20"/>
        </w:rPr>
      </w:pPr>
      <w:r>
        <w:rPr>
          <w:rFonts w:eastAsia="Arial" w:cs="Arial" w:ascii="Arial" w:hAnsi="Arial"/>
          <w:sz w:val="20"/>
        </w:rPr>
        <w:t xml:space="preserve">  </w:t>
      </w:r>
    </w:p>
    <w:p>
      <w:pPr>
        <w:pStyle w:val="Normal"/>
        <w:numPr>
          <w:ilvl w:val="0"/>
          <w:numId w:val="11"/>
        </w:numPr>
        <w:ind w:hanging="360" w:start="720" w:end="-36"/>
        <w:rPr>
          <w:rFonts w:ascii="Arial" w:hAnsi="Arial" w:cs="Arial"/>
          <w:sz w:val="20"/>
        </w:rPr>
      </w:pPr>
      <w:r>
        <w:rPr>
          <w:rFonts w:cs="Arial" w:ascii="Arial" w:hAnsi="Arial"/>
          <w:sz w:val="20"/>
        </w:rPr>
        <w:t>If ECT Securities does not complete the third party sale by year-end 2001, ENA has the sole right, but not the obligation to offer to Highstar either a financial hedge arrangement or a unit-contingent off-take agreement.  Highstar will have the right to accept or reject either proposal with ENA having no further obligation to Highstar.  If ENA does not offer such products to Highstar, ENA loses its claim to contingent consideration described above.</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rPr>
          <w:rFonts w:cs="Arial" w:ascii="Arial" w:hAnsi="Arial"/>
        </w:rPr>
        <w:t>RETURN SUMMARY (Undiscounted)</w:t>
      </w:r>
    </w:p>
    <w:p>
      <w:pPr>
        <w:pStyle w:val="Normal"/>
        <w:ind w:end="-36"/>
        <w:rPr>
          <w:rFonts w:ascii="Arial" w:hAnsi="Arial" w:cs="Arial"/>
          <w:b/>
          <w:sz w:val="20"/>
        </w:rPr>
      </w:pPr>
      <w:r>
        <w:rPr>
          <w:rFonts w:cs="Arial" w:ascii="Arial" w:hAnsi="Arial"/>
          <w:b/>
          <w:sz w:val="20"/>
        </w:rPr>
      </w:r>
    </w:p>
    <w:tbl>
      <w:tblPr>
        <w:tblW w:w="6188" w:type="dxa"/>
        <w:jc w:val="start"/>
        <w:tblInd w:w="2010" w:type="dxa"/>
        <w:tblLayout w:type="fixed"/>
        <w:tblCellMar>
          <w:top w:w="0" w:type="dxa"/>
          <w:start w:w="108" w:type="dxa"/>
          <w:bottom w:w="0" w:type="dxa"/>
          <w:end w:w="108" w:type="dxa"/>
        </w:tblCellMar>
      </w:tblPr>
      <w:tblGrid>
        <w:gridCol w:w="4398"/>
        <w:gridCol w:w="1790"/>
      </w:tblGrid>
      <w:tr>
        <w:trPr/>
        <w:tc>
          <w:tcPr>
            <w:tcW w:w="43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cs="Arial" w:ascii="Arial" w:hAnsi="Arial"/>
                <w:b/>
                <w:bCs/>
                <w:sz w:val="20"/>
              </w:rPr>
              <w:t>Purchase Price Received from Highstar</w:t>
            </w:r>
          </w:p>
        </w:tc>
        <w:tc>
          <w:tcPr>
            <w:tcW w:w="1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$22,765,000</w:t>
            </w:r>
          </w:p>
        </w:tc>
      </w:tr>
      <w:tr>
        <w:trPr/>
        <w:tc>
          <w:tcPr>
            <w:tcW w:w="43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0"/>
              </w:rPr>
            </w:pPr>
            <w:r>
              <w:rPr>
                <w:rFonts w:cs="Arial" w:ascii="Arial" w:hAnsi="Arial"/>
                <w:b/>
                <w:bCs/>
                <w:sz w:val="20"/>
              </w:rPr>
            </w:r>
          </w:p>
        </w:tc>
        <w:tc>
          <w:tcPr>
            <w:tcW w:w="17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sz w:val="20"/>
              </w:rPr>
            </w:pPr>
            <w:r>
              <w:rPr>
                <w:rFonts w:cs="Arial" w:ascii="Arial" w:hAnsi="Arial"/>
                <w:sz w:val="20"/>
              </w:rPr>
            </w:r>
          </w:p>
        </w:tc>
      </w:tr>
      <w:tr>
        <w:trPr/>
        <w:tc>
          <w:tcPr>
            <w:tcW w:w="43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Initial Purchase Price Paid</w:t>
            </w:r>
          </w:p>
        </w:tc>
        <w:tc>
          <w:tcPr>
            <w:tcW w:w="17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( 3,500,000)</w:t>
            </w:r>
          </w:p>
        </w:tc>
      </w:tr>
      <w:tr>
        <w:trPr/>
        <w:tc>
          <w:tcPr>
            <w:tcW w:w="43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Capital Improvements Paid</w:t>
            </w:r>
          </w:p>
        </w:tc>
        <w:tc>
          <w:tcPr>
            <w:tcW w:w="17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( 1,061,079)</w:t>
            </w:r>
          </w:p>
        </w:tc>
      </w:tr>
      <w:tr>
        <w:trPr/>
        <w:tc>
          <w:tcPr>
            <w:tcW w:w="43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Operating Expenses Paid</w:t>
              <w:tab/>
            </w:r>
          </w:p>
        </w:tc>
        <w:tc>
          <w:tcPr>
            <w:tcW w:w="17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( 3,505,955)</w:t>
            </w:r>
          </w:p>
        </w:tc>
      </w:tr>
      <w:tr>
        <w:trPr/>
        <w:tc>
          <w:tcPr>
            <w:tcW w:w="4398"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szCs w:val="24"/>
              </w:rPr>
            </w:pPr>
            <w:r>
              <w:rPr>
                <w:rFonts w:cs="Arial" w:ascii="Arial" w:hAnsi="Arial"/>
                <w:szCs w:val="24"/>
              </w:rPr>
              <w:t>Highstar Acquisition Fee</w:t>
            </w:r>
          </w:p>
        </w:tc>
        <w:tc>
          <w:tcPr>
            <w:tcW w:w="17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end"/>
              <w:rPr>
                <w:rFonts w:ascii="Arial" w:hAnsi="Arial" w:cs="Arial"/>
                <w:szCs w:val="24"/>
              </w:rPr>
            </w:pPr>
            <w:r>
              <w:rPr>
                <w:rFonts w:cs="Arial" w:ascii="Arial" w:hAnsi="Arial"/>
                <w:szCs w:val="24"/>
              </w:rPr>
              <w:t>(    765,000)</w:t>
            </w:r>
          </w:p>
        </w:tc>
      </w:tr>
      <w:tr>
        <w:trPr/>
        <w:tc>
          <w:tcPr>
            <w:tcW w:w="4398"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b/>
                <w:bCs/>
                <w:szCs w:val="24"/>
              </w:rPr>
            </w:pPr>
            <w:r>
              <w:rPr>
                <w:rFonts w:eastAsia="Arial" w:cs="Arial" w:ascii="Arial" w:hAnsi="Arial"/>
                <w:b/>
                <w:bCs/>
                <w:szCs w:val="24"/>
              </w:rPr>
              <w:t xml:space="preserve">   </w:t>
            </w:r>
            <w:r>
              <w:rPr>
                <w:rFonts w:cs="Arial" w:ascii="Arial" w:hAnsi="Arial"/>
                <w:b/>
                <w:bCs/>
                <w:szCs w:val="24"/>
              </w:rPr>
              <w:t>Total Capital Committed</w:t>
              <w:tab/>
              <w:t xml:space="preserve"> </w:t>
            </w:r>
          </w:p>
        </w:tc>
        <w:tc>
          <w:tcPr>
            <w:tcW w:w="17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end"/>
              <w:rPr>
                <w:rFonts w:ascii="Arial" w:hAnsi="Arial" w:cs="Arial"/>
                <w:b/>
                <w:bCs/>
                <w:szCs w:val="24"/>
              </w:rPr>
            </w:pPr>
            <w:r>
              <w:rPr>
                <w:rFonts w:eastAsia="Arial" w:cs="Arial" w:ascii="Arial" w:hAnsi="Arial"/>
                <w:b/>
                <w:bCs/>
                <w:szCs w:val="24"/>
              </w:rPr>
              <w:t xml:space="preserve">  </w:t>
            </w:r>
            <w:r>
              <w:rPr>
                <w:rFonts w:cs="Arial" w:ascii="Arial" w:hAnsi="Arial"/>
                <w:b/>
                <w:bCs/>
                <w:szCs w:val="24"/>
              </w:rPr>
              <w:t>( 8,242,589)</w:t>
            </w:r>
          </w:p>
        </w:tc>
      </w:tr>
      <w:tr>
        <w:trPr/>
        <w:tc>
          <w:tcPr>
            <w:tcW w:w="43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0"/>
                <w:szCs w:val="24"/>
              </w:rPr>
            </w:pPr>
            <w:r>
              <w:rPr>
                <w:rFonts w:cs="Arial" w:ascii="Arial" w:hAnsi="Arial"/>
                <w:b/>
                <w:bCs/>
                <w:sz w:val="20"/>
                <w:szCs w:val="24"/>
              </w:rPr>
            </w:r>
          </w:p>
        </w:tc>
        <w:tc>
          <w:tcPr>
            <w:tcW w:w="17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sz w:val="20"/>
              </w:rPr>
            </w:pPr>
            <w:r>
              <w:rPr>
                <w:rFonts w:cs="Arial" w:ascii="Arial" w:hAnsi="Arial"/>
                <w:sz w:val="20"/>
              </w:rPr>
            </w:r>
          </w:p>
        </w:tc>
      </w:tr>
      <w:tr>
        <w:trPr/>
        <w:tc>
          <w:tcPr>
            <w:tcW w:w="4398"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b/>
                <w:bCs/>
                <w:szCs w:val="24"/>
              </w:rPr>
            </w:pPr>
            <w:r>
              <w:rPr>
                <w:rFonts w:cs="Arial" w:ascii="Arial" w:hAnsi="Arial"/>
                <w:b/>
                <w:bCs/>
                <w:szCs w:val="24"/>
              </w:rPr>
              <w:t>Return to ENA since 1/30/2001*</w:t>
            </w:r>
          </w:p>
        </w:tc>
        <w:tc>
          <w:tcPr>
            <w:tcW w:w="1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$13,932,966 </w:t>
            </w:r>
          </w:p>
        </w:tc>
      </w:tr>
    </w:tbl>
    <w:p>
      <w:pPr>
        <w:pStyle w:val="Normal"/>
        <w:ind w:firstLine="720" w:start="1440" w:end="0"/>
        <w:rPr>
          <w:rFonts w:ascii="Arial" w:hAnsi="Arial" w:cs="Arial"/>
          <w:sz w:val="16"/>
        </w:rPr>
      </w:pPr>
      <w:r>
        <w:rPr>
          <w:rFonts w:cs="Arial" w:ascii="Arial" w:hAnsi="Arial"/>
          <w:sz w:val="16"/>
        </w:rPr>
        <w:t>*gain booked in 1Q 2001 fair value asset model as a result of the 03/30/01 LOI.</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p>
    <w:p>
      <w:pPr>
        <w:pStyle w:val="Normal"/>
        <w:rPr>
          <w:rFonts w:ascii="Arial" w:hAnsi="Arial" w:cs="Arial"/>
          <w:b/>
          <w:sz w:val="20"/>
        </w:rPr>
      </w:pPr>
      <w:r>
        <w:rPr>
          <w:rFonts w:cs="Arial" w:ascii="Arial" w:hAnsi="Arial"/>
          <w:b/>
          <w:sz w:val="20"/>
        </w:rPr>
      </w:r>
    </w:p>
    <w:p>
      <w:pPr>
        <w:pStyle w:val="Normal"/>
        <w:ind w:end="-36"/>
        <w:rPr>
          <w:rFonts w:ascii="Arial" w:hAnsi="Arial" w:cs="Arial"/>
          <w:sz w:val="20"/>
        </w:rPr>
      </w:pPr>
      <w:r>
        <w:rPr>
          <w:rFonts w:cs="Arial" w:ascii="Arial" w:hAnsi="Arial"/>
          <w:sz w:val="20"/>
        </w:rPr>
        <w:t>Proceeds of $22,765,000 (or $26,265,000 taking into account the put option) will be received upon completion of all conditions precedent, expected to occur no later than August 15, 2001.</w:t>
      </w:r>
    </w:p>
    <w:p>
      <w:pPr>
        <w:pStyle w:val="Normal"/>
        <w:ind w:end="-36"/>
        <w:rPr>
          <w:rFonts w:ascii="Arial" w:hAnsi="Arial" w:cs="Arial"/>
          <w:sz w:val="20"/>
        </w:rPr>
      </w:pPr>
      <w:r>
        <w:rPr>
          <w:rFonts w:cs="Arial" w:ascii="Arial" w:hAnsi="Arial"/>
          <w:sz w:val="20"/>
        </w:rPr>
      </w:r>
    </w:p>
    <w:p>
      <w:pPr>
        <w:pStyle w:val="Normal"/>
        <w:pBdr>
          <w:top w:val="single" w:sz="8" w:space="1" w:color="000000"/>
        </w:pBdr>
        <w:ind w:end="-36"/>
        <w:rPr>
          <w:rFonts w:ascii="Arial" w:hAnsi="Arial" w:cs="Arial"/>
          <w:sz w:val="20"/>
        </w:rPr>
      </w:pPr>
      <w:r>
        <w:rPr>
          <w:rFonts w:cs="Arial" w:ascii="Arial" w:hAnsi="Arial"/>
          <w:b/>
          <w:sz w:val="20"/>
        </w:rPr>
        <w:t>EXIT STRATEGY</w:t>
      </w:r>
    </w:p>
    <w:p>
      <w:pPr>
        <w:pStyle w:val="Normal"/>
        <w:pBdr>
          <w:top w:val="single" w:sz="8" w:space="1" w:color="000000"/>
        </w:pBdr>
        <w:ind w:end="-36"/>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This transaction represents the successful execution of the Exit Strategy.</w:t>
      </w:r>
    </w:p>
    <w:p>
      <w:pPr>
        <w:pStyle w:val="Normal"/>
        <w:rPr>
          <w:rFonts w:ascii="Arial" w:hAnsi="Arial" w:cs="Arial"/>
          <w:sz w:val="20"/>
        </w:rPr>
      </w:pPr>
      <w:r>
        <w:rPr>
          <w:rFonts w:cs="Arial" w:ascii="Arial" w:hAnsi="Arial"/>
          <w:sz w:val="20"/>
        </w:rPr>
      </w:r>
      <w:r>
        <w:br w:type="page"/>
      </w:r>
    </w:p>
    <w:p>
      <w:pPr>
        <w:pStyle w:val="Header"/>
        <w:widowControl/>
        <w:tabs>
          <w:tab w:val="clear" w:pos="4320"/>
          <w:tab w:val="clear" w:pos="8640"/>
        </w:tabs>
        <w:rPr>
          <w:rFonts w:ascii="Arial" w:hAnsi="Arial" w:cs="Arial"/>
          <w:sz w:val="20"/>
          <w:szCs w:val="24"/>
        </w:rPr>
      </w:pPr>
      <w:r>
        <w:rPr>
          <w:rFonts w:cs="Arial" w:ascii="Arial" w:hAnsi="Arial"/>
          <w:sz w:val="20"/>
          <w:szCs w:val="24"/>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RISK MATRIX</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rFonts w:ascii="Arial" w:hAnsi="Arial" w:cs="Arial"/>
                <w:szCs w:val="24"/>
              </w:rPr>
            </w:pPr>
            <w:r>
              <w:rPr>
                <w:rFonts w:cs="Arial" w:ascii="Arial" w:hAnsi="Arial"/>
                <w:szCs w:val="24"/>
              </w:rPr>
              <w:t>Environmental Risks</w:t>
            </w:r>
          </w:p>
        </w:tc>
        <w:tc>
          <w:tcPr>
            <w:tcW w:w="56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Because ENA acquired the LLCs in January 31, 2000, without the benefit of environmental representations, covenants and indemnities, it caused NCPH to purchase $10,000,000, per incident, 5-year environmental insurance policy from AIG.  ENA’s primary exposure for environmental matters will be limited to payment of the $250,000 deductible for such policy, if it is found to have breached an environmental matters representation in the SPA.</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ENA’s environmental matters representation, which will survive the closing for a period of one year, and which are subject to a total contractual liability cap (50% of the purchase price) are limited to:</w:t>
            </w:r>
          </w:p>
          <w:p>
            <w:pPr>
              <w:pStyle w:val="Normal"/>
              <w:numPr>
                <w:ilvl w:val="0"/>
                <w:numId w:val="5"/>
              </w:numPr>
              <w:rPr>
                <w:rFonts w:ascii="Arial" w:hAnsi="Arial" w:cs="Arial"/>
                <w:sz w:val="20"/>
              </w:rPr>
            </w:pPr>
            <w:r>
              <w:rPr>
                <w:rFonts w:cs="Arial" w:ascii="Arial" w:hAnsi="Arial"/>
                <w:sz w:val="20"/>
              </w:rPr>
              <w:t>No receipt of any claim as to Environmental Liability and no knowledge of same.</w:t>
            </w:r>
          </w:p>
          <w:p>
            <w:pPr>
              <w:pStyle w:val="Normal"/>
              <w:numPr>
                <w:ilvl w:val="0"/>
                <w:numId w:val="5"/>
              </w:numPr>
              <w:rPr>
                <w:rFonts w:ascii="Arial" w:hAnsi="Arial" w:cs="Arial"/>
                <w:sz w:val="20"/>
              </w:rPr>
            </w:pPr>
            <w:r>
              <w:rPr>
                <w:rFonts w:cs="Arial" w:ascii="Arial" w:hAnsi="Arial"/>
                <w:sz w:val="20"/>
              </w:rPr>
              <w:t>No knowledge of NCPH’s failure to comply with environmental law (2 minor items have been disclosed).</w:t>
            </w:r>
          </w:p>
          <w:p>
            <w:pPr>
              <w:pStyle w:val="Normal"/>
              <w:numPr>
                <w:ilvl w:val="0"/>
                <w:numId w:val="5"/>
              </w:numPr>
              <w:rPr>
                <w:rFonts w:ascii="Arial" w:hAnsi="Arial" w:cs="Arial"/>
                <w:sz w:val="20"/>
              </w:rPr>
            </w:pPr>
            <w:r>
              <w:rPr>
                <w:rFonts w:cs="Arial" w:ascii="Arial" w:hAnsi="Arial"/>
                <w:sz w:val="20"/>
              </w:rPr>
              <w:t>All environmental reports have been disclosed and delivered to Highstar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Enron’s environmental matters exposure is further mitigated by the quality of its environmental due diligence review and the positive results highlighted in the ENSR Phase II Report.  Based upon the ENSR Phase II Report, Enron EHS recommended that additional sampling and analysis be conducted in the coal pile storage areas of Elizabethtown and Lumberton in order to properly address the analytical results of various constituents found in the area to establish the appropriate regulatory action.  The additional sampling confirmed slightly higher levels of various constituents.  The NC Dept. of Natural Resources has been notified but no action is expected.</w:t>
            </w:r>
          </w:p>
          <w:p>
            <w:pPr>
              <w:pStyle w:val="Normal"/>
              <w:rPr/>
            </w:pPr>
            <w:r>
              <w:rPr/>
              <w:t xml:space="preserve"> </w:t>
            </w:r>
          </w:p>
          <w:p>
            <w:pPr>
              <w:pStyle w:val="Normal"/>
              <w:rPr>
                <w:rFonts w:ascii="Arial" w:hAnsi="Arial" w:cs="Arial"/>
                <w:sz w:val="20"/>
              </w:rPr>
            </w:pPr>
            <w:r>
              <w:rPr>
                <w:rFonts w:cs="Arial" w:ascii="Arial" w:hAnsi="Arial"/>
                <w:sz w:val="20"/>
              </w:rPr>
              <w:t>See Alamac Cogeneration DASH, dated January 18, 2001 for additional details.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 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NCPH, as a subsidiary of Highstar, is the counter-party under the coal purchase and supply agreement with Enron.  Enron, in turn assumes project and Highstar risk.  CRM will be reviewing this risk as a standard third-party obligation.</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rFonts w:ascii="Arial" w:hAnsi="Arial" w:cs="Arial"/>
                <w:szCs w:val="24"/>
              </w:rPr>
            </w:pPr>
            <w:r>
              <w:rPr>
                <w:rFonts w:cs="Arial" w:ascii="Arial" w:hAnsi="Arial"/>
                <w:szCs w:val="24"/>
              </w:rPr>
              <w:t>Contingent Liabilities</w:t>
            </w:r>
          </w:p>
        </w:tc>
        <w:tc>
          <w:tcPr>
            <w:tcW w:w="56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Three outstanding guaranty obligations of Enron, on behalf of NCPH, must be transferred to Highstar either through the replacement and termination of Enron’s credit obligations with similar credit support from Highstar or the receipt of satisfactory back-to-back obligations from Highstar to support continuing Enron obligations.</w:t>
            </w:r>
          </w:p>
          <w:p>
            <w:pPr>
              <w:pStyle w:val="Normal"/>
              <w:rPr>
                <w:rFonts w:ascii="Arial" w:hAnsi="Arial" w:cs="Arial"/>
                <w:sz w:val="20"/>
              </w:rPr>
            </w:pPr>
            <w:r>
              <w:rPr>
                <w:rFonts w:cs="Arial" w:ascii="Arial" w:hAnsi="Arial"/>
                <w:sz w:val="20"/>
              </w:rPr>
            </w:r>
          </w:p>
          <w:p>
            <w:pPr>
              <w:pStyle w:val="Normal"/>
              <w:numPr>
                <w:ilvl w:val="0"/>
                <w:numId w:val="10"/>
              </w:numPr>
              <w:rPr>
                <w:rFonts w:ascii="Arial" w:hAnsi="Arial" w:cs="Arial"/>
                <w:sz w:val="20"/>
              </w:rPr>
            </w:pPr>
            <w:r>
              <w:rPr>
                <w:rFonts w:cs="Arial" w:ascii="Arial" w:hAnsi="Arial"/>
                <w:sz w:val="20"/>
              </w:rPr>
              <w:t>Confirmation Letter between NCPH and Carolina Power &amp; Light regarding sale of a daily call option on Energy and Capacity out of the two coal plants.  NCPH is required to deliver to CP&amp;L a guarantee from Enron Corp. in the amount of $16 million.  To date, this guarantee has not been issued by Enron to CP&amp;L.</w:t>
              <w:br/>
            </w:r>
          </w:p>
          <w:p>
            <w:pPr>
              <w:pStyle w:val="Normal"/>
              <w:numPr>
                <w:ilvl w:val="0"/>
                <w:numId w:val="10"/>
              </w:numPr>
              <w:rPr>
                <w:rFonts w:ascii="Arial" w:hAnsi="Arial" w:cs="Arial"/>
                <w:sz w:val="20"/>
              </w:rPr>
            </w:pPr>
            <w:r>
              <w:rPr>
                <w:rFonts w:cs="Arial" w:ascii="Arial" w:hAnsi="Arial"/>
                <w:sz w:val="20"/>
              </w:rPr>
              <w:t>Letter of Credit Obligation to Alamac Knit Fabrics.  Under the Securities Purchase Agreement between Alamac and ENA, ENA agreed to provided Alamac with a two-year, $3 million letter of credit to support NCPH’s ongoing ground lease and steam sales obligations to Alamac.</w:t>
            </w:r>
          </w:p>
          <w:p>
            <w:pPr>
              <w:pStyle w:val="Normal"/>
              <w:ind w:start="360" w:end="0"/>
              <w:rPr>
                <w:rFonts w:ascii="Arial" w:hAnsi="Arial" w:cs="Arial"/>
                <w:sz w:val="20"/>
              </w:rPr>
            </w:pPr>
            <w:r>
              <w:rPr>
                <w:rFonts w:cs="Arial" w:ascii="Arial" w:hAnsi="Arial"/>
                <w:sz w:val="20"/>
              </w:rPr>
            </w:r>
          </w:p>
          <w:p>
            <w:pPr>
              <w:pStyle w:val="BodyText"/>
              <w:numPr>
                <w:ilvl w:val="0"/>
                <w:numId w:val="10"/>
              </w:numPr>
              <w:rPr/>
            </w:pPr>
            <w:r>
              <w:rPr/>
              <w:t>Coal Purchase Agreement between NCPH and ENA.  This agreement is an all-requirements contract for the coal required by the plants.  The Guaranty provision is quoted below (with the term “Buyer” referring to NCPH and the term “Buyer’s Guarantor” meaning the substitute guarantor that Highstar causes to be put in place, once Highstar purchases NCPH):</w:t>
              <w:br/>
              <w:br/>
              <w:t>”9.2  Guaranties. (a) Buyer’s payment obligations under this Agreement shall be guaranteed pursuant to the Buyer Guaranty.  Buyer and Buyer’s Guarantor shall have the right to terminate Buyer’s Guaranty obligations thereafter accruing under the Buyer Guaranty by delivering or causing to be delivered to Seller a Substitute Buyer Guaranty.  Upon the delivery to Seller of a Substitute Buyer Guaranty, Enron Corp.’s obligations thereafter accruing under the Buyer Guarantee shall automatically terminate and the Seller shall promptly execute and deliver to Enron Corp. and Buyer an agreement confirming such termination; and (b) Seller’s payment obligations under this Agreement shall be guaranteed pursuant to the Seller Guaranty.”</w:t>
            </w:r>
          </w:p>
          <w:p>
            <w:pPr>
              <w:pStyle w:val="BodyText"/>
              <w:ind w:hanging="342" w:start="342" w:end="0"/>
              <w:rPr/>
            </w:pPr>
            <w:r>
              <w:rPr/>
              <w:tab/>
              <w:t>To date, neither or the Enron Corp. guarantees under the Coal Contract have been issued.</w:t>
            </w:r>
          </w:p>
          <w:p>
            <w:pPr>
              <w:pStyle w:val="BodyText"/>
              <w:rPr/>
            </w:pPr>
            <w:r>
              <w:rPr/>
              <w:b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0"/>
              </w:rPr>
            </w:pPr>
            <w:r>
              <w:rPr>
                <w:rFonts w:cs="Arial" w:ascii="Arial" w:hAnsi="Arial"/>
                <w:sz w:val="20"/>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b/>
                <w:bCs/>
              </w:rPr>
              <w:t>(</w:t>
            </w:r>
          </w:p>
        </w:tc>
        <w:tc>
          <w:tcPr>
            <w:tcW w:w="5670" w:type="dxa"/>
            <w:tcBorders>
              <w:top w:val="single" w:sz="6" w:space="0" w:color="000000"/>
              <w:start w:val="single" w:sz="6" w:space="0" w:color="000000"/>
              <w:bottom w:val="single" w:sz="6" w:space="0" w:color="000000"/>
              <w:end w:val="single" w:sz="6" w:space="0" w:color="000000"/>
            </w:tcBorders>
          </w:tcPr>
          <w:p>
            <w:pPr>
              <w:pStyle w:val="TableHeading"/>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0"/>
              </w:rPr>
            </w:pPr>
            <w:r>
              <w:rPr>
                <w:rFonts w:cs="Arial" w:ascii="Arial" w:hAnsi="Arial"/>
                <w:sz w:val="20"/>
              </w:rPr>
            </w:r>
          </w:p>
        </w:tc>
        <w:tc>
          <w:tcPr>
            <w:tcW w:w="5670" w:type="dxa"/>
            <w:tcBorders>
              <w:top w:val="single" w:sz="6" w:space="0" w:color="000000"/>
              <w:start w:val="single" w:sz="6" w:space="0" w:color="000000"/>
              <w:bottom w:val="single" w:sz="6" w:space="0" w:color="000000"/>
              <w:end w:val="single" w:sz="6" w:space="0" w:color="000000"/>
            </w:tcBorders>
          </w:tcPr>
          <w:p>
            <w:pPr>
              <w:pStyle w:val="TableContents"/>
              <w:rPr/>
            </w:pPr>
            <w:r>
              <w:rPr/>
            </w:r>
          </w:p>
        </w:tc>
      </w:tr>
    </w:tbl>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top w:val="single" w:sz="8" w:space="1" w:color="000000"/>
        </w:pBdr>
        <w:rPr>
          <w:rFonts w:ascii="Arial" w:hAnsi="Arial" w:cs="Arial"/>
          <w:b/>
          <w:sz w:val="20"/>
        </w:rPr>
      </w:pPr>
      <w:r>
        <w:rPr>
          <w:rFonts w:cs="Arial" w:ascii="Arial" w:hAnsi="Arial"/>
          <w:b/>
          <w:sz w:val="20"/>
        </w:rPr>
      </w:r>
    </w:p>
    <w:p>
      <w:pPr>
        <w:pStyle w:val="BodyText"/>
        <w:rPr/>
      </w:pPr>
      <w:r>
        <w:rPr/>
        <w:t>RAC highly recommends approval of this divestiture due to the fact that it provides ENA with a $13.9 million gain on a $7.5 million investment over a six-month holding period with the potential for additional upside through the ECT brokerage agreement and Enron’s 6.25% share in Highstar.  Despite a number of challenges early-on, this transaction was very well-executed by the Enron commercial and support teams.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RAC’s valuation for the original investment indicated a probability-weighted NPV of $11.8 million based on the following sale prices and probabilities agreed with the deal team, discounted at 16%:  $30 MM (15%), $20 MM (65%), $10 MM (19%) $7.3 M (1%).  The net realized value of approximately $13.9 million is a very good outcome relative to the $11.8 million projection in the DASH.   Additionally, Enron retains upside in the form of a sharing of proceeds from any subsequent sale by Highstar through the agreement with ECT Securities.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Highstar is obligated to replace or provide back-to-back credit support for guaranties extended to third-parties (i.e. Alamac as steam host).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(ENA and EECC) via its 6.25% interest in AIG Highstar will be obligated to fund $1.422 million under its capital call requirement as an investor in the fund.</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BodyText"/>
        <w:numPr>
          <w:ilvl w:val="0"/>
          <w:numId w:val="2"/>
        </w:numPr>
        <w:rPr>
          <w:bCs/>
        </w:rPr>
      </w:pPr>
      <w:r>
        <w:rPr>
          <w:bCs/>
        </w:rPr>
        <w:t>FERC 203 Approval and NC Utilities Commission No Action Letter (both expected within 45 to 60 days).</w:t>
      </w:r>
    </w:p>
    <w:p>
      <w:pPr>
        <w:pStyle w:val="BodyText"/>
        <w:numPr>
          <w:ilvl w:val="0"/>
          <w:numId w:val="2"/>
        </w:numPr>
        <w:rPr>
          <w:bCs/>
        </w:rPr>
      </w:pPr>
      <w:r>
        <w:rPr>
          <w:bCs/>
        </w:rPr>
        <w:t>Replacement by Highstar of all Enron guaranties and credit support facilities, satisfactory to ENA and RAC.</w:t>
      </w:r>
    </w:p>
    <w:p>
      <w:pPr>
        <w:pStyle w:val="BodyText"/>
        <w:numPr>
          <w:ilvl w:val="0"/>
          <w:numId w:val="2"/>
        </w:numPr>
        <w:rPr>
          <w:bCs/>
        </w:rPr>
      </w:pPr>
      <w:r>
        <w:rPr>
          <w:bCs/>
        </w:rPr>
        <w:t>Receipt of appropriate consents, as needed.</w:t>
      </w:r>
    </w:p>
    <w:p>
      <w:pPr>
        <w:pStyle w:val="BodyText"/>
        <w:numPr>
          <w:ilvl w:val="0"/>
          <w:numId w:val="2"/>
        </w:numPr>
        <w:rPr>
          <w:bCs/>
        </w:rPr>
      </w:pPr>
      <w:r>
        <w:rPr>
          <w:bCs/>
        </w:rPr>
        <w:t>Execution of the Securities Purchase Agreement, Asset Management Agreement and ECT Brokerage Agreement.</w:t>
      </w:r>
    </w:p>
    <w:p>
      <w:pPr>
        <w:pStyle w:val="Normal"/>
        <w:rPr>
          <w:rFonts w:ascii="Arial" w:hAnsi="Arial" w:cs="Arial"/>
          <w:b/>
          <w:bCs/>
          <w:sz w:val="20"/>
        </w:rPr>
      </w:pPr>
      <w:r>
        <w:rPr>
          <w:rFonts w:cs="Arial" w:ascii="Arial" w:hAnsi="Arial"/>
          <w:b/>
          <w:bCs/>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Execution of Securities Purchase Agreement</w:t>
        <w:tab/>
        <w:tab/>
        <w:tab/>
        <w:t>May 11, 2001</w:t>
      </w:r>
    </w:p>
    <w:p>
      <w:pPr>
        <w:pStyle w:val="BodyTextIndent"/>
        <w:ind w:hanging="5760" w:start="5760" w:end="0"/>
        <w:rPr/>
      </w:pPr>
      <w:r>
        <w:rPr/>
        <w:t>Execution of Asset Management Agreement</w:t>
        <w:tab/>
        <w:t>at Closing (Effective as of Closing)</w:t>
      </w:r>
    </w:p>
    <w:p>
      <w:pPr>
        <w:pStyle w:val="Normal"/>
        <w:ind w:hanging="5760" w:start="5760" w:end="0"/>
        <w:rPr>
          <w:rFonts w:ascii="Arial" w:hAnsi="Arial" w:cs="Arial"/>
          <w:sz w:val="20"/>
        </w:rPr>
      </w:pPr>
      <w:r>
        <w:rPr>
          <w:rFonts w:cs="Arial" w:ascii="Arial" w:hAnsi="Arial"/>
          <w:sz w:val="20"/>
        </w:rPr>
        <w:t>Execution of the ECT Brokerage Agreement</w:t>
        <w:tab/>
        <w:t>at Closing (Effective as of May 11, 2001)</w:t>
      </w:r>
    </w:p>
    <w:p>
      <w:pPr>
        <w:pStyle w:val="Normal"/>
        <w:rPr>
          <w:rFonts w:ascii="Arial" w:hAnsi="Arial" w:cs="Arial"/>
          <w:sz w:val="20"/>
        </w:rPr>
      </w:pPr>
      <w:r>
        <w:rPr>
          <w:rFonts w:cs="Arial" w:ascii="Arial" w:hAnsi="Arial"/>
          <w:sz w:val="20"/>
        </w:rPr>
        <w:t>Closure and Settlement of Proceeds</w:t>
        <w:tab/>
        <w:tab/>
        <w:tab/>
        <w:tab/>
        <w:t>Prior to August 31, 2001</w:t>
      </w:r>
      <w:r>
        <w:br w:type="page"/>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Heather Kroll</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Regional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Dave Duran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Technical Services</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Brian Redmond</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Accounting</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Wes Colwell</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4" w:space="0" w:color="000000"/>
            </w:tcBorders>
          </w:tcPr>
          <w:p>
            <w:pPr>
              <w:pStyle w:val="Normal"/>
              <w:spacing w:before="120" w:after="0"/>
              <w:rPr>
                <w:rFonts w:ascii="Arial" w:hAnsi="Arial" w:cs="Arial"/>
                <w:sz w:val="20"/>
              </w:rPr>
            </w:pPr>
            <w:r>
              <w:rPr>
                <w:rFonts w:cs="Arial" w:ascii="Arial" w:hAnsi="Arial"/>
                <w:sz w:val="20"/>
              </w:rPr>
              <w:t>Ken Lay/Jeff Skilling</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sz w:val="20"/>
        </w:rPr>
      </w:pPr>
      <w:r>
        <w:br w:type="page"/>
      </w:r>
      <w:r>
        <w:rPr>
          <w:rFonts w:cs="Arial" w:ascii="Arial" w:hAnsi="Arial"/>
          <w:sz w:val="20"/>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3"/>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op w:val="single" w:sz="4" w:space="0" w:color="000000"/>
              <w:bottom w:val="single" w:sz="4"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r>
        <w:trPr>
          <w:trHeight w:val="60"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op w:val="single" w:sz="4" w:space="0" w:color="000000"/>
              <w:bottom w:val="single" w:sz="4" w:space="0" w:color="000000"/>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cPr>
          <w:p>
            <w:pPr>
              <w:pStyle w:val="Normal"/>
              <w:jc w:val="end"/>
              <w:rPr>
                <w:rFonts w:ascii="Arial" w:hAnsi="Arial" w:cs="Arial"/>
                <w:sz w:val="20"/>
              </w:rPr>
            </w:pPr>
            <w:r>
              <w:rPr>
                <w:rFonts w:cs="Arial" w:ascii="Arial" w:hAnsi="Arial"/>
                <w:sz w:val="20"/>
              </w:rPr>
              <w:br/>
            </w:r>
          </w:p>
        </w:tc>
      </w:tr>
    </w:tbl>
    <w:p>
      <w:pPr>
        <w:pStyle w:val="Normal"/>
        <w:rPr>
          <w:rFonts w:ascii="Arial" w:hAnsi="Arial" w:cs="Arial"/>
          <w:sz w:val="20"/>
        </w:rPr>
      </w:pPr>
      <w:r>
        <w:rPr>
          <w:rFonts w:cs="Arial" w:ascii="Arial" w:hAnsi="Arial"/>
          <w:sz w:val="20"/>
        </w:rPr>
      </w:r>
    </w:p>
    <w:p>
      <w:pPr>
        <w:pStyle w:val="Normal"/>
        <w:numPr>
          <w:ilvl w:val="0"/>
          <w:numId w:val="8"/>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8"/>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8"/>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bCs/>
          <w:sz w:val="20"/>
        </w:rPr>
        <w:t>Unrestricted</w:t>
      </w:r>
      <w:r>
        <w:rPr>
          <w:rFonts w:cs="Arial" w:ascii="Arial" w:hAnsi="Arial"/>
          <w:sz w:val="20"/>
        </w:rPr>
        <w:t>,</w:t>
      </w:r>
      <w:r>
        <w:rPr>
          <w:rFonts w:cs="Arial" w:ascii="Arial" w:hAnsi="Arial"/>
          <w:b/>
          <w:bCs/>
          <w:sz w:val="20"/>
        </w:rPr>
        <w:t xml:space="preserve"> Legally Restricted </w:t>
      </w:r>
      <w:r>
        <w:rPr>
          <w:rFonts w:cs="Arial" w:ascii="Arial" w:hAnsi="Arial"/>
          <w:sz w:val="20"/>
        </w:rPr>
        <w:t>or</w:t>
      </w:r>
      <w:r>
        <w:rPr>
          <w:rFonts w:cs="Arial" w:ascii="Arial" w:hAnsi="Arial"/>
          <w:b/>
          <w:bCs/>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Describe (if necessary):</w:t>
        <w:br/>
        <w:br/>
        <w:br/>
      </w:r>
    </w:p>
    <w:p>
      <w:pPr>
        <w:pStyle w:val="Normal"/>
        <w:numPr>
          <w:ilvl w:val="0"/>
          <w:numId w:val="8"/>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bCs/>
          <w:sz w:val="20"/>
        </w:rPr>
        <w:t xml:space="preserve">Recourse </w:t>
      </w:r>
      <w:r>
        <w:rPr>
          <w:rFonts w:cs="Arial" w:ascii="Arial" w:hAnsi="Arial"/>
          <w:sz w:val="20"/>
        </w:rPr>
        <w:t>or</w:t>
      </w:r>
      <w:r>
        <w:rPr>
          <w:rFonts w:cs="Arial" w:ascii="Arial" w:hAnsi="Arial"/>
          <w:b/>
          <w:bCs/>
          <w:sz w:val="20"/>
        </w:rPr>
        <w:t xml:space="preserve"> No Recourse</w:t>
      </w:r>
      <w:r>
        <w:rPr>
          <w:rFonts w:cs="Arial" w:ascii="Arial" w:hAnsi="Arial"/>
          <w:sz w:val="20"/>
        </w:rPr>
        <w:br/>
        <w:br/>
        <w:t>Describe (if any):</w:t>
        <w:br/>
        <w:br/>
        <w:br/>
      </w:r>
    </w:p>
    <w:p>
      <w:pPr>
        <w:pStyle w:val="Normal"/>
        <w:numPr>
          <w:ilvl w:val="0"/>
          <w:numId w:val="6"/>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bCs/>
          <w:sz w:val="20"/>
        </w:rPr>
        <w:t>None</w:t>
      </w:r>
      <w:r>
        <w:rPr>
          <w:rFonts w:cs="Arial" w:ascii="Arial" w:hAnsi="Arial"/>
          <w:sz w:val="20"/>
        </w:rPr>
        <w:t>,</w:t>
      </w:r>
      <w:r>
        <w:rPr>
          <w:rFonts w:cs="Arial" w:ascii="Arial" w:hAnsi="Arial"/>
          <w:b/>
          <w:bCs/>
          <w:sz w:val="20"/>
        </w:rPr>
        <w:t xml:space="preserve"> Partial </w:t>
      </w:r>
      <w:r>
        <w:rPr>
          <w:rFonts w:cs="Arial" w:ascii="Arial" w:hAnsi="Arial"/>
          <w:sz w:val="20"/>
        </w:rPr>
        <w:t>or</w:t>
      </w:r>
      <w:r>
        <w:rPr>
          <w:rFonts w:cs="Arial" w:ascii="Arial" w:hAnsi="Arial"/>
          <w:b/>
          <w:bCs/>
          <w:sz w:val="20"/>
        </w:rPr>
        <w:t xml:space="preserve"> All</w:t>
      </w:r>
      <w:r>
        <w:rPr>
          <w:rFonts w:cs="Arial" w:ascii="Arial" w:hAnsi="Arial"/>
          <w:sz w:val="20"/>
        </w:rPr>
        <w:br/>
        <w:br/>
        <w:t>Describe (if necessary):</w:t>
        <w:br/>
        <w:br/>
      </w:r>
    </w:p>
    <w:p>
      <w:pPr>
        <w:pStyle w:val="Normal"/>
        <w:rPr>
          <w:rFonts w:ascii="Arial" w:hAnsi="Arial" w:cs="Arial"/>
          <w:sz w:val="20"/>
        </w:rPr>
      </w:pPr>
      <w:r>
        <w:rPr>
          <w:rFonts w:cs="Arial" w:ascii="Arial" w:hAnsi="Arial"/>
          <w:sz w:val="20"/>
        </w:rPr>
      </w:r>
    </w:p>
    <w:p>
      <w:pPr>
        <w:pStyle w:val="Normal"/>
        <w:numPr>
          <w:ilvl w:val="0"/>
          <w:numId w:val="9"/>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4"/>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2750" w:type="dxa"/>
            <w:tcBorders/>
          </w:tcPr>
          <w:p>
            <w:pPr>
              <w:pStyle w:val="Normal"/>
              <w:rPr>
                <w:rFonts w:ascii="Arial" w:hAnsi="Arial" w:cs="Arial"/>
                <w:sz w:val="20"/>
              </w:rPr>
            </w:pPr>
            <w:r>
              <w:rPr>
                <w:rFonts w:cs="Arial" w:ascii="Arial" w:hAnsi="Arial"/>
                <w:b/>
                <w:bCs/>
                <w:sz w:val="20"/>
              </w:rPr>
              <w:t>M</w:t>
            </w:r>
            <w:r>
              <w:rPr>
                <w:rFonts w:cs="Arial" w:ascii="Arial" w:hAnsi="Arial"/>
                <w:b/>
                <w:sz w:val="20"/>
              </w:rPr>
              <w:t>argaux</w:t>
            </w:r>
          </w:p>
        </w:tc>
      </w:tr>
    </w:tbl>
    <w:p>
      <w:pPr>
        <w:pStyle w:val="Normal"/>
        <w:tabs>
          <w:tab w:val="left" w:pos="720" w:leader="none"/>
        </w:tabs>
        <w:ind w:start="360" w:end="0"/>
        <w:rPr/>
      </w:pPr>
      <w:r>
        <w:rPr>
          <w:rFonts w:cs="Arial" w:ascii="Arial" w:hAnsi="Arial"/>
          <w:sz w:val="20"/>
        </w:rPr>
        <w:tab/>
        <w:tab/>
      </w:r>
      <w:r>
        <w:rPr>
          <w:rFonts w:cs="Arial" w:ascii="Arial" w:hAnsi="Arial"/>
          <w:b/>
          <w:sz w:val="20"/>
        </w:rPr>
        <w:tab/>
        <w:tab/>
      </w:r>
    </w:p>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7"/>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bCs/>
          <w:sz w:val="20"/>
        </w:rPr>
        <w:t xml:space="preserve">Yes </w:t>
      </w:r>
      <w:r>
        <w:rPr>
          <w:rFonts w:cs="Arial" w:ascii="Arial" w:hAnsi="Arial"/>
          <w:sz w:val="20"/>
        </w:rPr>
        <w:t>or</w:t>
      </w:r>
      <w:r>
        <w:rPr>
          <w:rFonts w:cs="Arial" w:ascii="Arial" w:hAnsi="Arial"/>
          <w:b/>
          <w:bCs/>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ascii="Arial" w:hAnsi="Arial" w:cs="Arial"/>
        <w:b/>
      </w:rPr>
    </w:pPr>
    <w:r>
      <w:rPr>
        <w:rFonts w:cs="Arial" w:ascii="Arial" w:hAnsi="Arial"/>
        <w:b/>
      </w:rPr>
      <w:t>RAC Deal Approval Sheet</w:t>
      <w:tab/>
      <w:t xml:space="preserve">                                                                                                               Deal Name: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735"/>
        </w:tabs>
        <w:ind w:start="735" w:hanging="735"/>
      </w:pPr>
      <w:rPr>
        <w:i w:val="false"/>
        <w:b w:val="false"/>
      </w:rPr>
    </w:lvl>
  </w:abstractNum>
  <w:abstractNum w:abstractNumId="4">
    <w:lvl w:ilvl="0">
      <w:start w:val="6"/>
      <w:numFmt w:val="decimal"/>
      <w:lvlText w:val="%1c."/>
      <w:lvlJc w:val="start"/>
      <w:pPr>
        <w:tabs>
          <w:tab w:val="num" w:pos="360"/>
        </w:tabs>
        <w:ind w:start="360" w:hanging="360"/>
      </w:pPr>
      <w:rPr>
        <w:i w:val="false"/>
        <w:b w:val="false"/>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b w:val="false"/>
      <w:i w:val="false"/>
    </w:rPr>
  </w:style>
  <w:style w:type="character" w:styleId="WW8Num5z0">
    <w:name w:val="WW8Num5z0"/>
    <w:qFormat/>
    <w:rPr/>
  </w:style>
  <w:style w:type="character" w:styleId="WW8Num6z0">
    <w:name w:val="WW8Num6z0"/>
    <w:qFormat/>
    <w:rPr>
      <w:b w:val="false"/>
      <w:i w:val="false"/>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Indent">
    <w:name w:val="Body Text Indent"/>
    <w:basedOn w:val="Normal"/>
    <w:pPr>
      <w:ind w:hanging="7200" w:start="7200" w:end="0"/>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2001-05-14T10:25:00Z</dcterms:created>
  <dc:creator>kjolly</dc:creator>
  <dc:description/>
  <dc:language>en-CA</dc:language>
  <cp:lastModifiedBy>Heather Kroll</cp:lastModifiedBy>
  <cp:lastPrinted>2001-04-26T18:16:00Z</cp:lastPrinted>
  <dcterms:modified xsi:type="dcterms:W3CDTF">2001-05-14T10:25:00Z</dcterms:modified>
  <cp:revision>2</cp:revision>
  <dc:subject/>
  <dc:title>ENRON RISK ASSESSMENT AND CONTROL</dc:title>
</cp:coreProperties>
</file>