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ENRON RISK ASSESSMENT AND CONTROL</w:t>
      </w:r>
    </w:p>
    <w:p>
      <w:pPr>
        <w:pStyle w:val="Normal"/>
        <w:jc w:val="center"/>
        <w:rPr>
          <w:b/>
          <w:sz w:val="32"/>
        </w:rPr>
      </w:pPr>
      <w:r>
        <w:rPr>
          <w:b/>
          <w:sz w:val="32"/>
        </w:rPr>
        <w:t>DEAL APPROVAL SHEET</w:t>
      </w:r>
    </w:p>
    <w:p>
      <w:pPr>
        <w:pStyle w:val="Normal"/>
        <w:rPr>
          <w:b/>
          <w:sz w:val="32"/>
        </w:rPr>
      </w:pPr>
      <w:r>
        <w:rPr>
          <w:b/>
          <w:sz w:val="32"/>
        </w:rPr>
      </w:r>
    </w:p>
    <w:tbl>
      <w:tblPr>
        <w:tblW w:w="10440" w:type="dxa"/>
        <w:jc w:val="start"/>
        <w:tblInd w:w="18" w:type="dxa"/>
        <w:tblLayout w:type="fixed"/>
        <w:tblCellMar>
          <w:top w:w="0" w:type="dxa"/>
          <w:start w:w="108" w:type="dxa"/>
          <w:bottom w:w="0" w:type="dxa"/>
          <w:end w:w="108" w:type="dxa"/>
        </w:tblCellMar>
      </w:tblPr>
      <w:tblGrid>
        <w:gridCol w:w="5490"/>
        <w:gridCol w:w="4950"/>
      </w:tblGrid>
      <w:tr>
        <w:trPr>
          <w:trHeight w:val="1656" w:hRule="atLeast"/>
        </w:trPr>
        <w:tc>
          <w:tcPr>
            <w:tcW w:w="5490" w:type="dxa"/>
            <w:tcBorders>
              <w:top w:val="single" w:sz="8" w:space="0" w:color="000000"/>
              <w:bottom w:val="single" w:sz="8" w:space="0" w:color="000000"/>
            </w:tcBorders>
          </w:tcPr>
          <w:p>
            <w:pPr>
              <w:pStyle w:val="Normal"/>
              <w:ind w:end="792"/>
              <w:rPr>
                <w:b/>
              </w:rPr>
            </w:pPr>
            <w:r>
              <w:rPr>
                <w:b/>
              </w:rPr>
              <w:t>DEAL NAME:  A I G</w:t>
            </w:r>
          </w:p>
          <w:p>
            <w:pPr>
              <w:pStyle w:val="Normal"/>
              <w:ind w:end="792"/>
              <w:rPr/>
            </w:pPr>
            <w:r>
              <w:rPr/>
              <w:t>Counterparty:  AIG Highfield Capital L.P.(the “Fund”)</w:t>
            </w:r>
          </w:p>
          <w:p>
            <w:pPr>
              <w:pStyle w:val="Normal"/>
              <w:rPr/>
            </w:pPr>
            <w:r>
              <w:rPr/>
              <w:t>Business Unit: ENA/EECC</w:t>
            </w:r>
          </w:p>
          <w:p>
            <w:pPr>
              <w:pStyle w:val="Normal"/>
              <w:rPr/>
            </w:pPr>
            <w:r>
              <w:rPr/>
              <w:t>Business Unit Originator:  J. Deffner, O. Pagan, D. Westfahl</w:t>
            </w:r>
          </w:p>
          <w:p>
            <w:pPr>
              <w:pStyle w:val="Normal"/>
              <w:tabs>
                <w:tab w:val="clear" w:pos="720"/>
                <w:tab w:val="left" w:pos="1530" w:leader="none"/>
              </w:tabs>
              <w:rPr/>
            </w:pPr>
            <w:r>
              <w:rPr>
                <w:rFonts w:cs="Wingdings" w:ascii="Wingdings" w:hAnsi="Wingdings"/>
              </w:rPr>
              <w:sym w:font="Wingdings" w:char="f070"/>
            </w:r>
            <w:r>
              <w:rPr/>
              <w:t>Public</w:t>
              <w:tab/>
            </w:r>
            <w:r>
              <w:rPr>
                <w:rFonts w:cs="Wingdings" w:ascii="Wingdings" w:hAnsi="Wingdings"/>
              </w:rPr>
              <w:sym w:font="Wingdings" w:char="f078"/>
            </w:r>
            <w:r>
              <w:rPr/>
              <w:t>Private</w:t>
            </w:r>
          </w:p>
          <w:p>
            <w:pPr>
              <w:pStyle w:val="Normal"/>
              <w:tabs>
                <w:tab w:val="clear" w:pos="720"/>
                <w:tab w:val="left" w:pos="1530" w:leader="none"/>
              </w:tabs>
              <w:ind w:end="-738"/>
              <w:rPr/>
            </w:pPr>
            <w:r>
              <w:rPr>
                <w:rFonts w:cs="Wingdings" w:ascii="Wingdings" w:hAnsi="Wingdings"/>
              </w:rPr>
              <w:sym w:font="Wingdings" w:char="f070"/>
            </w:r>
            <w:r>
              <w:rPr/>
              <w:t>Merchant</w:t>
              <w:tab/>
            </w:r>
            <w:r>
              <w:rPr>
                <w:rFonts w:cs="Wingdings" w:ascii="Wingdings" w:hAnsi="Wingdings"/>
              </w:rPr>
              <w:sym w:font="Wingdings" w:char="f078"/>
            </w:r>
            <w:r>
              <w:rPr/>
              <w:t>Strategic</w:t>
            </w:r>
          </w:p>
          <w:p>
            <w:pPr>
              <w:pStyle w:val="Header"/>
              <w:tabs>
                <w:tab w:val="left" w:pos="1530" w:leader="none"/>
                <w:tab w:val="center" w:pos="4320" w:leader="none"/>
                <w:tab w:val="right" w:pos="8640" w:leader="none"/>
              </w:tabs>
              <w:rPr/>
            </w:pPr>
            <w:r>
              <w:rPr>
                <w:rFonts w:cs="Wingdings" w:ascii="Wingdings" w:hAnsi="Wingdings"/>
              </w:rPr>
              <w:sym w:font="Wingdings" w:char="f078"/>
            </w:r>
            <w:r>
              <w:rPr/>
              <w:t>Conforming</w:t>
              <w:tab/>
            </w:r>
            <w:r>
              <w:rPr>
                <w:rFonts w:cs="Wingdings" w:ascii="Wingdings" w:hAnsi="Wingdings"/>
              </w:rPr>
              <w:sym w:font="Wingdings" w:char="f070"/>
            </w:r>
            <w:r>
              <w:rPr/>
              <w:t>Nonconforming</w:t>
            </w:r>
          </w:p>
        </w:tc>
        <w:tc>
          <w:tcPr>
            <w:tcW w:w="4950" w:type="dxa"/>
            <w:tcBorders>
              <w:top w:val="single" w:sz="8" w:space="0" w:color="000000"/>
              <w:bottom w:val="single" w:sz="8" w:space="0" w:color="000000"/>
            </w:tcBorders>
          </w:tcPr>
          <w:p>
            <w:pPr>
              <w:pStyle w:val="Normal"/>
              <w:ind w:firstLine="90" w:start="-198" w:end="-738"/>
              <w:rPr/>
            </w:pPr>
            <w:r>
              <w:rPr/>
              <w:t>Date DASH Completed:  09/20/00</w:t>
            </w:r>
          </w:p>
          <w:p>
            <w:pPr>
              <w:pStyle w:val="Normal"/>
              <w:ind w:firstLine="90" w:start="-198" w:end="-1095"/>
              <w:rPr/>
            </w:pPr>
            <w:r>
              <w:rPr/>
              <w:t>RAC Analyst/Underwriter:  P. Polsky/K. Barbour</w:t>
            </w:r>
          </w:p>
          <w:p>
            <w:pPr>
              <w:pStyle w:val="Normal"/>
              <w:ind w:firstLine="90" w:start="-198" w:end="-738"/>
              <w:rPr/>
            </w:pPr>
            <w:r>
              <w:rPr/>
              <w:t>Investment Type:  Equity</w:t>
            </w:r>
          </w:p>
          <w:p>
            <w:pPr>
              <w:pStyle w:val="Normal"/>
              <w:ind w:firstLine="90" w:start="-198" w:end="-738"/>
              <w:rPr/>
            </w:pPr>
            <w:r>
              <w:rPr/>
              <w:t>Capital Funding Source(s):  Balance Sheet</w:t>
            </w:r>
          </w:p>
          <w:p>
            <w:pPr>
              <w:pStyle w:val="Normal"/>
              <w:ind w:firstLine="90" w:start="-198" w:end="-738"/>
              <w:rPr/>
            </w:pPr>
            <w:r>
              <w:rPr/>
              <w:t>Expected Closing Date:  09/30/00</w:t>
            </w:r>
          </w:p>
          <w:p>
            <w:pPr>
              <w:pStyle w:val="Normal"/>
              <w:ind w:firstLine="90" w:start="-198" w:end="-738"/>
              <w:rPr/>
            </w:pPr>
            <w:r>
              <w:rPr/>
              <w:t>Expected Funding Date:  10/2000 – 09/2005</w:t>
            </w:r>
          </w:p>
          <w:p>
            <w:pPr>
              <w:pStyle w:val="Normal"/>
              <w:ind w:firstLine="90" w:start="-198" w:end="-738"/>
              <w:rPr/>
            </w:pPr>
            <w:r>
              <w:rPr/>
              <w:t xml:space="preserve">Board Approval: </w:t>
            </w:r>
            <w:r>
              <w:rPr>
                <w:rFonts w:cs="Wingdings" w:ascii="Wingdings" w:hAnsi="Wingdings"/>
              </w:rPr>
              <w:sym w:font="Wingdings" w:char="f070"/>
            </w:r>
            <w:r>
              <w:rPr/>
              <w:t xml:space="preserve">Pending  </w:t>
            </w:r>
            <w:r>
              <w:rPr>
                <w:rFonts w:cs="Wingdings" w:ascii="Wingdings" w:hAnsi="Wingdings"/>
              </w:rPr>
              <w:sym w:font="Wingdings" w:char="f070"/>
            </w:r>
            <w:r>
              <w:rPr/>
              <w:t xml:space="preserve">Received  </w:t>
            </w:r>
            <w:r>
              <w:rPr>
                <w:rFonts w:cs="Wingdings" w:ascii="Wingdings" w:hAnsi="Wingdings"/>
              </w:rPr>
              <w:sym w:font="Wingdings" w:char="f070"/>
            </w:r>
            <w:r>
              <w:rPr/>
              <w:t xml:space="preserve">Denied  </w:t>
            </w:r>
            <w:r>
              <w:rPr>
                <w:rFonts w:cs="Wingdings" w:ascii="Wingdings" w:hAnsi="Wingdings"/>
              </w:rPr>
              <w:sym w:font="Wingdings" w:char="f078"/>
            </w:r>
            <w:r>
              <w:rPr/>
              <w:t>N/A</w:t>
            </w:r>
          </w:p>
        </w:tc>
      </w:tr>
    </w:tbl>
    <w:p>
      <w:pPr>
        <w:pStyle w:val="Normal"/>
        <w:rPr/>
      </w:pPr>
      <w:r>
        <w:rPr/>
        <w:t xml:space="preserve">RAC Recommendation: </w:t>
      </w:r>
      <w:r>
        <w:rPr>
          <w:rFonts w:cs="Wingdings" w:ascii="Wingdings" w:hAnsi="Wingdings"/>
        </w:rPr>
        <w:sym w:font="Wingdings" w:char="f078"/>
      </w:r>
      <w:r>
        <w:rPr/>
        <w:t xml:space="preserve">Proceed with Transaction </w:t>
      </w:r>
      <w:r>
        <w:rPr>
          <w:b/>
          <w:vertAlign w:val="superscript"/>
        </w:rPr>
        <w:t>*1</w:t>
      </w:r>
      <w:r>
        <w:rPr/>
        <w:t xml:space="preserve">    </w:t>
      </w:r>
      <w:r>
        <w:rPr>
          <w:rFonts w:cs="Wingdings" w:ascii="Wingdings" w:hAnsi="Wingdings"/>
        </w:rPr>
        <w:sym w:font="Wingdings" w:char="f070"/>
      </w:r>
      <w:r>
        <w:rPr/>
        <w:t xml:space="preserve">Returns below Capital Price </w:t>
      </w:r>
      <w:r>
        <w:rPr>
          <w:rFonts w:cs="Wingdings" w:ascii="Wingdings" w:hAnsi="Wingdings"/>
        </w:rPr>
        <w:sym w:font="Wingdings" w:char="f070"/>
      </w:r>
      <w:r>
        <w:rPr/>
        <w:t>Do not Proceed</w:t>
      </w:r>
    </w:p>
    <w:p>
      <w:pPr>
        <w:pStyle w:val="Normal"/>
        <w:rPr/>
      </w:pPr>
      <w:r>
        <w:rPr>
          <w:b/>
          <w:vertAlign w:val="superscript"/>
        </w:rPr>
        <w:t xml:space="preserve">*1  </w:t>
      </w:r>
      <w:r>
        <w:rPr/>
        <w:t>This recommendation is predicated on a) AIG’s ability to raise at least $400 MM Fund equity, with no less than $200 MM of Class B LP interests, including $100 MM Class B interests from investors other than AIG;  AND b) ENA/EECC’s ability to achieve preferential rights on the upsell opportunities identified below.</w:t>
      </w:r>
    </w:p>
    <w:p>
      <w:pPr>
        <w:pStyle w:val="Heading4"/>
        <w:pBdr>
          <w:top w:val="single" w:sz="8" w:space="1" w:color="000000"/>
        </w:pBdr>
        <w:tabs>
          <w:tab w:val="clear" w:pos="9990"/>
          <w:tab w:val="left" w:pos="10260" w:leader="none"/>
        </w:tabs>
        <w:rPr/>
      </w:pPr>
      <w:r>
        <w:rPr/>
        <w:t>APPROVAL REQUESTED</w:t>
      </w:r>
    </w:p>
    <w:p>
      <w:pPr>
        <w:pStyle w:val="Normal"/>
        <w:numPr>
          <w:ilvl w:val="0"/>
          <w:numId w:val="3"/>
        </w:numPr>
        <w:rPr/>
      </w:pPr>
      <w:r>
        <w:rPr/>
        <w:t>ENA and EECC propose to jointly invest $25 MM as Class B (effectively common), Limited Partners (“LPs”) in a newly established investment fund, with special focus in industries undergoing deregulation and revitalization.</w:t>
      </w:r>
    </w:p>
    <w:p>
      <w:pPr>
        <w:pStyle w:val="Normal"/>
        <w:ind w:start="360" w:end="-36"/>
        <w:rPr/>
      </w:pPr>
      <w:r>
        <w:rPr/>
        <w:t>Capital Commitment</w:t>
        <w:tab/>
        <w:tab/>
        <w:t>$25MM</w:t>
      </w:r>
    </w:p>
    <w:p>
      <w:pPr>
        <w:pStyle w:val="Heading1"/>
        <w:pBdr>
          <w:top w:val="single" w:sz="8" w:space="1" w:color="000000"/>
        </w:pBdr>
        <w:ind w:hanging="0" w:start="0" w:end="-36"/>
        <w:rPr/>
      </w:pPr>
      <w:r>
        <w:rPr/>
        <w:t>EXPOSURE SUMMARY</w:t>
      </w:r>
    </w:p>
    <w:p>
      <w:pPr>
        <w:pStyle w:val="Normal"/>
        <w:ind w:start="360" w:end="0"/>
        <w:rPr/>
      </w:pPr>
      <w:r>
        <w:rPr/>
        <w:t>This transaction:</w:t>
        <w:tab/>
        <w:tab/>
        <w:t>$25MM</w:t>
      </w:r>
    </w:p>
    <w:p>
      <w:pPr>
        <w:pStyle w:val="Normal"/>
        <w:ind w:start="360" w:end="0"/>
        <w:rPr/>
      </w:pPr>
      <w:r>
        <w:rPr/>
        <w:t>Total</w:t>
        <w:tab/>
        <w:tab/>
        <w:tab/>
        <w:t>$25MM</w:t>
      </w:r>
    </w:p>
    <w:p>
      <w:pPr>
        <w:pStyle w:val="Heading2"/>
        <w:widowControl/>
        <w:pBdr>
          <w:top w:val="single" w:sz="8" w:space="1" w:color="000000"/>
        </w:pBdr>
        <w:ind w:hanging="0" w:start="0" w:end="-36"/>
        <w:rPr>
          <w:i w:val="false"/>
          <w:i w:val="false"/>
        </w:rPr>
      </w:pPr>
      <w:r>
        <w:rPr>
          <w:i w:val="false"/>
        </w:rPr>
        <w:t>DEAL DESCRIPTION</w:t>
      </w:r>
    </w:p>
    <w:p>
      <w:pPr>
        <w:pStyle w:val="Normal"/>
        <w:numPr>
          <w:ilvl w:val="0"/>
          <w:numId w:val="12"/>
        </w:numPr>
        <w:jc w:val="both"/>
        <w:rPr/>
      </w:pPr>
      <w:r>
        <w:rPr/>
        <w:t xml:space="preserve">AIG Highfield Capital, L.P., is being established by AIG to acquire projects and private equity interests in service providers in industries undergoing deregulation and revitalization.  The General Partner (“GP”) of the Fund will be an affiliate of the investment manager, AIG Global Investment Corp. (the “Fund Manager”), and will receive a carried interest of 20% of the total distribution, after certain conditions are met.  </w:t>
      </w:r>
    </w:p>
    <w:p>
      <w:pPr>
        <w:pStyle w:val="Normal"/>
        <w:numPr>
          <w:ilvl w:val="0"/>
          <w:numId w:val="12"/>
        </w:numPr>
        <w:jc w:val="both"/>
        <w:rPr/>
      </w:pPr>
      <w:r>
        <w:rPr/>
        <w:t>The Fund Manager plans to raise $750 MM total equity, with the first round of commitments targeted at $400 MM, comprised of at least $150 MM of Class A (effectively preferred), limited partnership interests, and the balance of Class B limited partnership interests.  See the “</w:t>
      </w:r>
      <w:r>
        <w:rPr>
          <w:b/>
        </w:rPr>
        <w:t>TRANSACTION SOURCES AND USES OF FUNDS</w:t>
      </w:r>
      <w:r>
        <w:rPr/>
        <w:t xml:space="preserve">” below for the listing of the committed and interested equity participants. </w:t>
      </w:r>
    </w:p>
    <w:p>
      <w:pPr>
        <w:pStyle w:val="Normal"/>
        <w:numPr>
          <w:ilvl w:val="0"/>
          <w:numId w:val="12"/>
        </w:numPr>
        <w:jc w:val="both"/>
        <w:rPr/>
      </w:pPr>
      <w:r>
        <w:rPr/>
        <w:t>The Fund has a 10-year term, extendable to 12 years at the Fund Manager’s discretion, with a 5-year investment/accumulation period and a 5-year liquidation period.  The investments will range $20-$100 MM each in new construction infrastructure projects and operating companies in the power, telecommunications, transportation and environmental service industries with a cap of 67% of the equity capital raised on power projects and a 40% cap on telecommunications projects.</w:t>
      </w:r>
    </w:p>
    <w:p>
      <w:pPr>
        <w:pStyle w:val="Normal"/>
        <w:numPr>
          <w:ilvl w:val="0"/>
          <w:numId w:val="12"/>
        </w:numPr>
        <w:jc w:val="both"/>
        <w:rPr/>
      </w:pPr>
      <w:r>
        <w:rPr/>
        <w:t>ENA will be the sole energy strategic advisor on the energy projects under investment consideration.  In that role, ENA will review all proposed energy transactions and provide recommendations to the Fund Manager for investment decisions.</w:t>
      </w:r>
    </w:p>
    <w:p>
      <w:pPr>
        <w:pStyle w:val="Normal"/>
        <w:numPr>
          <w:ilvl w:val="0"/>
          <w:numId w:val="12"/>
        </w:numPr>
        <w:jc w:val="both"/>
        <w:rPr/>
      </w:pPr>
      <w:r>
        <w:rPr/>
        <w:t>ENA will have the option, but not the obligation, to propose energy transactions to the Fund for equity purchase to allow deconsolidation of those assets. It is unlikely, given the Fund’s target returns, that it will be an effective permanent monetization vehicle for ENA's strategic and merchant investments; however, Enron Global Finance believes that the investment is important for the following reasons:</w:t>
      </w:r>
    </w:p>
    <w:p>
      <w:pPr>
        <w:pStyle w:val="BodyTextIndent"/>
        <w:numPr>
          <w:ilvl w:val="0"/>
          <w:numId w:val="5"/>
        </w:numPr>
        <w:ind w:hanging="360" w:start="720" w:end="0"/>
        <w:rPr/>
      </w:pPr>
      <w:r>
        <w:rPr/>
        <w:t>provides an additional "Friend of Enron" to facilitate short to medium term balance sheet and regulatory solution to highly structured commodity and capital transactions in the wholesale group;</w:t>
      </w:r>
    </w:p>
    <w:p>
      <w:pPr>
        <w:pStyle w:val="Normal"/>
        <w:numPr>
          <w:ilvl w:val="0"/>
          <w:numId w:val="5"/>
        </w:numPr>
        <w:tabs>
          <w:tab w:val="left" w:pos="720" w:leader="none"/>
        </w:tabs>
        <w:ind w:hanging="360" w:start="720" w:end="0"/>
        <w:jc w:val="both"/>
        <w:rPr/>
      </w:pPr>
      <w:r>
        <w:rPr/>
        <w:t>provides alternative sources of short term capital liquidity and</w:t>
      </w:r>
    </w:p>
    <w:p>
      <w:pPr>
        <w:pStyle w:val="Normal"/>
        <w:numPr>
          <w:ilvl w:val="0"/>
          <w:numId w:val="5"/>
        </w:numPr>
        <w:tabs>
          <w:tab w:val="left" w:pos="720" w:leader="none"/>
        </w:tabs>
        <w:ind w:hanging="360" w:start="720" w:end="0"/>
        <w:jc w:val="both"/>
        <w:rPr/>
      </w:pPr>
      <w:r>
        <w:rPr/>
        <w:t>by further developing the relationship with AIG provides collateral benefits for Enron's overall Global Finance capability and business.</w:t>
      </w:r>
    </w:p>
    <w:p>
      <w:pPr>
        <w:pStyle w:val="Normal"/>
        <w:numPr>
          <w:ilvl w:val="0"/>
          <w:numId w:val="12"/>
        </w:numPr>
        <w:jc w:val="both"/>
        <w:rPr/>
      </w:pPr>
      <w:r>
        <w:rPr/>
        <w:t>See “</w:t>
      </w:r>
      <w:r>
        <w:rPr>
          <w:b/>
        </w:rPr>
        <w:t>EXIT STRATEGY</w:t>
      </w:r>
      <w:r>
        <w:rPr/>
        <w:t>” on the following page for the various timing and conditions under which ENA/EECC will be able to exit its investment in the Fund as well as to cease funding its unfunded commitment to  the Fund.</w:t>
      </w:r>
    </w:p>
    <w:p>
      <w:pPr>
        <w:pStyle w:val="Normal"/>
        <w:numPr>
          <w:ilvl w:val="0"/>
          <w:numId w:val="12"/>
        </w:numPr>
        <w:jc w:val="both"/>
        <w:rPr/>
      </w:pPr>
      <w:r>
        <w:rPr/>
        <w:t>ENA/EECC will pay an annual management fee of 2% on the unutilized capital in years 1-3, 1.0% in years 4 &amp; 5, and, as well as an annual management fee of 2% on invested capital in years 1-5 and 1.5% thereafter.</w:t>
      </w:r>
    </w:p>
    <w:p>
      <w:pPr>
        <w:pStyle w:val="Normal"/>
        <w:numPr>
          <w:ilvl w:val="0"/>
          <w:numId w:val="16"/>
        </w:numPr>
        <w:rPr>
          <w:i/>
          <w:i/>
        </w:rPr>
      </w:pPr>
      <w:r>
        <w:rPr/>
        <w:t>ENA would have a requirement that this investments be hedged through Raptor and be managed by the Enron Global Finance Group.</w:t>
      </w:r>
    </w:p>
    <w:p>
      <w:pPr>
        <w:pStyle w:val="Normal"/>
        <w:pBdr>
          <w:top w:val="single" w:sz="4" w:space="1" w:color="000000"/>
        </w:pBdr>
        <w:rPr/>
      </w:pPr>
      <w:r>
        <w:rPr/>
        <w:t>TRANSACTION SOURCES AND USES OF FUNDS – in millions</w:t>
      </w:r>
    </w:p>
    <w:tbl>
      <w:tblPr>
        <w:tblW w:w="9360" w:type="dxa"/>
        <w:jc w:val="start"/>
        <w:tblInd w:w="378" w:type="dxa"/>
        <w:tblLayout w:type="fixed"/>
        <w:tblCellMar>
          <w:top w:w="0" w:type="dxa"/>
          <w:start w:w="108" w:type="dxa"/>
          <w:bottom w:w="0" w:type="dxa"/>
          <w:end w:w="108" w:type="dxa"/>
        </w:tblCellMar>
      </w:tblPr>
      <w:tblGrid>
        <w:gridCol w:w="2880"/>
        <w:gridCol w:w="1080"/>
        <w:gridCol w:w="1170"/>
        <w:gridCol w:w="2160"/>
        <w:gridCol w:w="2070"/>
      </w:tblGrid>
      <w:tr>
        <w:trPr/>
        <w:tc>
          <w:tcPr>
            <w:tcW w:w="2880" w:type="dxa"/>
            <w:tcBorders/>
          </w:tcPr>
          <w:p>
            <w:pPr>
              <w:pStyle w:val="Normal"/>
              <w:snapToGrid w:val="false"/>
              <w:jc w:val="both"/>
              <w:rPr/>
            </w:pPr>
            <w:r>
              <w:rPr/>
            </w:r>
          </w:p>
        </w:tc>
        <w:tc>
          <w:tcPr>
            <w:tcW w:w="1080" w:type="dxa"/>
            <w:tcBorders/>
          </w:tcPr>
          <w:p>
            <w:pPr>
              <w:pStyle w:val="Heading6"/>
              <w:ind w:hanging="0" w:start="0"/>
              <w:jc w:val="end"/>
              <w:rPr/>
            </w:pPr>
            <w:r>
              <w:rPr/>
              <w:t>Minimum</w:t>
            </w:r>
          </w:p>
        </w:tc>
        <w:tc>
          <w:tcPr>
            <w:tcW w:w="1170" w:type="dxa"/>
            <w:tcBorders/>
          </w:tcPr>
          <w:p>
            <w:pPr>
              <w:pStyle w:val="Heading8"/>
              <w:ind w:hanging="0" w:start="0"/>
              <w:rPr/>
            </w:pPr>
            <w:r>
              <w:rPr/>
              <w:t>Aggregate</w:t>
            </w:r>
          </w:p>
        </w:tc>
        <w:tc>
          <w:tcPr>
            <w:tcW w:w="2160" w:type="dxa"/>
            <w:tcBorders/>
          </w:tcPr>
          <w:p>
            <w:pPr>
              <w:pStyle w:val="Normal"/>
              <w:snapToGrid w:val="false"/>
              <w:jc w:val="both"/>
              <w:rPr>
                <w:u w:val="single"/>
              </w:rPr>
            </w:pPr>
            <w:r>
              <w:rPr>
                <w:u w:val="single"/>
              </w:rPr>
            </w:r>
          </w:p>
        </w:tc>
        <w:tc>
          <w:tcPr>
            <w:tcW w:w="2070" w:type="dxa"/>
            <w:tcBorders/>
          </w:tcPr>
          <w:p>
            <w:pPr>
              <w:pStyle w:val="Heading8"/>
              <w:ind w:hanging="0" w:start="0"/>
              <w:rPr/>
            </w:pPr>
            <w:r>
              <w:rPr/>
              <w:t>Uses</w:t>
            </w:r>
          </w:p>
        </w:tc>
      </w:tr>
      <w:tr>
        <w:trPr/>
        <w:tc>
          <w:tcPr>
            <w:tcW w:w="2880" w:type="dxa"/>
            <w:tcBorders/>
          </w:tcPr>
          <w:p>
            <w:pPr>
              <w:pStyle w:val="Header"/>
              <w:widowControl/>
              <w:tabs>
                <w:tab w:val="clear" w:pos="4320"/>
                <w:tab w:val="clear" w:pos="8640"/>
              </w:tabs>
              <w:jc w:val="both"/>
              <w:rPr/>
            </w:pPr>
            <w:r>
              <w:rPr/>
              <w:t>West LB – Class A</w:t>
            </w:r>
          </w:p>
        </w:tc>
        <w:tc>
          <w:tcPr>
            <w:tcW w:w="1080" w:type="dxa"/>
            <w:tcBorders/>
          </w:tcPr>
          <w:p>
            <w:pPr>
              <w:pStyle w:val="Normal"/>
              <w:jc w:val="end"/>
              <w:rPr/>
            </w:pPr>
            <w:r>
              <w:rPr/>
              <w:t>$75</w:t>
            </w:r>
          </w:p>
        </w:tc>
        <w:tc>
          <w:tcPr>
            <w:tcW w:w="1170" w:type="dxa"/>
            <w:tcBorders/>
          </w:tcPr>
          <w:p>
            <w:pPr>
              <w:pStyle w:val="Normal"/>
              <w:jc w:val="end"/>
              <w:rPr/>
            </w:pPr>
            <w:r>
              <w:rPr/>
              <w:t>$75</w:t>
            </w:r>
          </w:p>
        </w:tc>
        <w:tc>
          <w:tcPr>
            <w:tcW w:w="2160" w:type="dxa"/>
            <w:tcBorders/>
          </w:tcPr>
          <w:p>
            <w:pPr>
              <w:pStyle w:val="Header"/>
              <w:widowControl/>
              <w:tabs>
                <w:tab w:val="clear" w:pos="4320"/>
                <w:tab w:val="clear" w:pos="8640"/>
              </w:tabs>
              <w:jc w:val="end"/>
              <w:rPr/>
            </w:pPr>
            <w:r>
              <w:rPr/>
              <w:t>Project Investments</w:t>
            </w:r>
          </w:p>
        </w:tc>
        <w:tc>
          <w:tcPr>
            <w:tcW w:w="2070" w:type="dxa"/>
            <w:tcBorders/>
          </w:tcPr>
          <w:p>
            <w:pPr>
              <w:pStyle w:val="Normal"/>
              <w:jc w:val="end"/>
              <w:rPr/>
            </w:pPr>
            <w:r>
              <w:rPr/>
              <w:t>$400 - $750</w:t>
            </w:r>
          </w:p>
        </w:tc>
      </w:tr>
      <w:tr>
        <w:trPr/>
        <w:tc>
          <w:tcPr>
            <w:tcW w:w="2880" w:type="dxa"/>
            <w:tcBorders/>
          </w:tcPr>
          <w:p>
            <w:pPr>
              <w:pStyle w:val="Header"/>
              <w:widowControl/>
              <w:tabs>
                <w:tab w:val="clear" w:pos="4320"/>
                <w:tab w:val="clear" w:pos="8640"/>
              </w:tabs>
              <w:jc w:val="both"/>
              <w:rPr/>
            </w:pPr>
            <w:r>
              <w:rPr/>
              <w:t>Deutsche – Class A</w:t>
            </w:r>
          </w:p>
        </w:tc>
        <w:tc>
          <w:tcPr>
            <w:tcW w:w="1080" w:type="dxa"/>
            <w:tcBorders/>
          </w:tcPr>
          <w:p>
            <w:pPr>
              <w:pStyle w:val="Normal"/>
              <w:jc w:val="end"/>
              <w:rPr/>
            </w:pPr>
            <w:r>
              <w:rPr/>
              <w:t>75</w:t>
            </w:r>
          </w:p>
        </w:tc>
        <w:tc>
          <w:tcPr>
            <w:tcW w:w="1170" w:type="dxa"/>
            <w:tcBorders/>
          </w:tcPr>
          <w:p>
            <w:pPr>
              <w:pStyle w:val="Normal"/>
              <w:jc w:val="end"/>
              <w:rPr/>
            </w:pPr>
            <w:r>
              <w:rPr/>
              <w:t>75</w:t>
            </w:r>
          </w:p>
        </w:tc>
        <w:tc>
          <w:tcPr>
            <w:tcW w:w="2160" w:type="dxa"/>
            <w:tcBorders/>
          </w:tcPr>
          <w:p>
            <w:pPr>
              <w:pStyle w:val="Normal"/>
              <w:snapToGrid w:val="false"/>
              <w:jc w:val="both"/>
              <w:rPr/>
            </w:pPr>
            <w:r>
              <w:rPr/>
            </w:r>
          </w:p>
        </w:tc>
        <w:tc>
          <w:tcPr>
            <w:tcW w:w="2070" w:type="dxa"/>
            <w:tcBorders/>
          </w:tcPr>
          <w:p>
            <w:pPr>
              <w:pStyle w:val="Normal"/>
              <w:snapToGrid w:val="false"/>
              <w:jc w:val="end"/>
              <w:rPr/>
            </w:pPr>
            <w:r>
              <w:rPr/>
            </w:r>
          </w:p>
        </w:tc>
      </w:tr>
      <w:tr>
        <w:trPr/>
        <w:tc>
          <w:tcPr>
            <w:tcW w:w="2880" w:type="dxa"/>
            <w:tcBorders/>
          </w:tcPr>
          <w:p>
            <w:pPr>
              <w:pStyle w:val="Normal"/>
              <w:jc w:val="both"/>
              <w:rPr/>
            </w:pPr>
            <w:r>
              <w:rPr/>
              <w:t>AIG Equity – Class B</w:t>
            </w:r>
          </w:p>
        </w:tc>
        <w:tc>
          <w:tcPr>
            <w:tcW w:w="1080" w:type="dxa"/>
            <w:tcBorders/>
          </w:tcPr>
          <w:p>
            <w:pPr>
              <w:pStyle w:val="Normal"/>
              <w:jc w:val="end"/>
              <w:rPr/>
            </w:pPr>
            <w:r>
              <w:rPr/>
              <w:t>100</w:t>
            </w:r>
          </w:p>
        </w:tc>
        <w:tc>
          <w:tcPr>
            <w:tcW w:w="1170" w:type="dxa"/>
            <w:tcBorders/>
          </w:tcPr>
          <w:p>
            <w:pPr>
              <w:pStyle w:val="Normal"/>
              <w:jc w:val="end"/>
              <w:rPr/>
            </w:pPr>
            <w:r>
              <w:rPr/>
              <w:t>100</w:t>
            </w:r>
          </w:p>
        </w:tc>
        <w:tc>
          <w:tcPr>
            <w:tcW w:w="2160" w:type="dxa"/>
            <w:tcBorders/>
          </w:tcPr>
          <w:p>
            <w:pPr>
              <w:pStyle w:val="Header"/>
              <w:widowControl/>
              <w:tabs>
                <w:tab w:val="clear" w:pos="4320"/>
                <w:tab w:val="clear" w:pos="8640"/>
              </w:tabs>
              <w:snapToGrid w:val="false"/>
              <w:jc w:val="end"/>
              <w:rPr/>
            </w:pPr>
            <w:r>
              <w:rPr/>
            </w:r>
          </w:p>
        </w:tc>
        <w:tc>
          <w:tcPr>
            <w:tcW w:w="2070" w:type="dxa"/>
            <w:tcBorders/>
          </w:tcPr>
          <w:p>
            <w:pPr>
              <w:pStyle w:val="Normal"/>
              <w:snapToGrid w:val="false"/>
              <w:jc w:val="end"/>
              <w:rPr/>
            </w:pPr>
            <w:r>
              <w:rPr/>
            </w:r>
          </w:p>
        </w:tc>
      </w:tr>
      <w:tr>
        <w:trPr/>
        <w:tc>
          <w:tcPr>
            <w:tcW w:w="2880" w:type="dxa"/>
            <w:tcBorders/>
          </w:tcPr>
          <w:p>
            <w:pPr>
              <w:pStyle w:val="Normal"/>
              <w:jc w:val="both"/>
              <w:rPr/>
            </w:pPr>
            <w:r>
              <w:rPr/>
              <w:t>Enron Equity – Class B</w:t>
            </w:r>
          </w:p>
        </w:tc>
        <w:tc>
          <w:tcPr>
            <w:tcW w:w="1080" w:type="dxa"/>
            <w:tcBorders/>
          </w:tcPr>
          <w:p>
            <w:pPr>
              <w:pStyle w:val="Normal"/>
              <w:jc w:val="end"/>
              <w:rPr/>
            </w:pPr>
            <w:r>
              <w:rPr/>
              <w:t xml:space="preserve"> </w:t>
            </w:r>
            <w:r>
              <w:rPr/>
              <w:t>25</w:t>
            </w:r>
          </w:p>
        </w:tc>
        <w:tc>
          <w:tcPr>
            <w:tcW w:w="1170" w:type="dxa"/>
            <w:tcBorders/>
          </w:tcPr>
          <w:p>
            <w:pPr>
              <w:pStyle w:val="Normal"/>
              <w:jc w:val="end"/>
              <w:rPr/>
            </w:pPr>
            <w:r>
              <w:rPr/>
              <w:t xml:space="preserve"> </w:t>
            </w:r>
            <w:r>
              <w:rPr/>
              <w:t>25</w:t>
            </w:r>
          </w:p>
        </w:tc>
        <w:tc>
          <w:tcPr>
            <w:tcW w:w="2160" w:type="dxa"/>
            <w:tcBorders/>
          </w:tcPr>
          <w:p>
            <w:pPr>
              <w:pStyle w:val="Header"/>
              <w:widowControl/>
              <w:tabs>
                <w:tab w:val="clear" w:pos="4320"/>
                <w:tab w:val="clear" w:pos="8640"/>
              </w:tabs>
              <w:snapToGrid w:val="false"/>
              <w:jc w:val="both"/>
              <w:rPr/>
            </w:pPr>
            <w:r>
              <w:rPr/>
            </w:r>
          </w:p>
        </w:tc>
        <w:tc>
          <w:tcPr>
            <w:tcW w:w="2070" w:type="dxa"/>
            <w:tcBorders/>
          </w:tcPr>
          <w:p>
            <w:pPr>
              <w:pStyle w:val="Normal"/>
              <w:snapToGrid w:val="false"/>
              <w:jc w:val="end"/>
              <w:rPr/>
            </w:pPr>
            <w:r>
              <w:rPr/>
            </w:r>
          </w:p>
        </w:tc>
      </w:tr>
      <w:tr>
        <w:trPr/>
        <w:tc>
          <w:tcPr>
            <w:tcW w:w="2880" w:type="dxa"/>
            <w:tcBorders/>
          </w:tcPr>
          <w:p>
            <w:pPr>
              <w:pStyle w:val="Header"/>
              <w:widowControl/>
              <w:tabs>
                <w:tab w:val="clear" w:pos="4320"/>
                <w:tab w:val="clear" w:pos="8640"/>
              </w:tabs>
              <w:jc w:val="both"/>
              <w:rPr/>
            </w:pPr>
            <w:r>
              <w:rPr/>
              <w:t>Uncommitted Equity (A &amp; B)</w:t>
            </w:r>
          </w:p>
        </w:tc>
        <w:tc>
          <w:tcPr>
            <w:tcW w:w="1080" w:type="dxa"/>
            <w:tcBorders>
              <w:bottom w:val="single" w:sz="4" w:space="0" w:color="000000"/>
            </w:tcBorders>
          </w:tcPr>
          <w:p>
            <w:pPr>
              <w:pStyle w:val="Normal"/>
              <w:jc w:val="end"/>
              <w:rPr/>
            </w:pPr>
            <w:r>
              <w:rPr/>
              <w:t>125</w:t>
            </w:r>
          </w:p>
        </w:tc>
        <w:tc>
          <w:tcPr>
            <w:tcW w:w="1170" w:type="dxa"/>
            <w:tcBorders>
              <w:bottom w:val="single" w:sz="4" w:space="0" w:color="000000"/>
            </w:tcBorders>
          </w:tcPr>
          <w:p>
            <w:pPr>
              <w:pStyle w:val="Normal"/>
              <w:jc w:val="end"/>
              <w:rPr/>
            </w:pPr>
            <w:r>
              <w:rPr/>
              <w:t>475</w:t>
            </w:r>
          </w:p>
        </w:tc>
        <w:tc>
          <w:tcPr>
            <w:tcW w:w="2160" w:type="dxa"/>
            <w:tcBorders/>
          </w:tcPr>
          <w:p>
            <w:pPr>
              <w:pStyle w:val="Normal"/>
              <w:snapToGrid w:val="false"/>
              <w:jc w:val="both"/>
              <w:rPr/>
            </w:pPr>
            <w:r>
              <w:rPr/>
            </w:r>
          </w:p>
        </w:tc>
        <w:tc>
          <w:tcPr>
            <w:tcW w:w="2070" w:type="dxa"/>
            <w:tcBorders>
              <w:bottom w:val="single" w:sz="4" w:space="0" w:color="000000"/>
            </w:tcBorders>
          </w:tcPr>
          <w:p>
            <w:pPr>
              <w:pStyle w:val="Normal"/>
              <w:snapToGrid w:val="false"/>
              <w:jc w:val="end"/>
              <w:rPr/>
            </w:pPr>
            <w:r>
              <w:rPr/>
            </w:r>
          </w:p>
        </w:tc>
      </w:tr>
      <w:tr>
        <w:trPr/>
        <w:tc>
          <w:tcPr>
            <w:tcW w:w="2880" w:type="dxa"/>
            <w:tcBorders/>
          </w:tcPr>
          <w:p>
            <w:pPr>
              <w:pStyle w:val="Normal"/>
              <w:jc w:val="both"/>
              <w:rPr/>
            </w:pPr>
            <w:r>
              <w:rPr/>
              <w:t>Total</w:t>
            </w:r>
          </w:p>
        </w:tc>
        <w:tc>
          <w:tcPr>
            <w:tcW w:w="1080" w:type="dxa"/>
            <w:tcBorders/>
          </w:tcPr>
          <w:p>
            <w:pPr>
              <w:pStyle w:val="Normal"/>
              <w:jc w:val="end"/>
              <w:rPr/>
            </w:pPr>
            <w:r>
              <w:rPr/>
              <w:t>$400</w:t>
            </w:r>
          </w:p>
        </w:tc>
        <w:tc>
          <w:tcPr>
            <w:tcW w:w="1170" w:type="dxa"/>
            <w:tcBorders/>
          </w:tcPr>
          <w:p>
            <w:pPr>
              <w:pStyle w:val="Normal"/>
              <w:jc w:val="end"/>
              <w:rPr/>
            </w:pPr>
            <w:r>
              <w:rPr/>
              <w:t>$750</w:t>
            </w:r>
          </w:p>
        </w:tc>
        <w:tc>
          <w:tcPr>
            <w:tcW w:w="2160" w:type="dxa"/>
            <w:tcBorders/>
          </w:tcPr>
          <w:p>
            <w:pPr>
              <w:pStyle w:val="Normal"/>
              <w:snapToGrid w:val="false"/>
              <w:jc w:val="both"/>
              <w:rPr/>
            </w:pPr>
            <w:r>
              <w:rPr/>
            </w:r>
          </w:p>
        </w:tc>
        <w:tc>
          <w:tcPr>
            <w:tcW w:w="2070" w:type="dxa"/>
            <w:tcBorders/>
          </w:tcPr>
          <w:p>
            <w:pPr>
              <w:pStyle w:val="Normal"/>
              <w:jc w:val="end"/>
              <w:rPr/>
            </w:pPr>
            <w:r>
              <w:rPr/>
              <w:t>$400 - $750</w:t>
            </w:r>
          </w:p>
        </w:tc>
      </w:tr>
    </w:tbl>
    <w:p>
      <w:pPr>
        <w:pStyle w:val="Heading2"/>
        <w:widowControl/>
        <w:pBdr>
          <w:top w:val="single" w:sz="8" w:space="1" w:color="000000"/>
        </w:pBdr>
        <w:ind w:hanging="0" w:start="0" w:end="-36"/>
        <w:jc w:val="both"/>
        <w:rPr>
          <w:i w:val="false"/>
          <w:i w:val="false"/>
        </w:rPr>
      </w:pPr>
      <w:r>
        <w:rPr>
          <w:i w:val="false"/>
        </w:rPr>
        <w:t>RETURN SUMMARY</w:t>
      </w:r>
    </w:p>
    <w:p>
      <w:pPr>
        <w:pStyle w:val="Normal"/>
        <w:numPr>
          <w:ilvl w:val="0"/>
          <w:numId w:val="9"/>
        </w:numPr>
        <w:jc w:val="both"/>
        <w:rPr/>
      </w:pPr>
      <w:r>
        <w:rPr/>
        <w:t>The expected aggregate return on ENA/EECC’s investment will come from the following components and is difficult to predict at this time:</w:t>
      </w:r>
    </w:p>
    <w:p>
      <w:pPr>
        <w:pStyle w:val="Normal"/>
        <w:numPr>
          <w:ilvl w:val="0"/>
          <w:numId w:val="9"/>
        </w:numPr>
        <w:tabs>
          <w:tab w:val="left" w:pos="720" w:leader="none"/>
        </w:tabs>
        <w:ind w:hanging="360" w:start="720" w:end="0"/>
        <w:jc w:val="both"/>
        <w:rPr/>
      </w:pPr>
      <w:r>
        <w:rPr/>
        <w:t>Project investments’ interim distribution and capital appreciation upon liquidation of projects;</w:t>
      </w:r>
    </w:p>
    <w:p>
      <w:pPr>
        <w:pStyle w:val="Normal"/>
        <w:numPr>
          <w:ilvl w:val="0"/>
          <w:numId w:val="9"/>
        </w:numPr>
        <w:tabs>
          <w:tab w:val="left" w:pos="720" w:leader="none"/>
        </w:tabs>
        <w:ind w:hanging="360" w:start="720" w:end="0"/>
        <w:jc w:val="both"/>
        <w:rPr/>
      </w:pPr>
      <w:r>
        <w:rPr/>
        <w:t>Origination/structuring fees associated with the transactions proposed to and accepted by the Fund;</w:t>
      </w:r>
    </w:p>
    <w:p>
      <w:pPr>
        <w:pStyle w:val="Normal"/>
        <w:numPr>
          <w:ilvl w:val="0"/>
          <w:numId w:val="9"/>
        </w:numPr>
        <w:tabs>
          <w:tab w:val="left" w:pos="720" w:leader="none"/>
        </w:tabs>
        <w:ind w:hanging="360" w:start="720" w:end="0"/>
        <w:jc w:val="both"/>
        <w:rPr/>
      </w:pPr>
      <w:r>
        <w:rPr/>
        <w:t>Net revenue from the energy-related product/service sales and EECC construction margin;</w:t>
      </w:r>
    </w:p>
    <w:p>
      <w:pPr>
        <w:pStyle w:val="Normal"/>
        <w:jc w:val="both"/>
        <w:rPr/>
      </w:pPr>
      <w:r>
        <w:rPr/>
      </w:r>
    </w:p>
    <w:p>
      <w:pPr>
        <w:pStyle w:val="Heading1"/>
        <w:pBdr>
          <w:top w:val="single" w:sz="8" w:space="1" w:color="000000"/>
        </w:pBdr>
        <w:ind w:hanging="0" w:start="0" w:end="-36"/>
        <w:jc w:val="both"/>
        <w:rPr>
          <w:b w:val="false"/>
        </w:rPr>
      </w:pPr>
      <w:r>
        <w:rPr/>
        <w:t>TRANSACTION UPSIDES/OPTIONALITY</w:t>
      </w:r>
    </w:p>
    <w:p>
      <w:pPr>
        <w:pStyle w:val="Normal"/>
        <w:numPr>
          <w:ilvl w:val="0"/>
          <w:numId w:val="12"/>
        </w:numPr>
        <w:tabs>
          <w:tab w:val="left" w:pos="720" w:leader="none"/>
        </w:tabs>
        <w:ind w:hanging="360" w:start="720" w:end="0"/>
        <w:jc w:val="both"/>
        <w:rPr/>
      </w:pPr>
      <w:r>
        <w:rPr/>
        <w:t xml:space="preserve">Product/services upsell – ENA may upsell energy related products such as fuel supply, and services such as power marketing for any merchant generation, and commodity risk management, to the portfolio company or assets. </w:t>
      </w:r>
    </w:p>
    <w:p>
      <w:pPr>
        <w:pStyle w:val="Normal"/>
        <w:numPr>
          <w:ilvl w:val="0"/>
          <w:numId w:val="12"/>
        </w:numPr>
        <w:tabs>
          <w:tab w:val="left" w:pos="720" w:leader="none"/>
        </w:tabs>
        <w:ind w:hanging="360" w:start="720" w:end="0"/>
        <w:jc w:val="both"/>
        <w:rPr/>
      </w:pPr>
      <w:r>
        <w:rPr/>
        <w:t xml:space="preserve">EPC construction and operation service upsell </w:t>
      </w:r>
      <w:r>
        <w:rPr>
          <w:color w:val="0000FF"/>
        </w:rPr>
        <w:t xml:space="preserve">- </w:t>
      </w:r>
      <w:r>
        <w:rPr/>
        <w:t>EECC will have the first right of refusal on any of the project EPC services and post-construction operations.</w:t>
      </w:r>
    </w:p>
    <w:p>
      <w:pPr>
        <w:pStyle w:val="Normal"/>
        <w:ind w:end="-36"/>
        <w:jc w:val="both"/>
        <w:rPr/>
      </w:pPr>
      <w:r>
        <w:rPr/>
      </w:r>
    </w:p>
    <w:p>
      <w:pPr>
        <w:pStyle w:val="Normal"/>
        <w:pBdr>
          <w:top w:val="single" w:sz="8" w:space="1" w:color="000000"/>
        </w:pBdr>
        <w:ind w:end="-36"/>
        <w:jc w:val="both"/>
        <w:rPr>
          <w:b/>
        </w:rPr>
      </w:pPr>
      <w:r>
        <w:rPr>
          <w:b/>
        </w:rPr>
        <w:t>EXIT STRATEGY</w:t>
      </w:r>
    </w:p>
    <w:p>
      <w:pPr>
        <w:pStyle w:val="Normal"/>
        <w:numPr>
          <w:ilvl w:val="0"/>
          <w:numId w:val="15"/>
        </w:numPr>
        <w:pBdr>
          <w:top w:val="single" w:sz="8" w:space="1" w:color="000000"/>
        </w:pBdr>
        <w:ind w:hanging="360" w:start="360" w:end="-36"/>
        <w:jc w:val="both"/>
        <w:rPr/>
      </w:pPr>
      <w:r>
        <w:rPr/>
        <w:t>ENE/EECC’s investment in the Fund will exit as the Fund liquidates its investments over a 5-year period starting in year 6</w:t>
      </w:r>
      <w:r>
        <w:rPr>
          <w:color w:val="0000FF"/>
        </w:rPr>
        <w:t>.</w:t>
      </w:r>
      <w:r>
        <w:rPr/>
        <w:t xml:space="preserve">  </w:t>
      </w:r>
    </w:p>
    <w:p>
      <w:pPr>
        <w:pStyle w:val="Normal"/>
        <w:numPr>
          <w:ilvl w:val="0"/>
          <w:numId w:val="15"/>
        </w:numPr>
        <w:pBdr>
          <w:top w:val="single" w:sz="8" w:space="1" w:color="000000"/>
        </w:pBdr>
        <w:ind w:hanging="360" w:start="360" w:end="-36"/>
        <w:jc w:val="both"/>
        <w:rPr/>
      </w:pPr>
      <w:r>
        <w:rPr/>
        <w:t>Prior to the organized liquidation, ENA/EECC also have the right to terminate their investment as follows:</w:t>
      </w:r>
    </w:p>
    <w:p>
      <w:pPr>
        <w:pStyle w:val="Normal"/>
        <w:numPr>
          <w:ilvl w:val="0"/>
          <w:numId w:val="12"/>
        </w:numPr>
        <w:tabs>
          <w:tab w:val="left" w:pos="720" w:leader="none"/>
        </w:tabs>
        <w:ind w:hanging="360" w:start="720" w:end="0"/>
        <w:jc w:val="both"/>
        <w:rPr/>
      </w:pPr>
      <w:r>
        <w:rPr/>
        <w:t>ENA/EECC will reassess the Fund’s effectiveness in achieving the strategic objectives prior to the earlier of a) $10 MM funding in aggregate or b) 12 months after closing, and will have the right to terminate the obligations to make any and all further capital contributions to the Fund if deemed appropriate.  After that and at any time during the remaining term, ENA/EECC may cancel their unutilized capital commitments without restriction or penalty, provided that the parties forfeit any prepaid management fees.  The GP may also terminate ENA/EECC’s commitment to the Fund at any time, provided that any prepaid management fees are refunded (the “Termination for Convenience” clause).</w:t>
      </w:r>
    </w:p>
    <w:p>
      <w:pPr>
        <w:pStyle w:val="Normal"/>
        <w:numPr>
          <w:ilvl w:val="0"/>
          <w:numId w:val="15"/>
        </w:numPr>
        <w:tabs>
          <w:tab w:val="left" w:pos="720" w:leader="none"/>
        </w:tabs>
        <w:ind w:hanging="360" w:start="720" w:end="-36"/>
        <w:jc w:val="both"/>
        <w:rPr/>
      </w:pPr>
      <w:r>
        <w:rPr/>
        <w:t xml:space="preserve">Beyond the above, ENE/EECC will be restricted in their ability to sell the investment to a third-party investor.  Any such sale will be subject to the consent of the GP, which consent will be based on the replacement investor’s qualification as the replacement energy strategic advisor, and the following: 1) that the proposed transferee does not have a rating lower than A2/A; 2) that the transfer will not have an adverse tax consequence for the partnership; 3) that the transfer will not take place through any securities exchange, over-the-counter system, or any sort of broker/dealer, The rating requirement is necessary because the replacement investor will assume the obligation of the unfunded commitment.  The combination of the required energy expertise and the rating specification essentially makes this investment illiquid for ENA/EECC. </w:t>
      </w:r>
    </w:p>
    <w:p>
      <w:pPr>
        <w:pStyle w:val="Normal"/>
        <w:ind w:end="-36"/>
        <w:jc w:val="both"/>
        <w:rPr/>
      </w:pPr>
      <w:r>
        <w:rPr/>
      </w:r>
    </w:p>
    <w:p>
      <w:pPr>
        <w:pStyle w:val="Header"/>
        <w:widowControl/>
        <w:pBdr>
          <w:top w:val="single" w:sz="4" w:space="1" w:color="000000"/>
        </w:pBdr>
        <w:tabs>
          <w:tab w:val="clear" w:pos="4320"/>
          <w:tab w:val="clear" w:pos="8640"/>
        </w:tabs>
        <w:jc w:val="both"/>
        <w:rPr>
          <w:b/>
        </w:rPr>
      </w:pPr>
      <w:r>
        <w:rPr>
          <w:b/>
        </w:rPr>
        <w:t>MILESTONES</w:t>
      </w:r>
    </w:p>
    <w:p>
      <w:pPr>
        <w:pStyle w:val="Header"/>
        <w:widowControl/>
        <w:pBdr>
          <w:top w:val="single" w:sz="4" w:space="1" w:color="000000"/>
        </w:pBdr>
        <w:tabs>
          <w:tab w:val="clear" w:pos="4320"/>
          <w:tab w:val="clear" w:pos="8640"/>
        </w:tabs>
        <w:jc w:val="both"/>
        <w:rPr>
          <w:b/>
        </w:rPr>
      </w:pPr>
      <w:r>
        <w:rPr>
          <w:b/>
        </w:rPr>
      </w:r>
    </w:p>
    <w:tbl>
      <w:tblPr>
        <w:tblW w:w="10260" w:type="dxa"/>
        <w:jc w:val="start"/>
        <w:tblInd w:w="198" w:type="dxa"/>
        <w:tblLayout w:type="fixed"/>
        <w:tblCellMar>
          <w:top w:w="0" w:type="dxa"/>
          <w:start w:w="108" w:type="dxa"/>
          <w:bottom w:w="0" w:type="dxa"/>
          <w:end w:w="108" w:type="dxa"/>
        </w:tblCellMar>
      </w:tblPr>
      <w:tblGrid>
        <w:gridCol w:w="9270"/>
        <w:gridCol w:w="972"/>
        <w:gridCol w:w="18"/>
      </w:tblGrid>
      <w:tr>
        <w:trPr/>
        <w:tc>
          <w:tcPr>
            <w:tcW w:w="9270" w:type="dxa"/>
            <w:tcBorders/>
          </w:tcPr>
          <w:p>
            <w:pPr>
              <w:pStyle w:val="Header"/>
              <w:widowControl/>
              <w:tabs>
                <w:tab w:val="clear" w:pos="4320"/>
                <w:tab w:val="clear" w:pos="8640"/>
              </w:tabs>
              <w:jc w:val="both"/>
              <w:rPr>
                <w:b/>
                <w:u w:val="single"/>
              </w:rPr>
            </w:pPr>
            <w:r>
              <w:rPr>
                <w:b/>
                <w:u w:val="single"/>
              </w:rPr>
              <w:t>Events</w:t>
            </w:r>
          </w:p>
        </w:tc>
        <w:tc>
          <w:tcPr>
            <w:tcW w:w="972" w:type="dxa"/>
            <w:tcBorders/>
          </w:tcPr>
          <w:p>
            <w:pPr>
              <w:pStyle w:val="Header"/>
              <w:widowControl/>
              <w:tabs>
                <w:tab w:val="clear" w:pos="4320"/>
                <w:tab w:val="clear" w:pos="8640"/>
              </w:tabs>
              <w:jc w:val="both"/>
              <w:rPr>
                <w:b/>
                <w:u w:val="single"/>
              </w:rPr>
            </w:pPr>
            <w:r>
              <w:rPr>
                <w:b/>
                <w:u w:val="single"/>
              </w:rPr>
              <w:t>Dates</w:t>
            </w:r>
          </w:p>
        </w:tc>
      </w:tr>
      <w:tr>
        <w:trPr/>
        <w:tc>
          <w:tcPr>
            <w:tcW w:w="9270" w:type="dxa"/>
            <w:tcBorders/>
          </w:tcPr>
          <w:p>
            <w:pPr>
              <w:pStyle w:val="Header"/>
              <w:widowControl/>
              <w:tabs>
                <w:tab w:val="clear" w:pos="4320"/>
                <w:tab w:val="clear" w:pos="8640"/>
              </w:tabs>
              <w:jc w:val="both"/>
              <w:rPr/>
            </w:pPr>
            <w:r>
              <w:rPr/>
              <w:t>Closing – commitment for $400 MM</w:t>
            </w:r>
          </w:p>
        </w:tc>
        <w:tc>
          <w:tcPr>
            <w:tcW w:w="972" w:type="dxa"/>
            <w:tcBorders/>
          </w:tcPr>
          <w:p>
            <w:pPr>
              <w:pStyle w:val="Header"/>
              <w:widowControl/>
              <w:tabs>
                <w:tab w:val="clear" w:pos="4320"/>
                <w:tab w:val="clear" w:pos="8640"/>
              </w:tabs>
              <w:jc w:val="both"/>
              <w:rPr/>
            </w:pPr>
            <w:r>
              <w:rPr/>
              <w:t>09/30/00</w:t>
            </w:r>
          </w:p>
        </w:tc>
      </w:tr>
      <w:tr>
        <w:trPr/>
        <w:tc>
          <w:tcPr>
            <w:tcW w:w="9270" w:type="dxa"/>
            <w:tcBorders/>
          </w:tcPr>
          <w:p>
            <w:pPr>
              <w:pStyle w:val="Header"/>
              <w:widowControl/>
              <w:tabs>
                <w:tab w:val="clear" w:pos="4320"/>
                <w:tab w:val="clear" w:pos="8640"/>
              </w:tabs>
              <w:jc w:val="both"/>
              <w:rPr/>
            </w:pPr>
            <w:r>
              <w:rPr/>
              <w:t>Fund Manager’s investment decisions on the three transactions proposed by ENA</w:t>
            </w:r>
          </w:p>
        </w:tc>
        <w:tc>
          <w:tcPr>
            <w:tcW w:w="990" w:type="dxa"/>
            <w:tcBorders/>
          </w:tcPr>
          <w:p>
            <w:pPr>
              <w:pStyle w:val="Header"/>
              <w:widowControl/>
              <w:tabs>
                <w:tab w:val="clear" w:pos="4320"/>
                <w:tab w:val="clear" w:pos="8640"/>
              </w:tabs>
              <w:jc w:val="both"/>
              <w:rPr/>
            </w:pPr>
            <w:r>
              <w:rPr/>
              <w:t>11/30/00</w:t>
            </w:r>
          </w:p>
        </w:tc>
      </w:tr>
      <w:tr>
        <w:trPr/>
        <w:tc>
          <w:tcPr>
            <w:tcW w:w="9270" w:type="dxa"/>
            <w:tcBorders/>
          </w:tcPr>
          <w:p>
            <w:pPr>
              <w:pStyle w:val="Header"/>
              <w:widowControl/>
              <w:tabs>
                <w:tab w:val="clear" w:pos="4320"/>
                <w:tab w:val="clear" w:pos="8640"/>
              </w:tabs>
              <w:jc w:val="both"/>
              <w:rPr/>
            </w:pPr>
            <w:r>
              <w:rPr/>
              <w:t>Fund progress report – quarterly commencing:</w:t>
            </w:r>
          </w:p>
        </w:tc>
        <w:tc>
          <w:tcPr>
            <w:tcW w:w="972" w:type="dxa"/>
            <w:tcBorders/>
          </w:tcPr>
          <w:p>
            <w:pPr>
              <w:pStyle w:val="Header"/>
              <w:widowControl/>
              <w:tabs>
                <w:tab w:val="clear" w:pos="4320"/>
                <w:tab w:val="clear" w:pos="8640"/>
              </w:tabs>
              <w:jc w:val="both"/>
              <w:rPr/>
            </w:pPr>
            <w:r>
              <w:rPr/>
              <w:t>12/31/00</w:t>
            </w:r>
          </w:p>
        </w:tc>
      </w:tr>
      <w:tr>
        <w:trPr/>
        <w:tc>
          <w:tcPr>
            <w:tcW w:w="9270" w:type="dxa"/>
            <w:tcBorders/>
          </w:tcPr>
          <w:p>
            <w:pPr>
              <w:pStyle w:val="Header"/>
              <w:widowControl/>
              <w:tabs>
                <w:tab w:val="clear" w:pos="4320"/>
                <w:tab w:val="clear" w:pos="8640"/>
              </w:tabs>
              <w:rPr/>
            </w:pPr>
            <w:r>
              <w:rPr/>
              <w:t>Fund effectiveness assessment to determine if termination option should be exercised – quarterly commencing:</w:t>
            </w:r>
          </w:p>
        </w:tc>
        <w:tc>
          <w:tcPr>
            <w:tcW w:w="972" w:type="dxa"/>
            <w:tcBorders/>
          </w:tcPr>
          <w:p>
            <w:pPr>
              <w:pStyle w:val="Header"/>
              <w:widowControl/>
              <w:tabs>
                <w:tab w:val="clear" w:pos="4320"/>
                <w:tab w:val="clear" w:pos="8640"/>
              </w:tabs>
              <w:jc w:val="both"/>
              <w:rPr/>
            </w:pPr>
            <w:r>
              <w:rPr/>
              <w:t>12/31/00</w:t>
            </w:r>
          </w:p>
        </w:tc>
      </w:tr>
      <w:tr>
        <w:trPr/>
        <w:tc>
          <w:tcPr>
            <w:tcW w:w="9270" w:type="dxa"/>
            <w:tcBorders/>
          </w:tcPr>
          <w:p>
            <w:pPr>
              <w:pStyle w:val="Header"/>
              <w:widowControl/>
              <w:tabs>
                <w:tab w:val="clear" w:pos="4320"/>
                <w:tab w:val="clear" w:pos="8640"/>
              </w:tabs>
              <w:jc w:val="both"/>
              <w:rPr/>
            </w:pPr>
            <w:r>
              <w:rPr/>
              <w:t>Commencement of Termination for Convenience, if $10MM has not been invested</w:t>
            </w:r>
          </w:p>
        </w:tc>
        <w:tc>
          <w:tcPr>
            <w:tcW w:w="972" w:type="dxa"/>
            <w:tcBorders/>
          </w:tcPr>
          <w:p>
            <w:pPr>
              <w:pStyle w:val="Header"/>
              <w:widowControl/>
              <w:tabs>
                <w:tab w:val="clear" w:pos="4320"/>
                <w:tab w:val="clear" w:pos="8640"/>
              </w:tabs>
              <w:jc w:val="both"/>
              <w:rPr/>
            </w:pPr>
            <w:r>
              <w:rPr/>
              <w:t>10/01/01</w:t>
            </w:r>
          </w:p>
        </w:tc>
      </w:tr>
      <w:tr>
        <w:trPr/>
        <w:tc>
          <w:tcPr>
            <w:tcW w:w="9270" w:type="dxa"/>
            <w:tcBorders/>
          </w:tcPr>
          <w:p>
            <w:pPr>
              <w:pStyle w:val="Header"/>
              <w:widowControl/>
              <w:tabs>
                <w:tab w:val="clear" w:pos="4320"/>
                <w:tab w:val="clear" w:pos="8640"/>
              </w:tabs>
              <w:jc w:val="both"/>
              <w:rPr/>
            </w:pPr>
            <w:r>
              <w:rPr/>
              <w:t>End of investment period/beginning of liquidation period</w:t>
            </w:r>
          </w:p>
        </w:tc>
        <w:tc>
          <w:tcPr>
            <w:tcW w:w="972" w:type="dxa"/>
            <w:tcBorders/>
          </w:tcPr>
          <w:p>
            <w:pPr>
              <w:pStyle w:val="Header"/>
              <w:widowControl/>
              <w:tabs>
                <w:tab w:val="clear" w:pos="4320"/>
                <w:tab w:val="clear" w:pos="8640"/>
              </w:tabs>
              <w:jc w:val="both"/>
              <w:rPr/>
            </w:pPr>
            <w:r>
              <w:rPr/>
              <w:t>10/01/05</w:t>
            </w:r>
          </w:p>
        </w:tc>
      </w:tr>
      <w:tr>
        <w:trPr/>
        <w:tc>
          <w:tcPr>
            <w:tcW w:w="9270" w:type="dxa"/>
            <w:tcBorders/>
          </w:tcPr>
          <w:p>
            <w:pPr>
              <w:pStyle w:val="Header"/>
              <w:widowControl/>
              <w:tabs>
                <w:tab w:val="clear" w:pos="4320"/>
                <w:tab w:val="clear" w:pos="8640"/>
              </w:tabs>
              <w:jc w:val="both"/>
              <w:rPr/>
            </w:pPr>
            <w:r>
              <w:rPr/>
              <w:t>Fund maturity</w:t>
            </w:r>
          </w:p>
        </w:tc>
        <w:tc>
          <w:tcPr>
            <w:tcW w:w="972" w:type="dxa"/>
            <w:tcBorders/>
          </w:tcPr>
          <w:p>
            <w:pPr>
              <w:pStyle w:val="Header"/>
              <w:widowControl/>
              <w:tabs>
                <w:tab w:val="clear" w:pos="4320"/>
                <w:tab w:val="clear" w:pos="8640"/>
              </w:tabs>
              <w:jc w:val="both"/>
              <w:rPr/>
            </w:pPr>
            <w:r>
              <w:rPr/>
              <w:t>09/30/10</w:t>
            </w:r>
          </w:p>
        </w:tc>
      </w:tr>
    </w:tbl>
    <w:p>
      <w:pPr>
        <w:pStyle w:val="Header"/>
        <w:widowControl/>
        <w:tabs>
          <w:tab w:val="clear" w:pos="4320"/>
          <w:tab w:val="clear" w:pos="8640"/>
          <w:tab w:val="right" w:pos="8118" w:leader="none"/>
          <w:tab w:val="right" w:pos="10440" w:leader="none"/>
        </w:tabs>
        <w:ind w:start="378" w:end="0"/>
        <w:rPr/>
      </w:pPr>
      <w:r>
        <w:rPr/>
        <w:tab/>
      </w:r>
      <w:r>
        <w:br w:type="page"/>
      </w:r>
    </w:p>
    <w:p>
      <w:pPr>
        <w:pStyle w:val="Heading2"/>
        <w:widowControl/>
        <w:pBdr>
          <w:top w:val="single" w:sz="8" w:space="1" w:color="000000"/>
        </w:pBdr>
        <w:ind w:hanging="0" w:start="0" w:end="-36"/>
        <w:jc w:val="both"/>
        <w:rPr>
          <w:i w:val="false"/>
          <w:i w:val="false"/>
        </w:rPr>
      </w:pPr>
      <w:r>
        <w:rPr>
          <w:i w:val="false"/>
        </w:rPr>
        <w:t xml:space="preserve">RISK MATRIX </w:t>
      </w:r>
    </w:p>
    <w:p>
      <w:pPr>
        <w:pStyle w:val="Normal"/>
        <w:rPr>
          <w:i/>
          <w:i/>
        </w:rPr>
      </w:pPr>
      <w:r>
        <w:rPr>
          <w:i/>
        </w:rPr>
      </w:r>
    </w:p>
    <w:tbl>
      <w:tblPr>
        <w:tblW w:w="9990" w:type="dxa"/>
        <w:jc w:val="start"/>
        <w:tblInd w:w="378" w:type="dxa"/>
        <w:tblLayout w:type="fixed"/>
        <w:tblCellMar>
          <w:top w:w="0" w:type="dxa"/>
          <w:start w:w="108" w:type="dxa"/>
          <w:bottom w:w="0" w:type="dxa"/>
          <w:end w:w="108" w:type="dxa"/>
        </w:tblCellMar>
      </w:tblPr>
      <w:tblGrid>
        <w:gridCol w:w="4950"/>
        <w:gridCol w:w="5040"/>
      </w:tblGrid>
      <w:tr>
        <w:trPr/>
        <w:tc>
          <w:tcPr>
            <w:tcW w:w="4950" w:type="dxa"/>
            <w:tcBorders>
              <w:top w:val="single" w:sz="6" w:space="0" w:color="000000"/>
              <w:start w:val="single" w:sz="6" w:space="0" w:color="000000"/>
              <w:bottom w:val="single" w:sz="6" w:space="0" w:color="000000"/>
              <w:end w:val="single" w:sz="6" w:space="0" w:color="000000"/>
            </w:tcBorders>
          </w:tcPr>
          <w:p>
            <w:pPr>
              <w:pStyle w:val="Normal"/>
              <w:keepNext w:val="true"/>
              <w:jc w:val="both"/>
              <w:rPr>
                <w:b/>
              </w:rPr>
            </w:pPr>
            <w:r>
              <w:rPr>
                <w:b/>
              </w:rPr>
              <w:t>DESCRIPTION</w:t>
            </w:r>
          </w:p>
        </w:tc>
        <w:tc>
          <w:tcPr>
            <w:tcW w:w="5040" w:type="dxa"/>
            <w:tcBorders>
              <w:top w:val="single" w:sz="6" w:space="0" w:color="000000"/>
              <w:start w:val="single" w:sz="6" w:space="0" w:color="000000"/>
              <w:bottom w:val="single" w:sz="6" w:space="0" w:color="000000"/>
              <w:end w:val="single" w:sz="6" w:space="0" w:color="000000"/>
            </w:tcBorders>
          </w:tcPr>
          <w:p>
            <w:pPr>
              <w:pStyle w:val="Normal"/>
              <w:keepNext w:val="true"/>
              <w:jc w:val="both"/>
              <w:rPr>
                <w:b/>
              </w:rPr>
            </w:pPr>
            <w:r>
              <w:rPr>
                <w:b/>
              </w:rPr>
              <w:t>MITIGATION/COMMENTS</w:t>
            </w:r>
          </w:p>
        </w:tc>
      </w:tr>
      <w:tr>
        <w:trPr/>
        <w:tc>
          <w:tcPr>
            <w:tcW w:w="4950" w:type="dxa"/>
            <w:tcBorders>
              <w:top w:val="single" w:sz="6" w:space="0" w:color="000000"/>
              <w:start w:val="single" w:sz="6" w:space="0" w:color="000000"/>
              <w:bottom w:val="single" w:sz="6" w:space="0" w:color="000000"/>
              <w:end w:val="single" w:sz="6" w:space="0" w:color="000000"/>
            </w:tcBorders>
          </w:tcPr>
          <w:p>
            <w:pPr>
              <w:pStyle w:val="Heading1"/>
              <w:ind w:hanging="0" w:start="0"/>
              <w:jc w:val="both"/>
              <w:rPr/>
            </w:pPr>
            <w:r>
              <w:rPr/>
              <w:t>Return Risks – Fund Performance</w:t>
            </w:r>
          </w:p>
          <w:p>
            <w:pPr>
              <w:pStyle w:val="Normal"/>
              <w:numPr>
                <w:ilvl w:val="0"/>
                <w:numId w:val="4"/>
              </w:numPr>
              <w:jc w:val="both"/>
              <w:rPr/>
            </w:pPr>
            <w:r>
              <w:rPr/>
              <w:t>Targeted investments are unknown but expected to be characterized by high operating and financial leverage and therefore will be subject to higher risks.</w:t>
            </w:r>
          </w:p>
          <w:p>
            <w:pPr>
              <w:pStyle w:val="Normal"/>
              <w:numPr>
                <w:ilvl w:val="0"/>
                <w:numId w:val="6"/>
              </w:numPr>
              <w:rPr/>
            </w:pPr>
            <w:r>
              <w:rPr/>
              <w:t>AIG does not have proven track record on investments in similar industries, as this Fund is its first entry into the targeted sectors.</w:t>
            </w:r>
          </w:p>
          <w:p>
            <w:pPr>
              <w:pStyle w:val="Heading1"/>
              <w:numPr>
                <w:ilvl w:val="0"/>
                <w:numId w:val="14"/>
              </w:numPr>
              <w:tabs>
                <w:tab w:val="clear" w:pos="720"/>
                <w:tab w:val="left" w:pos="405" w:leader="none"/>
              </w:tabs>
              <w:ind w:hanging="360" w:start="405" w:end="0"/>
              <w:jc w:val="both"/>
              <w:rPr>
                <w:b w:val="false"/>
              </w:rPr>
            </w:pPr>
            <w:r>
              <w:rPr>
                <w:b w:val="false"/>
              </w:rPr>
              <w:t>The GP has broad discretion in managing the Fund, including total discretion to select portfolio companies to invest in for the Fund.  As a LP, ENE will have very little, if any, influence over the GP’s actions.  While not atypical for this type of transaction, ENE’s level of influence over this investment will be much lower than it typically has in other deals.</w:t>
            </w:r>
          </w:p>
          <w:p>
            <w:pPr>
              <w:pStyle w:val="Normal"/>
              <w:numPr>
                <w:ilvl w:val="0"/>
                <w:numId w:val="7"/>
              </w:numPr>
              <w:rPr/>
            </w:pPr>
            <w:r>
              <w:rPr/>
              <w:t>The GP’s fiduciary obligation to the LPs has been negotiated and weakened, while still acceptable.  The GP’s standard of conduct is lower than what ENE has been able to obtain in other deals.</w:t>
            </w:r>
          </w:p>
          <w:p>
            <w:pPr>
              <w:pStyle w:val="Normal"/>
              <w:rPr/>
            </w:pPr>
            <w:r>
              <w:rPr/>
            </w:r>
          </w:p>
        </w:tc>
        <w:tc>
          <w:tcPr>
            <w:tcW w:w="5040"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snapToGrid w:val="false"/>
              <w:jc w:val="both"/>
              <w:rPr/>
            </w:pPr>
            <w:r>
              <w:rPr/>
            </w:r>
          </w:p>
          <w:p>
            <w:pPr>
              <w:pStyle w:val="Normal"/>
              <w:numPr>
                <w:ilvl w:val="0"/>
                <w:numId w:val="19"/>
              </w:numPr>
              <w:jc w:val="both"/>
              <w:rPr/>
            </w:pPr>
            <w:r>
              <w:rPr/>
              <w:t>The 2% annual management fee is deemed market competitive to provide adequate employment incentive.</w:t>
            </w:r>
          </w:p>
          <w:p>
            <w:pPr>
              <w:pStyle w:val="Normal"/>
              <w:numPr>
                <w:ilvl w:val="0"/>
                <w:numId w:val="19"/>
              </w:numPr>
              <w:jc w:val="both"/>
              <w:rPr/>
            </w:pPr>
            <w:r>
              <w:rPr/>
              <w:t>AIG has a good track record in investment in other industries.</w:t>
            </w:r>
          </w:p>
          <w:p>
            <w:pPr>
              <w:pStyle w:val="Normal"/>
              <w:numPr>
                <w:ilvl w:val="0"/>
                <w:numId w:val="19"/>
              </w:numPr>
              <w:jc w:val="both"/>
              <w:rPr/>
            </w:pPr>
            <w:r>
              <w:rPr/>
              <w:t>If the identified key management members leave the Fund, the LPs will have the option to terminate any unutilized fund commitment and cause an orderly liquidation of the Fund.</w:t>
            </w:r>
          </w:p>
          <w:p>
            <w:pPr>
              <w:pStyle w:val="Header"/>
              <w:widowControl/>
              <w:numPr>
                <w:ilvl w:val="0"/>
                <w:numId w:val="20"/>
              </w:numPr>
              <w:tabs>
                <w:tab w:val="clear" w:pos="4320"/>
                <w:tab w:val="clear" w:pos="8640"/>
              </w:tabs>
              <w:jc w:val="both"/>
              <w:rPr/>
            </w:pPr>
            <w:r>
              <w:rPr/>
              <w:t>AIG’s commitment to the Fund performance is evidenced by its capital contribution of $100 MM into the Fund</w:t>
            </w:r>
          </w:p>
          <w:p>
            <w:pPr>
              <w:pStyle w:val="Normal"/>
              <w:numPr>
                <w:ilvl w:val="0"/>
                <w:numId w:val="13"/>
              </w:numPr>
              <w:jc w:val="both"/>
              <w:rPr/>
            </w:pPr>
            <w:r>
              <w:rPr/>
              <w:t>As the energy strategic advisor to the Fund, ENA will be able to assert some control over the Fund Manager’s decision making process in the energy investment, which may make up to 67% of the total investments.</w:t>
            </w:r>
          </w:p>
        </w:tc>
      </w:tr>
      <w:tr>
        <w:trPr/>
        <w:tc>
          <w:tcPr>
            <w:tcW w:w="4950" w:type="dxa"/>
            <w:tcBorders>
              <w:top w:val="single" w:sz="6" w:space="0" w:color="000000"/>
              <w:start w:val="single" w:sz="6" w:space="0" w:color="000000"/>
              <w:bottom w:val="single" w:sz="6" w:space="0" w:color="000000"/>
              <w:end w:val="single" w:sz="6" w:space="0" w:color="000000"/>
            </w:tcBorders>
          </w:tcPr>
          <w:p>
            <w:pPr>
              <w:pStyle w:val="Heading1"/>
              <w:ind w:hanging="0" w:start="0"/>
              <w:jc w:val="both"/>
              <w:rPr/>
            </w:pPr>
            <w:r>
              <w:rPr/>
              <w:t>Return Risk – Upsell Opportunities</w:t>
            </w:r>
          </w:p>
          <w:p>
            <w:pPr>
              <w:pStyle w:val="Normal"/>
              <w:numPr>
                <w:ilvl w:val="0"/>
                <w:numId w:val="11"/>
              </w:numPr>
              <w:rPr/>
            </w:pPr>
            <w:r>
              <w:rPr/>
              <w:t>Product/services upsell opportunities will be allocated by the Fund Manager at its sole discretion.  Based on the current draft of the side-letter agreement, the opportunities are open to all LPs, not exclusively to ENA/EECC.</w:t>
            </w:r>
          </w:p>
        </w:tc>
        <w:tc>
          <w:tcPr>
            <w:tcW w:w="5040"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snapToGrid w:val="false"/>
              <w:jc w:val="both"/>
              <w:rPr/>
            </w:pPr>
            <w:r>
              <w:rPr/>
            </w:r>
          </w:p>
          <w:p>
            <w:pPr>
              <w:pStyle w:val="Header"/>
              <w:widowControl/>
              <w:numPr>
                <w:ilvl w:val="0"/>
                <w:numId w:val="10"/>
              </w:numPr>
              <w:tabs>
                <w:tab w:val="clear" w:pos="4320"/>
                <w:tab w:val="clear" w:pos="8640"/>
              </w:tabs>
              <w:jc w:val="both"/>
              <w:rPr/>
            </w:pPr>
            <w:r>
              <w:rPr/>
              <w:t>ENA is negotiating with AIG for an exclusive right on the targeted upsell opportunities.</w:t>
            </w:r>
          </w:p>
          <w:p>
            <w:pPr>
              <w:pStyle w:val="Header"/>
              <w:widowControl/>
              <w:numPr>
                <w:ilvl w:val="0"/>
                <w:numId w:val="10"/>
              </w:numPr>
              <w:tabs>
                <w:tab w:val="clear" w:pos="4320"/>
                <w:tab w:val="clear" w:pos="8640"/>
              </w:tabs>
              <w:jc w:val="both"/>
              <w:rPr/>
            </w:pPr>
            <w:r>
              <w:rPr/>
              <w:t>ENA and EECC will have designated origination personnel to actively monitor and pursue the upsell business opportunities in the Fund.</w:t>
            </w:r>
          </w:p>
          <w:p>
            <w:pPr>
              <w:pStyle w:val="Header"/>
              <w:widowControl/>
              <w:numPr>
                <w:ilvl w:val="0"/>
                <w:numId w:val="10"/>
              </w:numPr>
              <w:tabs>
                <w:tab w:val="clear" w:pos="4320"/>
                <w:tab w:val="clear" w:pos="8640"/>
              </w:tabs>
              <w:jc w:val="both"/>
              <w:rPr/>
            </w:pPr>
            <w:r>
              <w:rPr/>
              <w:t>If the Fund proves to be ineffective for ENA/EECC to achieve the expected strategic objectives, ENE has the option to terminate its participation at the earlier of 12 months post closing or $10 MM funding in aggregate, thus limiting the overall exposure.</w:t>
            </w:r>
          </w:p>
        </w:tc>
      </w:tr>
      <w:tr>
        <w:trPr/>
        <w:tc>
          <w:tcPr>
            <w:tcW w:w="4950" w:type="dxa"/>
            <w:tcBorders>
              <w:top w:val="single" w:sz="6" w:space="0" w:color="000000"/>
              <w:start w:val="single" w:sz="6" w:space="0" w:color="000000"/>
              <w:bottom w:val="single" w:sz="6" w:space="0" w:color="000000"/>
              <w:end w:val="single" w:sz="6" w:space="0" w:color="000000"/>
            </w:tcBorders>
          </w:tcPr>
          <w:p>
            <w:pPr>
              <w:pStyle w:val="Heading1"/>
              <w:ind w:hanging="0" w:start="0"/>
              <w:jc w:val="both"/>
              <w:rPr/>
            </w:pPr>
            <w:r>
              <w:rPr/>
              <w:t>Liquidity Risk</w:t>
            </w:r>
          </w:p>
          <w:p>
            <w:pPr>
              <w:pStyle w:val="Heading1"/>
              <w:numPr>
                <w:ilvl w:val="0"/>
                <w:numId w:val="8"/>
              </w:numPr>
              <w:jc w:val="both"/>
              <w:rPr>
                <w:b w:val="false"/>
              </w:rPr>
            </w:pPr>
            <w:r>
              <w:rPr>
                <w:b w:val="false"/>
              </w:rPr>
              <w:t>The Fund has a 5-year investment period and a liquidation period of 5 years.  Liquidity and the liquidation value of the underlying assets will be a function of the market conditions.</w:t>
            </w:r>
          </w:p>
          <w:p>
            <w:pPr>
              <w:pStyle w:val="Normal"/>
              <w:numPr>
                <w:ilvl w:val="0"/>
                <w:numId w:val="18"/>
              </w:numPr>
              <w:rPr/>
            </w:pPr>
            <w:r>
              <w:rPr/>
              <w:t>ENE’s potential liquidity of the investment, other than the Termination for Convenience, and the 12-month/$10MM termination right, will be restricted.</w:t>
            </w:r>
          </w:p>
        </w:tc>
        <w:tc>
          <w:tcPr>
            <w:tcW w:w="5040" w:type="dxa"/>
            <w:tcBorders>
              <w:top w:val="single" w:sz="6" w:space="0" w:color="000000"/>
              <w:start w:val="single" w:sz="6" w:space="0" w:color="000000"/>
              <w:bottom w:val="single" w:sz="6" w:space="0" w:color="000000"/>
              <w:end w:val="single" w:sz="6" w:space="0" w:color="000000"/>
            </w:tcBorders>
          </w:tcPr>
          <w:p>
            <w:pPr>
              <w:pStyle w:val="Header"/>
              <w:widowControl/>
              <w:tabs>
                <w:tab w:val="clear" w:pos="4320"/>
                <w:tab w:val="clear" w:pos="8640"/>
              </w:tabs>
              <w:snapToGrid w:val="false"/>
              <w:jc w:val="both"/>
              <w:rPr/>
            </w:pPr>
            <w:r>
              <w:rPr/>
            </w:r>
          </w:p>
          <w:p>
            <w:pPr>
              <w:pStyle w:val="Header"/>
              <w:widowControl/>
              <w:numPr>
                <w:ilvl w:val="0"/>
                <w:numId w:val="17"/>
              </w:numPr>
              <w:tabs>
                <w:tab w:val="clear" w:pos="4320"/>
                <w:tab w:val="clear" w:pos="8640"/>
              </w:tabs>
              <w:jc w:val="both"/>
              <w:rPr/>
            </w:pPr>
            <w:r>
              <w:rPr/>
              <w:t xml:space="preserve">ENA plans to present three transaction proposals to the Fund Manager soon after closing. ENA should be able to estimate the Fund’s effectiveness as an expected syndication vehicle based on the decision-making process on these three proposals.  </w:t>
            </w:r>
          </w:p>
          <w:p>
            <w:pPr>
              <w:pStyle w:val="Header"/>
              <w:widowControl/>
              <w:numPr>
                <w:ilvl w:val="0"/>
                <w:numId w:val="17"/>
              </w:numPr>
              <w:tabs>
                <w:tab w:val="clear" w:pos="4320"/>
                <w:tab w:val="clear" w:pos="8640"/>
              </w:tabs>
              <w:jc w:val="both"/>
              <w:rPr/>
            </w:pPr>
            <w:r>
              <w:rPr/>
              <w:t xml:space="preserve">ENA will have a designated personnel to monitor the Fund’s operation and fully expects to be able to conclude on the Fund’s effectiveness to fulfill its strategic objectives within 12 months, thus limits its capital exposure to a maximum of $10 MM. </w:t>
            </w:r>
          </w:p>
        </w:tc>
      </w:tr>
    </w:tbl>
    <w:p>
      <w:pPr>
        <w:pStyle w:val="Normal"/>
        <w:jc w:val="both"/>
        <w:rPr/>
      </w:pPr>
      <w:r>
        <w:rPr/>
      </w:r>
    </w:p>
    <w:p>
      <w:pPr>
        <w:pStyle w:val="Heading1"/>
        <w:pBdr>
          <w:top w:val="single" w:sz="8" w:space="1" w:color="000000"/>
        </w:pBdr>
        <w:ind w:hanging="0" w:start="0"/>
        <w:jc w:val="both"/>
        <w:rPr/>
      </w:pPr>
      <w:r>
        <w:rPr/>
        <w:t>KEY SUCCESS FACTORS</w:t>
      </w:r>
    </w:p>
    <w:p>
      <w:pPr>
        <w:pStyle w:val="Normal"/>
        <w:jc w:val="both"/>
        <w:rPr/>
      </w:pPr>
      <w:r>
        <w:rPr/>
      </w:r>
    </w:p>
    <w:tbl>
      <w:tblPr>
        <w:tblW w:w="9990" w:type="dxa"/>
        <w:jc w:val="start"/>
        <w:tblInd w:w="378" w:type="dxa"/>
        <w:tblLayout w:type="fixed"/>
        <w:tblCellMar>
          <w:top w:w="0" w:type="dxa"/>
          <w:start w:w="108" w:type="dxa"/>
          <w:bottom w:w="0" w:type="dxa"/>
          <w:end w:w="108" w:type="dxa"/>
        </w:tblCellMar>
      </w:tblPr>
      <w:tblGrid>
        <w:gridCol w:w="3960"/>
        <w:gridCol w:w="810"/>
        <w:gridCol w:w="2790"/>
        <w:gridCol w:w="2430"/>
      </w:tblGrid>
      <w:tr>
        <w:trPr/>
        <w:tc>
          <w:tcPr>
            <w:tcW w:w="396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810" w:type="dxa"/>
            <w:tcBorders>
              <w:top w:val="single" w:sz="4" w:space="0" w:color="000000"/>
              <w:start w:val="single" w:sz="4" w:space="0" w:color="000000"/>
              <w:bottom w:val="single" w:sz="4" w:space="0" w:color="000000"/>
              <w:end w:val="single" w:sz="4" w:space="0" w:color="000000"/>
            </w:tcBorders>
          </w:tcPr>
          <w:p>
            <w:pPr>
              <w:pStyle w:val="Normal"/>
              <w:jc w:val="both"/>
              <w:rPr>
                <w:b/>
              </w:rPr>
            </w:pPr>
            <w:r>
              <w:rPr>
                <w:b/>
              </w:rPr>
              <w:t>NA</w:t>
            </w:r>
          </w:p>
        </w:tc>
        <w:tc>
          <w:tcPr>
            <w:tcW w:w="2790" w:type="dxa"/>
            <w:tcBorders>
              <w:top w:val="single" w:sz="4" w:space="0" w:color="000000"/>
              <w:start w:val="single" w:sz="4" w:space="0" w:color="000000"/>
              <w:bottom w:val="single" w:sz="4" w:space="0" w:color="000000"/>
            </w:tcBorders>
          </w:tcPr>
          <w:p>
            <w:pPr>
              <w:pStyle w:val="Heading1"/>
              <w:ind w:hanging="0" w:start="0"/>
              <w:jc w:val="both"/>
              <w:rPr/>
            </w:pPr>
            <w:r>
              <w:rPr/>
              <w:t>Poor</w:t>
            </w:r>
          </w:p>
        </w:tc>
        <w:tc>
          <w:tcPr>
            <w:tcW w:w="2430" w:type="dxa"/>
            <w:tcBorders>
              <w:top w:val="single" w:sz="4" w:space="0" w:color="000000"/>
              <w:bottom w:val="single" w:sz="4" w:space="0" w:color="000000"/>
              <w:end w:val="single" w:sz="4" w:space="0" w:color="000000"/>
            </w:tcBorders>
          </w:tcPr>
          <w:p>
            <w:pPr>
              <w:pStyle w:val="Heading5"/>
              <w:ind w:hanging="0" w:start="0"/>
              <w:jc w:val="both"/>
              <w:rPr/>
            </w:pPr>
            <w:r>
              <w:rPr/>
              <w:t>Excellent</w:t>
            </w:r>
          </w:p>
        </w:tc>
      </w:tr>
      <w:tr>
        <w:trPr/>
        <w:tc>
          <w:tcPr>
            <w:tcW w:w="396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jc w:val="both"/>
              <w:rPr/>
            </w:pPr>
            <w:r>
              <w:rPr/>
              <w:t>Core Business</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2790" w:type="dxa"/>
            <w:tcBorders>
              <w:top w:val="single" w:sz="4" w:space="0" w:color="000000"/>
              <w:start w:val="single" w:sz="4" w:space="0" w:color="000000"/>
              <w:bottom w:val="single" w:sz="4" w:space="0" w:color="000000"/>
            </w:tcBorders>
          </w:tcPr>
          <w:p>
            <w:pPr>
              <w:pStyle w:val="Normal"/>
              <w:snapToGrid w:val="false"/>
              <w:jc w:val="both"/>
              <w:rPr/>
            </w:pPr>
            <w:r>
              <w:rPr/>
            </w:r>
          </w:p>
        </w:tc>
        <w:tc>
          <w:tcPr>
            <w:tcW w:w="2430" w:type="dxa"/>
            <w:tcBorders>
              <w:bottom w:val="single" w:sz="4" w:space="0" w:color="000000"/>
              <w:end w:val="single" w:sz="4" w:space="0" w:color="000000"/>
            </w:tcBorders>
          </w:tcPr>
          <w:p>
            <w:pPr>
              <w:pStyle w:val="Normal"/>
              <w:jc w:val="both"/>
              <w:rPr/>
            </w:pPr>
            <w:r>
              <w:rPr/>
              <w:t xml:space="preserve"> </w:t>
            </w:r>
            <w:r>
              <w:rPr/>
              <w:t xml:space="preserve">X           </w:t>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jc w:val="both"/>
              <w:rPr/>
            </w:pPr>
            <w:r>
              <w:rPr/>
              <w:t>Strategic Fit</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2790" w:type="dxa"/>
            <w:tcBorders>
              <w:top w:val="single" w:sz="4" w:space="0" w:color="000000"/>
              <w:start w:val="single" w:sz="4" w:space="0" w:color="000000"/>
              <w:bottom w:val="single" w:sz="4" w:space="0" w:color="000000"/>
            </w:tcBorders>
          </w:tcPr>
          <w:p>
            <w:pPr>
              <w:pStyle w:val="Normal"/>
              <w:snapToGrid w:val="false"/>
              <w:jc w:val="both"/>
              <w:rPr/>
            </w:pPr>
            <w:r>
              <w:rPr/>
            </w:r>
          </w:p>
        </w:tc>
        <w:tc>
          <w:tcPr>
            <w:tcW w:w="2430" w:type="dxa"/>
            <w:tcBorders>
              <w:top w:val="single" w:sz="4" w:space="0" w:color="000000"/>
              <w:bottom w:val="single" w:sz="4" w:space="0" w:color="000000"/>
              <w:end w:val="single" w:sz="4" w:space="0" w:color="000000"/>
            </w:tcBorders>
          </w:tcPr>
          <w:p>
            <w:pPr>
              <w:pStyle w:val="Normal"/>
              <w:jc w:val="both"/>
              <w:rPr/>
            </w:pPr>
            <w:r>
              <w:rPr/>
              <w:t xml:space="preserve">            </w:t>
            </w:r>
            <w:r>
              <w:rPr/>
              <w:t xml:space="preserve">X         </w:t>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jc w:val="both"/>
              <w:rPr/>
            </w:pPr>
            <w:r>
              <w:rPr/>
              <w:t>Upside Potential</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2790" w:type="dxa"/>
            <w:tcBorders>
              <w:top w:val="single" w:sz="4" w:space="0" w:color="000000"/>
              <w:start w:val="single" w:sz="4" w:space="0" w:color="000000"/>
              <w:bottom w:val="single" w:sz="4" w:space="0" w:color="000000"/>
            </w:tcBorders>
          </w:tcPr>
          <w:p>
            <w:pPr>
              <w:pStyle w:val="Normal"/>
              <w:snapToGrid w:val="false"/>
              <w:jc w:val="both"/>
              <w:rPr/>
            </w:pPr>
            <w:r>
              <w:rPr/>
            </w:r>
          </w:p>
        </w:tc>
        <w:tc>
          <w:tcPr>
            <w:tcW w:w="2430" w:type="dxa"/>
            <w:tcBorders>
              <w:top w:val="single" w:sz="4" w:space="0" w:color="000000"/>
              <w:bottom w:val="single" w:sz="4" w:space="0" w:color="000000"/>
              <w:end w:val="single" w:sz="4" w:space="0" w:color="000000"/>
            </w:tcBorders>
          </w:tcPr>
          <w:p>
            <w:pPr>
              <w:pStyle w:val="Normal"/>
              <w:jc w:val="both"/>
              <w:rPr/>
            </w:pPr>
            <w:r>
              <w:rPr/>
              <w:t xml:space="preserve">                    </w:t>
            </w:r>
            <w:r>
              <w:rPr/>
              <w:t>X</w:t>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jc w:val="both"/>
              <w:rPr/>
            </w:pPr>
            <w:r>
              <w:rPr/>
              <w:t>Management</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2790" w:type="dxa"/>
            <w:tcBorders>
              <w:top w:val="single" w:sz="4" w:space="0" w:color="000000"/>
              <w:start w:val="single" w:sz="4" w:space="0" w:color="000000"/>
              <w:bottom w:val="single" w:sz="4" w:space="0" w:color="000000"/>
            </w:tcBorders>
          </w:tcPr>
          <w:p>
            <w:pPr>
              <w:pStyle w:val="Normal"/>
              <w:snapToGrid w:val="false"/>
              <w:jc w:val="both"/>
              <w:rPr/>
            </w:pPr>
            <w:r>
              <w:rPr/>
            </w:r>
          </w:p>
        </w:tc>
        <w:tc>
          <w:tcPr>
            <w:tcW w:w="2430" w:type="dxa"/>
            <w:tcBorders>
              <w:top w:val="single" w:sz="4" w:space="0" w:color="000000"/>
              <w:bottom w:val="single" w:sz="4" w:space="0" w:color="000000"/>
              <w:end w:val="single" w:sz="4" w:space="0" w:color="000000"/>
            </w:tcBorders>
          </w:tcPr>
          <w:p>
            <w:pPr>
              <w:pStyle w:val="Normal"/>
              <w:jc w:val="both"/>
              <w:rPr/>
            </w:pPr>
            <w:r>
              <w:rPr/>
              <w:t xml:space="preserve">               </w:t>
            </w:r>
            <w:r>
              <w:rPr/>
              <w:t xml:space="preserve">X       </w:t>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jc w:val="both"/>
              <w:rPr/>
            </w:pPr>
            <w:r>
              <w:rPr/>
              <w:t>Risk Mitigation</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2790" w:type="dxa"/>
            <w:tcBorders>
              <w:top w:val="single" w:sz="4" w:space="0" w:color="000000"/>
              <w:start w:val="single" w:sz="4" w:space="0" w:color="000000"/>
              <w:bottom w:val="single" w:sz="4" w:space="0" w:color="000000"/>
            </w:tcBorders>
          </w:tcPr>
          <w:p>
            <w:pPr>
              <w:pStyle w:val="Normal"/>
              <w:rPr/>
            </w:pPr>
            <w:r>
              <w:rPr/>
              <w:t xml:space="preserve">                 </w:t>
            </w:r>
            <w:r>
              <w:rPr/>
              <w:t>X</w:t>
            </w:r>
          </w:p>
        </w:tc>
        <w:tc>
          <w:tcPr>
            <w:tcW w:w="2430" w:type="dxa"/>
            <w:tcBorders>
              <w:top w:val="single" w:sz="4" w:space="0" w:color="000000"/>
              <w:bottom w:val="single" w:sz="4" w:space="0" w:color="000000"/>
              <w:end w:val="single" w:sz="4" w:space="0" w:color="000000"/>
            </w:tcBorders>
          </w:tcPr>
          <w:p>
            <w:pPr>
              <w:pStyle w:val="Normal"/>
              <w:snapToGrid w:val="false"/>
              <w:jc w:val="both"/>
              <w:rPr/>
            </w:pPr>
            <w:r>
              <w:rPr/>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jc w:val="both"/>
              <w:rPr/>
            </w:pPr>
            <w:r>
              <w:rPr/>
              <w:t>Liquidity</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pPr>
            <w:r>
              <w:rPr/>
            </w:r>
          </w:p>
        </w:tc>
        <w:tc>
          <w:tcPr>
            <w:tcW w:w="2790" w:type="dxa"/>
            <w:tcBorders>
              <w:top w:val="single" w:sz="4" w:space="0" w:color="000000"/>
              <w:start w:val="single" w:sz="4" w:space="0" w:color="000000"/>
              <w:bottom w:val="single" w:sz="4" w:space="0" w:color="000000"/>
            </w:tcBorders>
          </w:tcPr>
          <w:p>
            <w:pPr>
              <w:pStyle w:val="Normal"/>
              <w:rPr/>
            </w:pPr>
            <w:r>
              <w:rPr/>
              <w:t xml:space="preserve">              </w:t>
            </w:r>
            <w:r>
              <w:rPr/>
              <w:t>X</w:t>
            </w:r>
          </w:p>
        </w:tc>
        <w:tc>
          <w:tcPr>
            <w:tcW w:w="2430" w:type="dxa"/>
            <w:tcBorders>
              <w:top w:val="single" w:sz="4" w:space="0" w:color="000000"/>
              <w:bottom w:val="single" w:sz="4" w:space="0" w:color="000000"/>
              <w:end w:val="single" w:sz="4" w:space="0" w:color="000000"/>
            </w:tcBorders>
          </w:tcPr>
          <w:p>
            <w:pPr>
              <w:pStyle w:val="Normal"/>
              <w:snapToGrid w:val="false"/>
              <w:jc w:val="both"/>
              <w:rPr/>
            </w:pPr>
            <w:r>
              <w:rPr/>
            </w:r>
          </w:p>
        </w:tc>
      </w:tr>
    </w:tbl>
    <w:p>
      <w:pPr>
        <w:pStyle w:val="Header"/>
        <w:widowControl/>
        <w:tabs>
          <w:tab w:val="clear" w:pos="4320"/>
          <w:tab w:val="clear" w:pos="8640"/>
        </w:tabs>
        <w:jc w:val="both"/>
        <w:rPr>
          <w:b/>
        </w:rPr>
      </w:pPr>
      <w:r>
        <w:rPr>
          <w:b/>
        </w:rPr>
      </w:r>
      <w:r>
        <w:br w:type="page"/>
      </w:r>
    </w:p>
    <w:p>
      <w:pPr>
        <w:pStyle w:val="Header"/>
        <w:widowControl/>
        <w:pBdr>
          <w:top w:val="single" w:sz="4" w:space="0" w:color="000000"/>
        </w:pBdr>
        <w:tabs>
          <w:tab w:val="clear" w:pos="4320"/>
          <w:tab w:val="clear" w:pos="8640"/>
        </w:tabs>
        <w:jc w:val="both"/>
        <w:rPr>
          <w:b/>
        </w:rPr>
      </w:pPr>
      <w:r>
        <w:rPr>
          <w:b/>
        </w:rPr>
        <w:t xml:space="preserve">OTHER RAC COMMENTS: </w:t>
      </w:r>
    </w:p>
    <w:p>
      <w:pPr>
        <w:pStyle w:val="Header"/>
        <w:widowControl/>
        <w:numPr>
          <w:ilvl w:val="0"/>
          <w:numId w:val="2"/>
        </w:numPr>
        <w:pBdr>
          <w:top w:val="single" w:sz="4" w:space="0" w:color="000000"/>
        </w:pBdr>
        <w:tabs>
          <w:tab w:val="clear" w:pos="4320"/>
          <w:tab w:val="clear" w:pos="8640"/>
        </w:tabs>
        <w:jc w:val="both"/>
        <w:rPr/>
      </w:pPr>
      <w:r>
        <w:rPr/>
        <w:t>This transaction proposes a relatively illiquid equity investment in a blind pool of highly levered investments.  Because the Fund presents opportunities for ENE to sell the investment companies ENA’s and EECC’s services, significant ancillary business may occur as a result of this investment.  In addition, ENE may be able to use the Fund as a syndication vehicle for ENE serviced transactions.</w:t>
      </w:r>
    </w:p>
    <w:p>
      <w:pPr>
        <w:pStyle w:val="Header"/>
        <w:widowControl/>
        <w:numPr>
          <w:ilvl w:val="0"/>
          <w:numId w:val="2"/>
        </w:numPr>
        <w:pBdr>
          <w:top w:val="single" w:sz="4" w:space="0" w:color="000000"/>
        </w:pBdr>
        <w:tabs>
          <w:tab w:val="clear" w:pos="4320"/>
          <w:tab w:val="clear" w:pos="8640"/>
        </w:tabs>
        <w:jc w:val="both"/>
        <w:rPr/>
      </w:pPr>
      <w:r>
        <w:rPr/>
        <w:t>If these ancillary business opportunities do not eventuate within ENA/EECC’s aggregate investment of $10 MM to the Fund or the lapse of one year’s time from closing, in the absence of strong investment performance to date, RAC strongly recommends that ENA/EECC exercise their termination rights with respect to their obligations to fund any and all future capital commitments to the Fund.</w:t>
      </w:r>
    </w:p>
    <w:p>
      <w:pPr>
        <w:pStyle w:val="Header"/>
        <w:widowControl/>
        <w:pBdr>
          <w:top w:val="single" w:sz="4" w:space="0" w:color="000000"/>
        </w:pBdr>
        <w:tabs>
          <w:tab w:val="clear" w:pos="4320"/>
          <w:tab w:val="clear" w:pos="8640"/>
        </w:tabs>
        <w:jc w:val="both"/>
        <w:rPr/>
      </w:pPr>
      <w:r>
        <w:rPr/>
      </w:r>
    </w:p>
    <w:tbl>
      <w:tblPr>
        <w:tblW w:w="10368" w:type="dxa"/>
        <w:jc w:val="start"/>
        <w:tblInd w:w="0" w:type="dxa"/>
        <w:tblLayout w:type="fixed"/>
        <w:tblCellMar>
          <w:top w:w="0" w:type="dxa"/>
          <w:start w:w="108" w:type="dxa"/>
          <w:bottom w:w="0" w:type="dxa"/>
          <w:end w:w="108" w:type="dxa"/>
        </w:tblCellMar>
      </w:tblPr>
      <w:tblGrid>
        <w:gridCol w:w="2448"/>
        <w:gridCol w:w="360"/>
        <w:gridCol w:w="2932"/>
        <w:gridCol w:w="354"/>
        <w:gridCol w:w="2924"/>
        <w:gridCol w:w="293"/>
        <w:gridCol w:w="1057"/>
      </w:tblGrid>
      <w:tr>
        <w:trPr>
          <w:trHeight w:val="405" w:hRule="atLeast"/>
        </w:trPr>
        <w:tc>
          <w:tcPr>
            <w:tcW w:w="2448" w:type="dxa"/>
            <w:tcBorders>
              <w:top w:val="single" w:sz="4" w:space="0" w:color="000000"/>
            </w:tcBorders>
            <w:vAlign w:val="bottom"/>
          </w:tcPr>
          <w:p>
            <w:pPr>
              <w:pStyle w:val="Heading1"/>
              <w:ind w:hanging="0" w:start="0"/>
              <w:jc w:val="both"/>
              <w:rPr>
                <w:i/>
                <w:i/>
              </w:rPr>
            </w:pPr>
            <w:r>
              <w:rPr/>
              <w:t xml:space="preserve"> </w:t>
            </w:r>
            <w:r>
              <w:rPr/>
              <w:t>APPROVALS</w:t>
            </w:r>
          </w:p>
        </w:tc>
        <w:tc>
          <w:tcPr>
            <w:tcW w:w="360" w:type="dxa"/>
            <w:tcBorders>
              <w:top w:val="single" w:sz="4" w:space="0" w:color="000000"/>
            </w:tcBorders>
            <w:vAlign w:val="bottom"/>
          </w:tcPr>
          <w:p>
            <w:pPr>
              <w:pStyle w:val="Normal"/>
              <w:keepNext w:val="true"/>
              <w:snapToGrid w:val="false"/>
              <w:jc w:val="both"/>
              <w:rPr>
                <w:b/>
                <w:i/>
                <w:i/>
              </w:rPr>
            </w:pPr>
            <w:r>
              <w:rPr>
                <w:b/>
                <w:i/>
              </w:rPr>
            </w:r>
          </w:p>
        </w:tc>
        <w:tc>
          <w:tcPr>
            <w:tcW w:w="2932" w:type="dxa"/>
            <w:tcBorders>
              <w:top w:val="single" w:sz="4" w:space="0" w:color="000000"/>
            </w:tcBorders>
            <w:vAlign w:val="bottom"/>
          </w:tcPr>
          <w:p>
            <w:pPr>
              <w:pStyle w:val="Normal"/>
              <w:keepNext w:val="true"/>
              <w:jc w:val="both"/>
              <w:rPr>
                <w:b/>
              </w:rPr>
            </w:pPr>
            <w:r>
              <w:rPr>
                <w:b/>
              </w:rPr>
              <w:t>Name</w:t>
            </w:r>
          </w:p>
        </w:tc>
        <w:tc>
          <w:tcPr>
            <w:tcW w:w="354" w:type="dxa"/>
            <w:tcBorders>
              <w:top w:val="single" w:sz="4" w:space="0" w:color="000000"/>
            </w:tcBorders>
            <w:vAlign w:val="bottom"/>
          </w:tcPr>
          <w:p>
            <w:pPr>
              <w:pStyle w:val="Normal"/>
              <w:keepNext w:val="true"/>
              <w:snapToGrid w:val="false"/>
              <w:jc w:val="both"/>
              <w:rPr>
                <w:b/>
              </w:rPr>
            </w:pPr>
            <w:r>
              <w:rPr>
                <w:b/>
              </w:rPr>
            </w:r>
          </w:p>
        </w:tc>
        <w:tc>
          <w:tcPr>
            <w:tcW w:w="2924" w:type="dxa"/>
            <w:tcBorders>
              <w:top w:val="single" w:sz="4" w:space="0" w:color="000000"/>
            </w:tcBorders>
            <w:vAlign w:val="bottom"/>
          </w:tcPr>
          <w:p>
            <w:pPr>
              <w:pStyle w:val="Normal"/>
              <w:keepNext w:val="true"/>
              <w:jc w:val="both"/>
              <w:rPr>
                <w:b/>
              </w:rPr>
            </w:pPr>
            <w:r>
              <w:rPr>
                <w:b/>
              </w:rPr>
              <w:t>Signature</w:t>
            </w:r>
          </w:p>
        </w:tc>
        <w:tc>
          <w:tcPr>
            <w:tcW w:w="293" w:type="dxa"/>
            <w:tcBorders>
              <w:top w:val="single" w:sz="4" w:space="0" w:color="000000"/>
            </w:tcBorders>
            <w:vAlign w:val="bottom"/>
          </w:tcPr>
          <w:p>
            <w:pPr>
              <w:pStyle w:val="Normal"/>
              <w:keepNext w:val="true"/>
              <w:snapToGrid w:val="false"/>
              <w:jc w:val="both"/>
              <w:rPr>
                <w:b/>
              </w:rPr>
            </w:pPr>
            <w:r>
              <w:rPr>
                <w:b/>
              </w:rPr>
            </w:r>
          </w:p>
        </w:tc>
        <w:tc>
          <w:tcPr>
            <w:tcW w:w="1057" w:type="dxa"/>
            <w:tcBorders>
              <w:top w:val="single" w:sz="4" w:space="0" w:color="000000"/>
            </w:tcBorders>
            <w:vAlign w:val="bottom"/>
          </w:tcPr>
          <w:p>
            <w:pPr>
              <w:pStyle w:val="Normal"/>
              <w:keepNext w:val="true"/>
              <w:jc w:val="both"/>
              <w:rPr>
                <w:b/>
              </w:rPr>
            </w:pPr>
            <w:r>
              <w:rPr>
                <w:b/>
              </w:rPr>
              <w:t>Date</w:t>
            </w:r>
          </w:p>
        </w:tc>
      </w:tr>
      <w:tr>
        <w:trPr>
          <w:trHeight w:val="297" w:hRule="atLeast"/>
        </w:trPr>
        <w:tc>
          <w:tcPr>
            <w:tcW w:w="2448" w:type="dxa"/>
            <w:tcBorders/>
          </w:tcPr>
          <w:p>
            <w:pPr>
              <w:pStyle w:val="Normal"/>
              <w:spacing w:before="120" w:after="0"/>
              <w:jc w:val="both"/>
              <w:rPr/>
            </w:pPr>
            <w:r>
              <w:rPr/>
              <w:t>Regional Mgmt.- ENA</w:t>
            </w:r>
          </w:p>
        </w:tc>
        <w:tc>
          <w:tcPr>
            <w:tcW w:w="360" w:type="dxa"/>
            <w:tcBorders/>
          </w:tcPr>
          <w:p>
            <w:pPr>
              <w:pStyle w:val="Normal"/>
              <w:snapToGrid w:val="false"/>
              <w:spacing w:before="120" w:after="0"/>
              <w:jc w:val="both"/>
              <w:rPr/>
            </w:pPr>
            <w:r>
              <w:rPr/>
            </w:r>
          </w:p>
        </w:tc>
        <w:tc>
          <w:tcPr>
            <w:tcW w:w="2932" w:type="dxa"/>
            <w:tcBorders>
              <w:bottom w:val="single" w:sz="6" w:space="0" w:color="000000"/>
            </w:tcBorders>
          </w:tcPr>
          <w:p>
            <w:pPr>
              <w:pStyle w:val="Normal"/>
              <w:spacing w:before="120" w:after="0"/>
              <w:jc w:val="both"/>
              <w:rPr/>
            </w:pPr>
            <w:r>
              <w:rPr/>
              <w:t>Mark Frevert/Dave Delainey</w:t>
            </w:r>
          </w:p>
        </w:tc>
        <w:tc>
          <w:tcPr>
            <w:tcW w:w="354" w:type="dxa"/>
            <w:tcBorders/>
          </w:tcPr>
          <w:p>
            <w:pPr>
              <w:pStyle w:val="Normal"/>
              <w:snapToGrid w:val="false"/>
              <w:spacing w:before="120" w:after="0"/>
              <w:jc w:val="both"/>
              <w:rPr/>
            </w:pPr>
            <w:r>
              <w:rPr/>
            </w:r>
          </w:p>
        </w:tc>
        <w:tc>
          <w:tcPr>
            <w:tcW w:w="2924" w:type="dxa"/>
            <w:tcBorders>
              <w:bottom w:val="single" w:sz="6" w:space="0" w:color="000000"/>
            </w:tcBorders>
          </w:tcPr>
          <w:p>
            <w:pPr>
              <w:pStyle w:val="Normal"/>
              <w:snapToGrid w:val="false"/>
              <w:spacing w:before="120" w:after="0"/>
              <w:jc w:val="both"/>
              <w:rPr/>
            </w:pPr>
            <w:r>
              <w:rPr/>
            </w:r>
          </w:p>
        </w:tc>
        <w:tc>
          <w:tcPr>
            <w:tcW w:w="293" w:type="dxa"/>
            <w:tcBorders/>
          </w:tcPr>
          <w:p>
            <w:pPr>
              <w:pStyle w:val="Normal"/>
              <w:snapToGrid w:val="false"/>
              <w:spacing w:before="120" w:after="0"/>
              <w:jc w:val="both"/>
              <w:rPr/>
            </w:pPr>
            <w:r>
              <w:rPr/>
            </w:r>
          </w:p>
        </w:tc>
        <w:tc>
          <w:tcPr>
            <w:tcW w:w="1057" w:type="dxa"/>
            <w:tcBorders>
              <w:bottom w:val="single" w:sz="6" w:space="0" w:color="000000"/>
            </w:tcBorders>
          </w:tcPr>
          <w:p>
            <w:pPr>
              <w:pStyle w:val="Normal"/>
              <w:snapToGrid w:val="false"/>
              <w:spacing w:before="120" w:after="0"/>
              <w:jc w:val="both"/>
              <w:rPr/>
            </w:pPr>
            <w:r>
              <w:rPr/>
            </w:r>
          </w:p>
        </w:tc>
      </w:tr>
      <w:tr>
        <w:trPr>
          <w:trHeight w:val="297" w:hRule="atLeast"/>
        </w:trPr>
        <w:tc>
          <w:tcPr>
            <w:tcW w:w="2448" w:type="dxa"/>
            <w:tcBorders/>
          </w:tcPr>
          <w:p>
            <w:pPr>
              <w:pStyle w:val="Normal"/>
              <w:spacing w:before="120" w:after="0"/>
              <w:jc w:val="both"/>
              <w:rPr/>
            </w:pPr>
            <w:r>
              <w:rPr/>
              <w:t>Regional Mgmt. – EECC</w:t>
            </w:r>
          </w:p>
        </w:tc>
        <w:tc>
          <w:tcPr>
            <w:tcW w:w="360" w:type="dxa"/>
            <w:tcBorders/>
          </w:tcPr>
          <w:p>
            <w:pPr>
              <w:pStyle w:val="Normal"/>
              <w:snapToGrid w:val="false"/>
              <w:spacing w:before="120" w:after="0"/>
              <w:jc w:val="both"/>
              <w:rPr/>
            </w:pPr>
            <w:r>
              <w:rPr/>
            </w:r>
          </w:p>
        </w:tc>
        <w:tc>
          <w:tcPr>
            <w:tcW w:w="2932" w:type="dxa"/>
            <w:tcBorders>
              <w:bottom w:val="single" w:sz="6" w:space="0" w:color="000000"/>
            </w:tcBorders>
          </w:tcPr>
          <w:p>
            <w:pPr>
              <w:pStyle w:val="Normal"/>
              <w:spacing w:before="120" w:after="0"/>
              <w:jc w:val="both"/>
              <w:rPr/>
            </w:pPr>
            <w:r>
              <w:rPr/>
              <w:t>Larry Izzo</w:t>
            </w:r>
          </w:p>
        </w:tc>
        <w:tc>
          <w:tcPr>
            <w:tcW w:w="354" w:type="dxa"/>
            <w:tcBorders/>
          </w:tcPr>
          <w:p>
            <w:pPr>
              <w:pStyle w:val="Normal"/>
              <w:snapToGrid w:val="false"/>
              <w:spacing w:before="120" w:after="0"/>
              <w:jc w:val="both"/>
              <w:rPr/>
            </w:pPr>
            <w:r>
              <w:rPr/>
            </w:r>
          </w:p>
        </w:tc>
        <w:tc>
          <w:tcPr>
            <w:tcW w:w="2924" w:type="dxa"/>
            <w:tcBorders>
              <w:bottom w:val="single" w:sz="6" w:space="0" w:color="000000"/>
            </w:tcBorders>
          </w:tcPr>
          <w:p>
            <w:pPr>
              <w:pStyle w:val="Normal"/>
              <w:snapToGrid w:val="false"/>
              <w:spacing w:before="120" w:after="0"/>
              <w:jc w:val="both"/>
              <w:rPr/>
            </w:pPr>
            <w:r>
              <w:rPr/>
            </w:r>
          </w:p>
        </w:tc>
        <w:tc>
          <w:tcPr>
            <w:tcW w:w="293" w:type="dxa"/>
            <w:tcBorders/>
          </w:tcPr>
          <w:p>
            <w:pPr>
              <w:pStyle w:val="Normal"/>
              <w:snapToGrid w:val="false"/>
              <w:spacing w:before="120" w:after="0"/>
              <w:jc w:val="both"/>
              <w:rPr/>
            </w:pPr>
            <w:r>
              <w:rPr/>
            </w:r>
          </w:p>
        </w:tc>
        <w:tc>
          <w:tcPr>
            <w:tcW w:w="1057" w:type="dxa"/>
            <w:tcBorders>
              <w:bottom w:val="single" w:sz="6" w:space="0" w:color="000000"/>
            </w:tcBorders>
          </w:tcPr>
          <w:p>
            <w:pPr>
              <w:pStyle w:val="Normal"/>
              <w:snapToGrid w:val="false"/>
              <w:spacing w:before="120" w:after="0"/>
              <w:jc w:val="both"/>
              <w:rPr/>
            </w:pPr>
            <w:r>
              <w:rPr/>
            </w:r>
          </w:p>
        </w:tc>
      </w:tr>
      <w:tr>
        <w:trPr/>
        <w:tc>
          <w:tcPr>
            <w:tcW w:w="2448" w:type="dxa"/>
            <w:tcBorders/>
          </w:tcPr>
          <w:p>
            <w:pPr>
              <w:pStyle w:val="Normal"/>
              <w:spacing w:before="120" w:after="0"/>
              <w:jc w:val="both"/>
              <w:rPr/>
            </w:pPr>
            <w:r>
              <w:rPr/>
              <w:t>Legal – ENA</w:t>
            </w:r>
          </w:p>
        </w:tc>
        <w:tc>
          <w:tcPr>
            <w:tcW w:w="360" w:type="dxa"/>
            <w:tcBorders/>
          </w:tcPr>
          <w:p>
            <w:pPr>
              <w:pStyle w:val="Normal"/>
              <w:snapToGrid w:val="false"/>
              <w:spacing w:before="120" w:after="0"/>
              <w:jc w:val="both"/>
              <w:rPr/>
            </w:pPr>
            <w:r>
              <w:rPr/>
            </w:r>
          </w:p>
        </w:tc>
        <w:tc>
          <w:tcPr>
            <w:tcW w:w="2932" w:type="dxa"/>
            <w:tcBorders>
              <w:top w:val="single" w:sz="6" w:space="0" w:color="000000"/>
              <w:bottom w:val="single" w:sz="6" w:space="0" w:color="000000"/>
            </w:tcBorders>
          </w:tcPr>
          <w:p>
            <w:pPr>
              <w:pStyle w:val="Normal"/>
              <w:spacing w:before="120" w:after="0"/>
              <w:jc w:val="both"/>
              <w:rPr/>
            </w:pPr>
            <w:r>
              <w:rPr/>
              <w:t>Mark Haedicke</w:t>
            </w:r>
          </w:p>
        </w:tc>
        <w:tc>
          <w:tcPr>
            <w:tcW w:w="354" w:type="dxa"/>
            <w:tcBorders/>
          </w:tcPr>
          <w:p>
            <w:pPr>
              <w:pStyle w:val="Normal"/>
              <w:snapToGrid w:val="false"/>
              <w:spacing w:before="120" w:after="0"/>
              <w:jc w:val="both"/>
              <w:rPr/>
            </w:pPr>
            <w:r>
              <w:rPr/>
            </w:r>
          </w:p>
        </w:tc>
        <w:tc>
          <w:tcPr>
            <w:tcW w:w="2924" w:type="dxa"/>
            <w:tcBorders>
              <w:top w:val="single" w:sz="6" w:space="0" w:color="000000"/>
              <w:bottom w:val="single" w:sz="6" w:space="0" w:color="000000"/>
            </w:tcBorders>
          </w:tcPr>
          <w:p>
            <w:pPr>
              <w:pStyle w:val="Normal"/>
              <w:snapToGrid w:val="false"/>
              <w:spacing w:before="120" w:after="0"/>
              <w:jc w:val="both"/>
              <w:rPr/>
            </w:pPr>
            <w:r>
              <w:rPr/>
            </w:r>
          </w:p>
        </w:tc>
        <w:tc>
          <w:tcPr>
            <w:tcW w:w="293" w:type="dxa"/>
            <w:tcBorders/>
          </w:tcPr>
          <w:p>
            <w:pPr>
              <w:pStyle w:val="Normal"/>
              <w:snapToGrid w:val="false"/>
              <w:spacing w:before="120" w:after="0"/>
              <w:jc w:val="both"/>
              <w:rPr/>
            </w:pPr>
            <w:r>
              <w:rPr/>
            </w:r>
          </w:p>
        </w:tc>
        <w:tc>
          <w:tcPr>
            <w:tcW w:w="1057" w:type="dxa"/>
            <w:tcBorders>
              <w:top w:val="single" w:sz="6" w:space="0" w:color="000000"/>
              <w:bottom w:val="single" w:sz="6" w:space="0" w:color="000000"/>
            </w:tcBorders>
          </w:tcPr>
          <w:p>
            <w:pPr>
              <w:pStyle w:val="Normal"/>
              <w:snapToGrid w:val="false"/>
              <w:spacing w:before="120" w:after="0"/>
              <w:jc w:val="both"/>
              <w:rPr/>
            </w:pPr>
            <w:r>
              <w:rPr/>
            </w:r>
          </w:p>
        </w:tc>
      </w:tr>
      <w:tr>
        <w:trPr/>
        <w:tc>
          <w:tcPr>
            <w:tcW w:w="2448" w:type="dxa"/>
            <w:tcBorders/>
          </w:tcPr>
          <w:p>
            <w:pPr>
              <w:pStyle w:val="Normal"/>
              <w:spacing w:before="120" w:after="0"/>
              <w:jc w:val="both"/>
              <w:rPr/>
            </w:pPr>
            <w:r>
              <w:rPr/>
              <w:t>Legal – EECC</w:t>
            </w:r>
          </w:p>
        </w:tc>
        <w:tc>
          <w:tcPr>
            <w:tcW w:w="360" w:type="dxa"/>
            <w:tcBorders/>
          </w:tcPr>
          <w:p>
            <w:pPr>
              <w:pStyle w:val="Normal"/>
              <w:snapToGrid w:val="false"/>
              <w:spacing w:before="120" w:after="0"/>
              <w:jc w:val="both"/>
              <w:rPr/>
            </w:pPr>
            <w:r>
              <w:rPr/>
            </w:r>
          </w:p>
        </w:tc>
        <w:tc>
          <w:tcPr>
            <w:tcW w:w="2932" w:type="dxa"/>
            <w:tcBorders>
              <w:top w:val="single" w:sz="6" w:space="0" w:color="000000"/>
              <w:bottom w:val="single" w:sz="6" w:space="0" w:color="000000"/>
            </w:tcBorders>
          </w:tcPr>
          <w:p>
            <w:pPr>
              <w:pStyle w:val="Normal"/>
              <w:spacing w:before="120" w:after="0"/>
              <w:rPr/>
            </w:pPr>
            <w:r>
              <w:rPr/>
              <w:t>John Schwartzenburg</w:t>
            </w:r>
          </w:p>
        </w:tc>
        <w:tc>
          <w:tcPr>
            <w:tcW w:w="354" w:type="dxa"/>
            <w:tcBorders/>
          </w:tcPr>
          <w:p>
            <w:pPr>
              <w:pStyle w:val="Normal"/>
              <w:snapToGrid w:val="false"/>
              <w:spacing w:before="120" w:after="0"/>
              <w:jc w:val="both"/>
              <w:rPr/>
            </w:pPr>
            <w:r>
              <w:rPr/>
            </w:r>
          </w:p>
        </w:tc>
        <w:tc>
          <w:tcPr>
            <w:tcW w:w="2924" w:type="dxa"/>
            <w:tcBorders>
              <w:top w:val="single" w:sz="6" w:space="0" w:color="000000"/>
              <w:bottom w:val="single" w:sz="6" w:space="0" w:color="000000"/>
            </w:tcBorders>
          </w:tcPr>
          <w:p>
            <w:pPr>
              <w:pStyle w:val="Normal"/>
              <w:snapToGrid w:val="false"/>
              <w:spacing w:before="120" w:after="0"/>
              <w:jc w:val="both"/>
              <w:rPr/>
            </w:pPr>
            <w:r>
              <w:rPr/>
            </w:r>
          </w:p>
        </w:tc>
        <w:tc>
          <w:tcPr>
            <w:tcW w:w="293" w:type="dxa"/>
            <w:tcBorders/>
          </w:tcPr>
          <w:p>
            <w:pPr>
              <w:pStyle w:val="Normal"/>
              <w:snapToGrid w:val="false"/>
              <w:spacing w:before="120" w:after="0"/>
              <w:jc w:val="both"/>
              <w:rPr/>
            </w:pPr>
            <w:r>
              <w:rPr/>
            </w:r>
          </w:p>
        </w:tc>
        <w:tc>
          <w:tcPr>
            <w:tcW w:w="1057" w:type="dxa"/>
            <w:tcBorders>
              <w:top w:val="single" w:sz="6" w:space="0" w:color="000000"/>
              <w:bottom w:val="single" w:sz="6" w:space="0" w:color="000000"/>
            </w:tcBorders>
          </w:tcPr>
          <w:p>
            <w:pPr>
              <w:pStyle w:val="Normal"/>
              <w:snapToGrid w:val="false"/>
              <w:spacing w:before="120" w:after="0"/>
              <w:jc w:val="both"/>
              <w:rPr/>
            </w:pPr>
            <w:r>
              <w:rPr/>
            </w:r>
          </w:p>
        </w:tc>
      </w:tr>
      <w:tr>
        <w:trPr/>
        <w:tc>
          <w:tcPr>
            <w:tcW w:w="2448" w:type="dxa"/>
            <w:tcBorders/>
          </w:tcPr>
          <w:p>
            <w:pPr>
              <w:pStyle w:val="Normal"/>
              <w:spacing w:before="120" w:after="0"/>
              <w:jc w:val="both"/>
              <w:rPr/>
            </w:pPr>
            <w:r>
              <w:rPr/>
              <w:t>RAC Management</w:t>
            </w:r>
          </w:p>
        </w:tc>
        <w:tc>
          <w:tcPr>
            <w:tcW w:w="360" w:type="dxa"/>
            <w:tcBorders/>
          </w:tcPr>
          <w:p>
            <w:pPr>
              <w:pStyle w:val="Normal"/>
              <w:snapToGrid w:val="false"/>
              <w:spacing w:before="120" w:after="0"/>
              <w:jc w:val="both"/>
              <w:rPr/>
            </w:pPr>
            <w:r>
              <w:rPr/>
            </w:r>
          </w:p>
        </w:tc>
        <w:tc>
          <w:tcPr>
            <w:tcW w:w="2932" w:type="dxa"/>
            <w:tcBorders>
              <w:top w:val="single" w:sz="6" w:space="0" w:color="000000"/>
            </w:tcBorders>
          </w:tcPr>
          <w:p>
            <w:pPr>
              <w:pStyle w:val="Normal"/>
              <w:spacing w:before="120" w:after="0"/>
              <w:jc w:val="both"/>
              <w:rPr/>
            </w:pPr>
            <w:r>
              <w:rPr/>
              <w:t>Rick Buy/Dave Gorte</w:t>
            </w:r>
          </w:p>
        </w:tc>
        <w:tc>
          <w:tcPr>
            <w:tcW w:w="354" w:type="dxa"/>
            <w:tcBorders/>
          </w:tcPr>
          <w:p>
            <w:pPr>
              <w:pStyle w:val="Normal"/>
              <w:snapToGrid w:val="false"/>
              <w:spacing w:before="120" w:after="0"/>
              <w:jc w:val="both"/>
              <w:rPr/>
            </w:pPr>
            <w:r>
              <w:rPr/>
            </w:r>
          </w:p>
        </w:tc>
        <w:tc>
          <w:tcPr>
            <w:tcW w:w="2924" w:type="dxa"/>
            <w:tcBorders>
              <w:top w:val="single" w:sz="6" w:space="0" w:color="000000"/>
            </w:tcBorders>
          </w:tcPr>
          <w:p>
            <w:pPr>
              <w:pStyle w:val="Normal"/>
              <w:snapToGrid w:val="false"/>
              <w:spacing w:before="120" w:after="0"/>
              <w:jc w:val="both"/>
              <w:rPr/>
            </w:pPr>
            <w:r>
              <w:rPr/>
            </w:r>
          </w:p>
        </w:tc>
        <w:tc>
          <w:tcPr>
            <w:tcW w:w="293" w:type="dxa"/>
            <w:tcBorders/>
          </w:tcPr>
          <w:p>
            <w:pPr>
              <w:pStyle w:val="Normal"/>
              <w:snapToGrid w:val="false"/>
              <w:spacing w:before="120" w:after="0"/>
              <w:jc w:val="both"/>
              <w:rPr/>
            </w:pPr>
            <w:r>
              <w:rPr/>
            </w:r>
          </w:p>
        </w:tc>
        <w:tc>
          <w:tcPr>
            <w:tcW w:w="1057" w:type="dxa"/>
            <w:tcBorders>
              <w:top w:val="single" w:sz="6" w:space="0" w:color="000000"/>
            </w:tcBorders>
          </w:tcPr>
          <w:p>
            <w:pPr>
              <w:pStyle w:val="Normal"/>
              <w:snapToGrid w:val="false"/>
              <w:spacing w:before="120" w:after="0"/>
              <w:jc w:val="both"/>
              <w:rPr/>
            </w:pPr>
            <w:r>
              <w:rPr/>
            </w:r>
          </w:p>
        </w:tc>
      </w:tr>
      <w:tr>
        <w:trPr/>
        <w:tc>
          <w:tcPr>
            <w:tcW w:w="2448" w:type="dxa"/>
            <w:tcBorders/>
          </w:tcPr>
          <w:p>
            <w:pPr>
              <w:pStyle w:val="Normal"/>
              <w:spacing w:before="120" w:after="0"/>
              <w:jc w:val="both"/>
              <w:rPr/>
            </w:pPr>
            <w:r>
              <w:rPr/>
              <w:t>Enron Capital Management</w:t>
            </w:r>
          </w:p>
        </w:tc>
        <w:tc>
          <w:tcPr>
            <w:tcW w:w="360" w:type="dxa"/>
            <w:tcBorders/>
          </w:tcPr>
          <w:p>
            <w:pPr>
              <w:pStyle w:val="Normal"/>
              <w:snapToGrid w:val="false"/>
              <w:spacing w:before="120" w:after="0"/>
              <w:jc w:val="both"/>
              <w:rPr/>
            </w:pPr>
            <w:r>
              <w:rPr/>
            </w:r>
          </w:p>
        </w:tc>
        <w:tc>
          <w:tcPr>
            <w:tcW w:w="2932" w:type="dxa"/>
            <w:tcBorders>
              <w:top w:val="single" w:sz="6" w:space="0" w:color="000000"/>
            </w:tcBorders>
          </w:tcPr>
          <w:p>
            <w:pPr>
              <w:pStyle w:val="Normal"/>
              <w:spacing w:before="120" w:after="0"/>
              <w:jc w:val="both"/>
              <w:rPr/>
            </w:pPr>
            <w:r>
              <w:rPr/>
              <w:t>Andy Fastow/Ben Glisan</w:t>
            </w:r>
          </w:p>
        </w:tc>
        <w:tc>
          <w:tcPr>
            <w:tcW w:w="354" w:type="dxa"/>
            <w:tcBorders/>
          </w:tcPr>
          <w:p>
            <w:pPr>
              <w:pStyle w:val="Normal"/>
              <w:snapToGrid w:val="false"/>
              <w:spacing w:before="120" w:after="0"/>
              <w:jc w:val="both"/>
              <w:rPr/>
            </w:pPr>
            <w:r>
              <w:rPr/>
            </w:r>
          </w:p>
        </w:tc>
        <w:tc>
          <w:tcPr>
            <w:tcW w:w="2924" w:type="dxa"/>
            <w:tcBorders>
              <w:top w:val="single" w:sz="6" w:space="0" w:color="000000"/>
            </w:tcBorders>
          </w:tcPr>
          <w:p>
            <w:pPr>
              <w:pStyle w:val="Normal"/>
              <w:snapToGrid w:val="false"/>
              <w:spacing w:before="120" w:after="0"/>
              <w:jc w:val="both"/>
              <w:rPr/>
            </w:pPr>
            <w:r>
              <w:rPr/>
            </w:r>
          </w:p>
        </w:tc>
        <w:tc>
          <w:tcPr>
            <w:tcW w:w="293" w:type="dxa"/>
            <w:tcBorders/>
          </w:tcPr>
          <w:p>
            <w:pPr>
              <w:pStyle w:val="Normal"/>
              <w:snapToGrid w:val="false"/>
              <w:spacing w:before="120" w:after="0"/>
              <w:jc w:val="both"/>
              <w:rPr/>
            </w:pPr>
            <w:r>
              <w:rPr/>
            </w:r>
          </w:p>
        </w:tc>
        <w:tc>
          <w:tcPr>
            <w:tcW w:w="1057" w:type="dxa"/>
            <w:tcBorders>
              <w:top w:val="single" w:sz="6" w:space="0" w:color="000000"/>
            </w:tcBorders>
          </w:tcPr>
          <w:p>
            <w:pPr>
              <w:pStyle w:val="Normal"/>
              <w:snapToGrid w:val="false"/>
              <w:spacing w:before="120" w:after="0"/>
              <w:jc w:val="both"/>
              <w:rPr/>
            </w:pPr>
            <w:r>
              <w:rPr/>
            </w:r>
          </w:p>
        </w:tc>
      </w:tr>
      <w:tr>
        <w:trPr/>
        <w:tc>
          <w:tcPr>
            <w:tcW w:w="2448" w:type="dxa"/>
            <w:tcBorders/>
          </w:tcPr>
          <w:p>
            <w:pPr>
              <w:pStyle w:val="Normal"/>
              <w:spacing w:before="120" w:after="0"/>
              <w:jc w:val="both"/>
              <w:rPr/>
            </w:pPr>
            <w:r>
              <w:rPr/>
              <w:t>ENE Management</w:t>
            </w:r>
          </w:p>
        </w:tc>
        <w:tc>
          <w:tcPr>
            <w:tcW w:w="360" w:type="dxa"/>
            <w:tcBorders/>
          </w:tcPr>
          <w:p>
            <w:pPr>
              <w:pStyle w:val="Normal"/>
              <w:snapToGrid w:val="false"/>
              <w:spacing w:before="120" w:after="0"/>
              <w:jc w:val="both"/>
              <w:rPr/>
            </w:pPr>
            <w:r>
              <w:rPr/>
            </w:r>
          </w:p>
        </w:tc>
        <w:tc>
          <w:tcPr>
            <w:tcW w:w="2932" w:type="dxa"/>
            <w:tcBorders>
              <w:top w:val="single" w:sz="4" w:space="0" w:color="000000"/>
              <w:bottom w:val="single" w:sz="4" w:space="0" w:color="000000"/>
            </w:tcBorders>
          </w:tcPr>
          <w:p>
            <w:pPr>
              <w:pStyle w:val="Normal"/>
              <w:spacing w:before="120" w:after="0"/>
              <w:jc w:val="both"/>
              <w:rPr/>
            </w:pPr>
            <w:r>
              <w:rPr/>
              <w:t>Jeff Skilling/Joe Sutton</w:t>
            </w:r>
          </w:p>
        </w:tc>
        <w:tc>
          <w:tcPr>
            <w:tcW w:w="354" w:type="dxa"/>
            <w:tcBorders/>
          </w:tcPr>
          <w:p>
            <w:pPr>
              <w:pStyle w:val="Normal"/>
              <w:snapToGrid w:val="false"/>
              <w:spacing w:before="120" w:after="0"/>
              <w:jc w:val="both"/>
              <w:rPr/>
            </w:pPr>
            <w:r>
              <w:rPr/>
            </w:r>
          </w:p>
        </w:tc>
        <w:tc>
          <w:tcPr>
            <w:tcW w:w="2924" w:type="dxa"/>
            <w:tcBorders>
              <w:top w:val="single" w:sz="4" w:space="0" w:color="000000"/>
              <w:bottom w:val="single" w:sz="4" w:space="0" w:color="000000"/>
            </w:tcBorders>
          </w:tcPr>
          <w:p>
            <w:pPr>
              <w:pStyle w:val="Normal"/>
              <w:snapToGrid w:val="false"/>
              <w:spacing w:before="120" w:after="0"/>
              <w:jc w:val="both"/>
              <w:rPr/>
            </w:pPr>
            <w:r>
              <w:rPr/>
            </w:r>
          </w:p>
        </w:tc>
        <w:tc>
          <w:tcPr>
            <w:tcW w:w="293" w:type="dxa"/>
            <w:tcBorders/>
          </w:tcPr>
          <w:p>
            <w:pPr>
              <w:pStyle w:val="Normal"/>
              <w:snapToGrid w:val="false"/>
              <w:spacing w:before="120" w:after="0"/>
              <w:jc w:val="both"/>
              <w:rPr/>
            </w:pPr>
            <w:r>
              <w:rPr/>
            </w:r>
          </w:p>
        </w:tc>
        <w:tc>
          <w:tcPr>
            <w:tcW w:w="1057" w:type="dxa"/>
            <w:tcBorders>
              <w:top w:val="single" w:sz="4" w:space="0" w:color="000000"/>
              <w:bottom w:val="single" w:sz="4" w:space="0" w:color="000000"/>
            </w:tcBorders>
          </w:tcPr>
          <w:p>
            <w:pPr>
              <w:pStyle w:val="Normal"/>
              <w:snapToGrid w:val="false"/>
              <w:spacing w:before="120" w:after="0"/>
              <w:jc w:val="both"/>
              <w:rPr/>
            </w:pPr>
            <w:r>
              <w:rPr/>
            </w:r>
          </w:p>
        </w:tc>
      </w:tr>
    </w:tbl>
    <w:p>
      <w:pPr>
        <w:pStyle w:val="Normal"/>
        <w:jc w:val="both"/>
        <w:rPr/>
      </w:pPr>
      <w:r>
        <w:rPr/>
        <w:t xml:space="preserve"> </w:t>
      </w:r>
    </w:p>
    <w:p>
      <w:pPr>
        <w:pStyle w:val="Normal"/>
        <w:jc w:val="both"/>
        <w:rPr>
          <w:b/>
        </w:rPr>
      </w:pPr>
      <w:r>
        <w:rPr>
          <w:b/>
        </w:rPr>
      </w:r>
    </w:p>
    <w:sectPr>
      <w:headerReference w:type="default" r:id="rId2"/>
      <w:headerReference w:type="first" r:id="rId3"/>
      <w:footerReference w:type="default" r:id="rId4"/>
      <w:footerReference w:type="first" r:id="rId5"/>
      <w:type w:val="nextPage"/>
      <w:pgSz w:w="12240" w:h="15840"/>
      <w:pgMar w:left="1008" w:right="1008"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/mnt/main-storage/datasets/enron-docs/doc/DASH_AIG.doc</w:t>
    </w:r>
    <w:r>
      <w:rPr>
        <w:sz w:val="16"/>
      </w:rPr>
      <w:fldChar w:fldCharType="end"/>
    </w:r>
    <w:r>
      <w:rPr>
        <w:sz w:val="16"/>
      </w:rPr>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4320"/>
        <w:tab w:val="clear" w:pos="8640"/>
        <w:tab w:val="right" w:pos="7920" w:leader="none"/>
      </w:tabs>
      <w:rPr>
        <w:b/>
      </w:rPr>
    </w:pPr>
    <w:r>
      <w:rPr>
        <w:b/>
      </w:rPr>
      <w:t>RAC Deal Approval Sheet</w:t>
      <w:tab/>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lowerLetter"/>
      <w:lvlText w:val="%1)"/>
      <w:lvlJc w:val="start"/>
      <w:pPr>
        <w:tabs>
          <w:tab w:val="num" w:pos="1440"/>
        </w:tabs>
        <w:ind w:start="1440" w:hanging="360"/>
      </w:pPr>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Wingdings" w:hAnsi="Wingdings" w:cs="Wingdings"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Wingdings" w:hAnsi="Wingdings" w:cs="Wingdings" w:hint="default"/>
      </w:r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start w:val="1"/>
      <w:numFmt w:val="bullet"/>
      <w:lvlText w:val=""/>
      <w:lvlJc w:val="start"/>
      <w:pPr>
        <w:tabs>
          <w:tab w:val="num" w:pos="360"/>
        </w:tabs>
        <w:ind w:start="360" w:hanging="360"/>
      </w:pPr>
      <w:rPr>
        <w:rFonts w:ascii="Wingdings" w:hAnsi="Wingdings" w:cs="Wingdings" w:hint="default"/>
      </w:rPr>
    </w:lvl>
  </w:abstractNum>
  <w:abstractNum w:abstractNumId="20">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jc w:val="center"/>
      <w:outlineLvl w:val="5"/>
    </w:pPr>
    <w:rPr>
      <w:u w:val="single"/>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8">
    <w:name w:val="heading 8"/>
    <w:basedOn w:val="Normal"/>
    <w:next w:val="Normal"/>
    <w:qFormat/>
    <w:pPr>
      <w:keepNext w:val="true"/>
      <w:numPr>
        <w:ilvl w:val="7"/>
        <w:numId w:val="1"/>
      </w:numPr>
      <w:jc w:val="end"/>
      <w:outlineLvl w:val="7"/>
    </w:pPr>
    <w:rPr>
      <w:u w:val="single"/>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Wingdings" w:hAnsi="Wingdings" w:cs="Wingdings"/>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Wingdings" w:hAnsi="Wingdings" w:cs="Wingdings"/>
    </w:rPr>
  </w:style>
  <w:style w:type="character" w:styleId="WW8Num21z0">
    <w:name w:val="WW8Num21z0"/>
    <w:qFormat/>
    <w:rPr>
      <w:rFonts w:ascii="Symbol" w:hAnsi="Symbol" w:cs="Symbol"/>
    </w:rPr>
  </w:style>
  <w:style w:type="character" w:styleId="WW8Num22z0">
    <w:name w:val="WW8Num22z0"/>
    <w:qFormat/>
    <w:rPr>
      <w:rFonts w:ascii="Wingdings" w:hAnsi="Wingdings" w:cs="Wingdings"/>
    </w:rPr>
  </w:style>
  <w:style w:type="character" w:styleId="WW8Num24z0">
    <w:name w:val="WW8Num24z0"/>
    <w:qFormat/>
    <w:rPr>
      <w:rFonts w:ascii="Symbol" w:hAnsi="Symbol" w:cs="Symbol"/>
    </w:rPr>
  </w:style>
  <w:style w:type="character" w:styleId="WW8Num25z0">
    <w:name w:val="WW8Num25z0"/>
    <w:qFormat/>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Wingdings" w:hAnsi="Wingdings" w:cs="Wingdings"/>
    </w:rPr>
  </w:style>
  <w:style w:type="character" w:styleId="WW8Num30z0">
    <w:name w:val="WW8Num30z0"/>
    <w:qFormat/>
    <w:rPr>
      <w:rFonts w:ascii="Symbol" w:hAnsi="Symbol" w:cs="Symbol"/>
    </w:rPr>
  </w:style>
  <w:style w:type="character" w:styleId="WW8Num31z0">
    <w:name w:val="WW8Num31z0"/>
    <w:qFormat/>
    <w:rPr>
      <w:rFonts w:ascii="Wingdings" w:hAnsi="Wingdings" w:cs="Wingdings"/>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sz w:val="32"/>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left" w:pos="720" w:leader="none"/>
      </w:tabs>
      <w:ind w:hanging="0" w:start="108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2000-09-20T15:47:00Z</dcterms:created>
  <dc:creator>Emy C. Geraldo</dc:creator>
  <dc:description/>
  <dc:language>en-CA</dc:language>
  <cp:lastModifiedBy>kbarbou</cp:lastModifiedBy>
  <cp:lastPrinted>2000-09-20T15:24:00Z</cp:lastPrinted>
  <dcterms:modified xsi:type="dcterms:W3CDTF">2000-09-20T17:59:00Z</dcterms:modified>
  <cp:revision>7</cp:revision>
  <dc:subject/>
  <dc:title>ENRON RISK ASSESSMENT AND CONTROL</dc:title>
</cp:coreProperties>
</file>