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EPC-64 (Pemex) II</w:t>
            </w:r>
          </w:p>
          <w:p>
            <w:pPr>
              <w:pStyle w:val="Normal"/>
              <w:ind w:end="792"/>
              <w:rPr/>
            </w:pPr>
            <w:r>
              <w:rPr/>
              <w:t xml:space="preserve">Counterparty: </w:t>
            </w:r>
            <w:r>
              <w:rPr>
                <w:color w:val="000000"/>
              </w:rPr>
              <w:t>ECH Offshore</w:t>
            </w:r>
          </w:p>
          <w:p>
            <w:pPr>
              <w:pStyle w:val="Normal"/>
              <w:rPr/>
            </w:pPr>
            <w:r>
              <w:rPr/>
              <w:t>Business Unit: EEOS/EECC</w:t>
            </w:r>
          </w:p>
          <w:p>
            <w:pPr>
              <w:pStyle w:val="Normal"/>
              <w:rPr/>
            </w:pPr>
            <w:r>
              <w:rPr/>
              <w:t>Business Unit Originator: James Michael Pearson</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22, 2001</w:t>
            </w:r>
          </w:p>
          <w:p>
            <w:pPr>
              <w:pStyle w:val="Normal"/>
              <w:ind w:firstLine="90" w:start="-198" w:end="-1095"/>
              <w:rPr/>
            </w:pPr>
            <w:r>
              <w:rPr/>
              <w:t xml:space="preserve">RAC Analyst/Underwriter: Mateo Vegalara/Karen Barbour </w:t>
            </w:r>
          </w:p>
          <w:p>
            <w:pPr>
              <w:pStyle w:val="Normal"/>
              <w:ind w:firstLine="90" w:start="-198" w:end="-738"/>
              <w:rPr/>
            </w:pPr>
            <w:r>
              <w:rPr/>
              <w:t>Investment Type: Working Capital Revolver</w:t>
            </w:r>
          </w:p>
          <w:p>
            <w:pPr>
              <w:pStyle w:val="Normal"/>
              <w:ind w:firstLine="90" w:start="-198" w:end="-738"/>
              <w:rPr/>
            </w:pPr>
            <w:r>
              <w:rPr/>
              <w:t>Capital Funding Source(s): Balance Sheet</w:t>
            </w:r>
          </w:p>
          <w:p>
            <w:pPr>
              <w:pStyle w:val="Normal"/>
              <w:ind w:firstLine="90" w:start="-198" w:end="-738"/>
              <w:rPr/>
            </w:pPr>
            <w:r>
              <w:rPr/>
              <w:t>Expected Closing Date:  NA</w:t>
            </w:r>
          </w:p>
          <w:p>
            <w:pPr>
              <w:pStyle w:val="Normal"/>
              <w:ind w:firstLine="90" w:start="-198" w:end="-738"/>
              <w:rPr/>
            </w:pPr>
            <w:r>
              <w:rPr/>
              <w:t>Expected Funding Date:  Through August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b/>
          <w:vertAlign w:val="superscript"/>
        </w:rPr>
        <w:t>*1</w:t>
      </w:r>
      <w:r>
        <w:rPr/>
        <w:t xml:space="preserve"> </w:t>
      </w:r>
      <w:r>
        <w:rPr>
          <w:rFonts w:cs="Wingdings" w:ascii="Wingdings" w:hAnsi="Wingdings"/>
        </w:rPr>
        <w:sym w:font="Wingdings" w:char="f070"/>
      </w:r>
      <w:r>
        <w:rPr/>
        <w:t xml:space="preserve">Returns below Capital Price </w:t>
      </w:r>
      <w:r>
        <w:rPr>
          <w:rFonts w:cs="Wingdings" w:ascii="Wingdings" w:hAnsi="Wingdings"/>
        </w:rPr>
        <w:sym w:font="Wingdings" w:char="f070"/>
      </w:r>
      <w:r>
        <w:rPr/>
        <w:t xml:space="preserve">Do not Proceed  </w:t>
      </w:r>
    </w:p>
    <w:p>
      <w:pPr>
        <w:pStyle w:val="Normal"/>
        <w:rPr/>
      </w:pPr>
      <w:r>
        <w:rPr>
          <w:b/>
          <w:vertAlign w:val="superscript"/>
        </w:rPr>
        <w:t>*1</w:t>
      </w:r>
      <w:r>
        <w:rPr/>
        <w:t xml:space="preserve">:  See </w:t>
      </w:r>
      <w:r>
        <w:rPr>
          <w:b/>
        </w:rPr>
        <w:t>“OTHER RAC COMMENTS”</w:t>
      </w:r>
    </w:p>
    <w:p>
      <w:pPr>
        <w:pStyle w:val="Heading4"/>
        <w:pBdr>
          <w:top w:val="single" w:sz="8" w:space="1" w:color="000000"/>
        </w:pBdr>
        <w:tabs>
          <w:tab w:val="clear" w:pos="9990"/>
          <w:tab w:val="left" w:pos="10260" w:leader="none"/>
        </w:tabs>
        <w:rPr/>
      </w:pPr>
      <w:r>
        <w:rPr/>
        <w:t>APPROVAL REQUESTED</w:t>
      </w:r>
    </w:p>
    <w:p>
      <w:pPr>
        <w:pStyle w:val="Normal"/>
        <w:numPr>
          <w:ilvl w:val="0"/>
          <w:numId w:val="6"/>
        </w:numPr>
        <w:rPr/>
      </w:pPr>
      <w:r>
        <w:rPr/>
        <w:t xml:space="preserve">EECC obtained approval in August 2000 to provide ECH Offshore a working capital revolver up to $21.5 million.  </w:t>
      </w:r>
    </w:p>
    <w:p>
      <w:pPr>
        <w:pStyle w:val="Normal"/>
        <w:numPr>
          <w:ilvl w:val="0"/>
          <w:numId w:val="6"/>
        </w:numPr>
        <w:rPr/>
      </w:pPr>
      <w:r>
        <w:rPr/>
        <w:t>EECC is currently requesting approval</w:t>
      </w:r>
    </w:p>
    <w:p>
      <w:pPr>
        <w:pStyle w:val="Normal"/>
        <w:numPr>
          <w:ilvl w:val="0"/>
          <w:numId w:val="5"/>
        </w:numPr>
        <w:tabs>
          <w:tab w:val="left" w:pos="720" w:leader="none"/>
        </w:tabs>
        <w:ind w:hanging="360" w:start="720" w:end="0"/>
        <w:rPr/>
      </w:pPr>
      <w:r>
        <w:rPr/>
        <w:t>to extend the maturity date of the revolver to September 2001, and;</w:t>
      </w:r>
    </w:p>
    <w:p>
      <w:pPr>
        <w:pStyle w:val="Normal"/>
        <w:numPr>
          <w:ilvl w:val="0"/>
          <w:numId w:val="5"/>
        </w:numPr>
        <w:tabs>
          <w:tab w:val="left" w:pos="720" w:leader="none"/>
        </w:tabs>
        <w:ind w:hanging="360" w:start="720" w:end="0"/>
        <w:rPr/>
      </w:pPr>
      <w:r>
        <w:rPr/>
        <w:t xml:space="preserve">to increase the revolver maximum amount from $21.5 million to $28.2 million, which represents the estimated maximum funded amount should there be a one-month delay in Pemex payments. </w:t>
      </w:r>
    </w:p>
    <w:p>
      <w:pPr>
        <w:pStyle w:val="Heading1"/>
        <w:pBdr>
          <w:top w:val="single" w:sz="8" w:space="1" w:color="000000"/>
        </w:pBdr>
        <w:ind w:hanging="0" w:start="0" w:end="-36"/>
        <w:rPr/>
      </w:pPr>
      <w:r>
        <w:rPr/>
        <w:t xml:space="preserve">EXPOSURE SUMMARY </w:t>
      </w:r>
    </w:p>
    <w:tbl>
      <w:tblPr>
        <w:tblW w:w="6120" w:type="dxa"/>
        <w:jc w:val="start"/>
        <w:tblInd w:w="468" w:type="dxa"/>
        <w:tblLayout w:type="fixed"/>
        <w:tblCellMar>
          <w:top w:w="0" w:type="dxa"/>
          <w:start w:w="108" w:type="dxa"/>
          <w:bottom w:w="0" w:type="dxa"/>
          <w:end w:w="108" w:type="dxa"/>
        </w:tblCellMar>
      </w:tblPr>
      <w:tblGrid>
        <w:gridCol w:w="4140"/>
        <w:gridCol w:w="1980"/>
      </w:tblGrid>
      <w:tr>
        <w:trPr/>
        <w:tc>
          <w:tcPr>
            <w:tcW w:w="4140" w:type="dxa"/>
            <w:tcBorders/>
          </w:tcPr>
          <w:p>
            <w:pPr>
              <w:pStyle w:val="Normal"/>
              <w:rPr/>
            </w:pPr>
            <w:r>
              <w:rPr/>
              <w:t>This transaction:</w:t>
            </w:r>
          </w:p>
        </w:tc>
        <w:tc>
          <w:tcPr>
            <w:tcW w:w="1980" w:type="dxa"/>
            <w:tcBorders/>
          </w:tcPr>
          <w:p>
            <w:pPr>
              <w:pStyle w:val="Normal"/>
              <w:snapToGrid w:val="false"/>
              <w:jc w:val="center"/>
              <w:rPr/>
            </w:pPr>
            <w:r>
              <w:rPr/>
            </w:r>
          </w:p>
        </w:tc>
      </w:tr>
      <w:tr>
        <w:trPr/>
        <w:tc>
          <w:tcPr>
            <w:tcW w:w="4140" w:type="dxa"/>
            <w:tcBorders/>
          </w:tcPr>
          <w:p>
            <w:pPr>
              <w:pStyle w:val="Normal"/>
              <w:jc w:val="end"/>
              <w:rPr/>
            </w:pPr>
            <w:r>
              <w:rPr/>
              <w:t xml:space="preserve">Maximum funding exposure </w:t>
            </w:r>
            <w:r>
              <w:rPr>
                <w:b/>
                <w:vertAlign w:val="superscript"/>
              </w:rPr>
              <w:t>*1</w:t>
            </w:r>
          </w:p>
        </w:tc>
        <w:tc>
          <w:tcPr>
            <w:tcW w:w="1980" w:type="dxa"/>
            <w:tcBorders/>
          </w:tcPr>
          <w:p>
            <w:pPr>
              <w:pStyle w:val="Normal"/>
              <w:jc w:val="end"/>
              <w:rPr/>
            </w:pPr>
            <w:r>
              <w:rPr/>
              <w:t>$28.2 million</w:t>
            </w:r>
          </w:p>
        </w:tc>
      </w:tr>
      <w:tr>
        <w:trPr/>
        <w:tc>
          <w:tcPr>
            <w:tcW w:w="4140" w:type="dxa"/>
            <w:tcBorders/>
          </w:tcPr>
          <w:p>
            <w:pPr>
              <w:pStyle w:val="Normal"/>
              <w:jc w:val="end"/>
              <w:rPr/>
            </w:pPr>
            <w:r>
              <w:rPr/>
              <w:t xml:space="preserve">Risk adjusted capital </w:t>
            </w:r>
            <w:r>
              <w:rPr>
                <w:b/>
                <w:vertAlign w:val="superscript"/>
              </w:rPr>
              <w:t>*2</w:t>
            </w:r>
          </w:p>
        </w:tc>
        <w:tc>
          <w:tcPr>
            <w:tcW w:w="1980" w:type="dxa"/>
            <w:tcBorders/>
          </w:tcPr>
          <w:p>
            <w:pPr>
              <w:pStyle w:val="Normal"/>
              <w:jc w:val="end"/>
              <w:rPr/>
            </w:pPr>
            <w:r>
              <w:rPr>
                <w:u w:val="single"/>
              </w:rPr>
              <w:t>7.7</w:t>
            </w:r>
            <w:r>
              <w:rPr/>
              <w:t xml:space="preserve"> million</w:t>
            </w:r>
          </w:p>
        </w:tc>
      </w:tr>
      <w:tr>
        <w:trPr/>
        <w:tc>
          <w:tcPr>
            <w:tcW w:w="4140" w:type="dxa"/>
            <w:tcBorders/>
          </w:tcPr>
          <w:p>
            <w:pPr>
              <w:pStyle w:val="Normal"/>
              <w:jc w:val="end"/>
              <w:rPr/>
            </w:pPr>
            <w:r>
              <w:rPr/>
              <w:t>Cumulative capital at risk</w:t>
            </w:r>
          </w:p>
        </w:tc>
        <w:tc>
          <w:tcPr>
            <w:tcW w:w="1980" w:type="dxa"/>
            <w:tcBorders/>
          </w:tcPr>
          <w:p>
            <w:pPr>
              <w:pStyle w:val="Normal"/>
              <w:jc w:val="end"/>
              <w:rPr/>
            </w:pPr>
            <w:r>
              <w:rPr>
                <w:u w:val="double"/>
              </w:rPr>
              <w:t>$35.9</w:t>
            </w:r>
            <w:r>
              <w:rPr/>
              <w:t xml:space="preserve"> million</w:t>
            </w:r>
          </w:p>
        </w:tc>
      </w:tr>
      <w:tr>
        <w:trPr/>
        <w:tc>
          <w:tcPr>
            <w:tcW w:w="4140" w:type="dxa"/>
            <w:tcBorders/>
          </w:tcPr>
          <w:p>
            <w:pPr>
              <w:pStyle w:val="Normal"/>
              <w:snapToGrid w:val="false"/>
              <w:jc w:val="end"/>
              <w:rPr/>
            </w:pPr>
            <w:r>
              <w:rPr/>
            </w:r>
          </w:p>
        </w:tc>
        <w:tc>
          <w:tcPr>
            <w:tcW w:w="1980" w:type="dxa"/>
            <w:tcBorders/>
          </w:tcPr>
          <w:p>
            <w:pPr>
              <w:pStyle w:val="Normal"/>
              <w:snapToGrid w:val="false"/>
              <w:jc w:val="end"/>
              <w:rPr>
                <w:u w:val="double"/>
              </w:rPr>
            </w:pPr>
            <w:r>
              <w:rPr>
                <w:u w:val="double"/>
              </w:rPr>
            </w:r>
          </w:p>
        </w:tc>
      </w:tr>
      <w:tr>
        <w:trPr/>
        <w:tc>
          <w:tcPr>
            <w:tcW w:w="4140" w:type="dxa"/>
            <w:tcBorders/>
          </w:tcPr>
          <w:p>
            <w:pPr>
              <w:pStyle w:val="Header"/>
              <w:widowControl/>
              <w:tabs>
                <w:tab w:val="clear" w:pos="4320"/>
                <w:tab w:val="clear" w:pos="8640"/>
              </w:tabs>
              <w:rPr/>
            </w:pPr>
            <w:r>
              <w:rPr/>
              <w:t>Cumulative exposure to Pemex related projects</w:t>
            </w:r>
            <w:r>
              <w:rPr>
                <w:b/>
                <w:vertAlign w:val="superscript"/>
              </w:rPr>
              <w:t>*3</w:t>
            </w:r>
          </w:p>
        </w:tc>
        <w:tc>
          <w:tcPr>
            <w:tcW w:w="1980" w:type="dxa"/>
            <w:tcBorders/>
          </w:tcPr>
          <w:p>
            <w:pPr>
              <w:pStyle w:val="Normal"/>
              <w:jc w:val="end"/>
              <w:rPr/>
            </w:pPr>
            <w:r>
              <w:rPr/>
              <w:t>$119.1 million</w:t>
            </w:r>
          </w:p>
        </w:tc>
      </w:tr>
    </w:tbl>
    <w:p>
      <w:pPr>
        <w:pStyle w:val="Normal"/>
        <w:rPr/>
      </w:pPr>
      <w:r>
        <w:rPr>
          <w:b/>
          <w:vertAlign w:val="superscript"/>
        </w:rPr>
        <w:t>*1</w:t>
      </w:r>
      <w:r>
        <w:rPr/>
        <w:t xml:space="preserve">   </w:t>
      </w:r>
      <w:r>
        <w:rPr>
          <w:sz w:val="18"/>
        </w:rPr>
        <w:t>Subject to reduction as shown in maximum outstanding in Attachment A of the DASH.</w:t>
      </w:r>
    </w:p>
    <w:p>
      <w:pPr>
        <w:pStyle w:val="Normal"/>
        <w:rPr/>
      </w:pPr>
      <w:r>
        <w:rPr>
          <w:b/>
          <w:sz w:val="18"/>
          <w:vertAlign w:val="superscript"/>
        </w:rPr>
        <w:t>*2</w:t>
      </w:r>
      <w:r>
        <w:rPr>
          <w:sz w:val="18"/>
        </w:rPr>
        <w:t xml:space="preserve">   Represents the capital at risk due to potential market price movements, counterparty credit risks and potential draw on the performance bond.</w:t>
      </w:r>
    </w:p>
    <w:p>
      <w:pPr>
        <w:pStyle w:val="Normal"/>
        <w:rPr/>
      </w:pPr>
      <w:r>
        <w:rPr>
          <w:b/>
          <w:sz w:val="18"/>
          <w:vertAlign w:val="superscript"/>
        </w:rPr>
        <w:t>*3</w:t>
      </w:r>
      <w:r>
        <w:rPr>
          <w:sz w:val="18"/>
        </w:rPr>
        <w:t xml:space="preserve">   Includes maximum expected draw amounts of the EPC 64 and 63 revolvers plus $21.7 million receivable for the Demar project, and $33.0 million for the Cigsa project, including fees and interest.</w:t>
      </w:r>
    </w:p>
    <w:p>
      <w:pPr>
        <w:pStyle w:val="Heading2"/>
        <w:widowControl/>
        <w:pBdr>
          <w:top w:val="single" w:sz="8" w:space="1" w:color="000000"/>
        </w:pBdr>
        <w:ind w:hanging="0" w:start="0" w:end="-36"/>
        <w:rPr>
          <w:i w:val="false"/>
          <w:i w:val="false"/>
        </w:rPr>
      </w:pPr>
      <w:r>
        <w:rPr>
          <w:i w:val="false"/>
        </w:rPr>
        <w:t>DEAL UPDATES SINCE INITIAL APPROVAL AS OF AUGUST 2000:</w:t>
      </w:r>
    </w:p>
    <w:p>
      <w:pPr>
        <w:pStyle w:val="Normal"/>
        <w:numPr>
          <w:ilvl w:val="0"/>
          <w:numId w:val="4"/>
        </w:numPr>
        <w:rPr/>
      </w:pPr>
      <w:r>
        <w:rPr/>
        <w:t xml:space="preserve">EPC-64 was approved in August 2000 with a maximum funding amount of $21.5 million to ECH Offshore.   RAC was notified in November 2000 that funding agreements had not been executed among EECC, ECH Offshore (a Mexican SRL between Horizon, CCC and EECC) and HorizEn (a U.S. LLC between Horizon and EECC) due to the joint venture partners’ inability to agree on a cap to limit EECC’s maximum outstanding funding amount.  EECC had funded $22.3 million of working capital up to that time without the executed funding agreements.  </w:t>
      </w:r>
    </w:p>
    <w:p>
      <w:pPr>
        <w:pStyle w:val="Normal"/>
        <w:numPr>
          <w:ilvl w:val="0"/>
          <w:numId w:val="4"/>
        </w:numPr>
        <w:rPr/>
      </w:pPr>
      <w:r>
        <w:rPr/>
        <w:t>The funding agreements, and other transaction documents, were subsequently executed in February 2001.  Additionally, EECC was able to negotiate a 50/50 funding arrangement with Horizon whereby costs related to change orders and weather claims are shared by Horizon and EECC, thus reducing EECC’s exposure to the riskier portion of the project cost funding.</w:t>
      </w:r>
    </w:p>
    <w:p>
      <w:pPr>
        <w:pStyle w:val="Normal"/>
        <w:numPr>
          <w:ilvl w:val="0"/>
          <w:numId w:val="4"/>
        </w:numPr>
        <w:ind w:hanging="360" w:start="360" w:end="-216"/>
        <w:rPr/>
      </w:pPr>
      <w:r>
        <w:rPr/>
        <w:t>The current request for maturity extension and increase in the maximum allowable funding amount was caused primarily by the substantial delay in payment collection from Pemex for both the milestone payments and claims.</w:t>
      </w:r>
    </w:p>
    <w:p>
      <w:pPr>
        <w:pStyle w:val="Normal"/>
        <w:numPr>
          <w:ilvl w:val="0"/>
          <w:numId w:val="4"/>
        </w:numPr>
        <w:ind w:hanging="360" w:start="360" w:end="-216"/>
        <w:rPr/>
      </w:pPr>
      <w:r>
        <w:rPr/>
        <w:t xml:space="preserve">The collection of milestone payments had been delayed for two months due to Pemex’s requirement for specific filing formats and delays in setting up the contract on its payment system.  The first payment of $4.7 million was received on December 15, 2000 and the second payment of $12.5 million was received on December 27, 2000, upon which time the total funded amount was brought within the $21.5 million cap.  </w:t>
      </w:r>
    </w:p>
    <w:p>
      <w:pPr>
        <w:pStyle w:val="Normal"/>
        <w:numPr>
          <w:ilvl w:val="0"/>
          <w:numId w:val="4"/>
        </w:numPr>
        <w:rPr/>
      </w:pPr>
      <w:r>
        <w:rPr/>
        <w:t>The claims resulted from the project’s significant schedule slippage due to Pemex interference delays and weather delays caused by Pemex’s shifting priorities between basic scope and change orders.  All seven pipelines have been laid. However, delays in completing topside work have delayed invoicing.  ECH currently has a weather/interference claim that is under review by a third party engaged by Pemex.  The amount and the timing of collection on such claim are uncertain at this time.</w:t>
      </w:r>
    </w:p>
    <w:p>
      <w:pPr>
        <w:pStyle w:val="Normal"/>
        <w:numPr>
          <w:ilvl w:val="0"/>
          <w:numId w:val="6"/>
        </w:numPr>
        <w:rPr/>
      </w:pPr>
      <w:r>
        <w:rPr/>
        <w:t>The expected funding amount going forward is attached as Exhibit A, which reflects potential further weather delays.  EECC will notify RAC immediately if it foresees any further slippage of the expected payment collections.</w:t>
      </w:r>
    </w:p>
    <w:p>
      <w:pPr>
        <w:pStyle w:val="Normal"/>
        <w:rPr/>
      </w:pPr>
      <w:r>
        <w:rPr/>
      </w:r>
    </w:p>
    <w:p>
      <w:pPr>
        <w:pStyle w:val="Heading8"/>
        <w:ind w:hanging="0" w:start="0"/>
        <w:rPr/>
      </w:pPr>
      <w:r>
        <w:rPr/>
        <w:t>RETURN SUMMARY</w:t>
      </w:r>
    </w:p>
    <w:p>
      <w:pPr>
        <w:pStyle w:val="Normal"/>
        <w:numPr>
          <w:ilvl w:val="0"/>
          <w:numId w:val="2"/>
        </w:numPr>
        <w:pBdr>
          <w:top w:val="single" w:sz="8" w:space="1" w:color="000000"/>
        </w:pBdr>
        <w:rPr/>
      </w:pPr>
      <w:r>
        <w:rPr/>
        <w:t>The project’s NPV is currently estimated to be about ($851,000), compared to the estimated NPV of $5,050,000 in the August 4, 2000 DASH, both discounted at a capital price of 30%.  The decrease in the estimated profitability is due primarily to the delay in the actual and expected revenue collections.</w:t>
      </w:r>
      <w:r>
        <w:br w:type="page"/>
      </w:r>
    </w:p>
    <w:p>
      <w:pPr>
        <w:pStyle w:val="Heading1"/>
        <w:pBdr>
          <w:top w:val="single" w:sz="4" w:space="1" w:color="000000"/>
        </w:pBdr>
        <w:ind w:hanging="0" w:start="0"/>
        <w:rPr/>
      </w:pP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12700</wp:posOffset>
                </wp:positionV>
                <wp:extent cx="6492240" cy="0"/>
                <wp:effectExtent l="0" t="5080" r="0" b="5080"/>
                <wp:wrapNone/>
                <wp:docPr id="1"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tbl>
      <w:tblPr>
        <w:tblW w:w="9180" w:type="dxa"/>
        <w:jc w:val="start"/>
        <w:tblInd w:w="558" w:type="dxa"/>
        <w:tblLayout w:type="fixed"/>
        <w:tblCellMar>
          <w:top w:w="0" w:type="dxa"/>
          <w:start w:w="108" w:type="dxa"/>
          <w:bottom w:w="0" w:type="dxa"/>
          <w:end w:w="108" w:type="dxa"/>
        </w:tblCellMar>
      </w:tblPr>
      <w:tblGrid>
        <w:gridCol w:w="7380"/>
        <w:gridCol w:w="1800"/>
      </w:tblGrid>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Completion of pipeline #27-04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04/30/01</w:t>
            </w:r>
          </w:p>
        </w:tc>
      </w:tr>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Completion of pipeline #27-01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04/12/01</w:t>
            </w:r>
          </w:p>
        </w:tc>
      </w:tr>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Completion of pipeline #27-02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03/24/01</w:t>
            </w:r>
          </w:p>
        </w:tc>
      </w:tr>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Completion of pipeline #27-03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04/25/01</w:t>
            </w:r>
          </w:p>
        </w:tc>
      </w:tr>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Completion of pipeline #27-05</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05/20/01</w:t>
            </w:r>
          </w:p>
        </w:tc>
      </w:tr>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Completion of pipeline #27-13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05/02/01</w:t>
            </w:r>
          </w:p>
        </w:tc>
      </w:tr>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Completion of pipeline #27-14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r>
              <w:rPr/>
              <w:t>06/01/01</w:t>
            </w:r>
          </w:p>
        </w:tc>
      </w:tr>
      <w:tr>
        <w:trPr/>
        <w:tc>
          <w:tcPr>
            <w:tcW w:w="7380" w:type="dxa"/>
            <w:tcBorders>
              <w:top w:val="single" w:sz="4" w:space="0" w:color="000000"/>
              <w:start w:val="single" w:sz="4" w:space="0" w:color="000000"/>
              <w:bottom w:val="single" w:sz="4" w:space="0" w:color="000000"/>
              <w:end w:val="single" w:sz="4" w:space="0" w:color="000000"/>
            </w:tcBorders>
          </w:tcPr>
          <w:p>
            <w:pPr>
              <w:pStyle w:val="Normal"/>
              <w:rPr/>
            </w:pPr>
            <w:r>
              <w:rPr/>
              <w:t>Final completion – expected</w:t>
            </w:r>
          </w:p>
        </w:tc>
        <w:tc>
          <w:tcPr>
            <w:tcW w:w="18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 xml:space="preserve">   </w:t>
            </w:r>
            <w:r>
              <w:rPr/>
              <w:t>08/03/01</w:t>
            </w:r>
          </w:p>
        </w:tc>
      </w:tr>
      <w:tr>
        <w:trPr/>
        <w:tc>
          <w:tcPr>
            <w:tcW w:w="7380" w:type="dxa"/>
            <w:tcBorders/>
          </w:tcPr>
          <w:p>
            <w:pPr>
              <w:pStyle w:val="Normal"/>
              <w:snapToGrid w:val="false"/>
              <w:rPr/>
            </w:pPr>
            <w:r>
              <w:rPr/>
            </w:r>
          </w:p>
        </w:tc>
        <w:tc>
          <w:tcPr>
            <w:tcW w:w="1800" w:type="dxa"/>
            <w:tcBorders/>
          </w:tcPr>
          <w:p>
            <w:pPr>
              <w:pStyle w:val="Header"/>
              <w:widowControl/>
              <w:tabs>
                <w:tab w:val="clear" w:pos="4320"/>
                <w:tab w:val="clear" w:pos="8640"/>
              </w:tabs>
              <w:snapToGrid w:val="false"/>
              <w:jc w:val="end"/>
              <w:rPr/>
            </w:pPr>
            <w:r>
              <w:rPr/>
            </w:r>
          </w:p>
        </w:tc>
      </w:tr>
    </w:tbl>
    <w:p>
      <w:pPr>
        <w:pStyle w:val="Normal"/>
        <w:pBdr>
          <w:top w:val="single" w:sz="8" w:space="1" w:color="000000"/>
        </w:pBdr>
        <w:rPr>
          <w:b/>
        </w:rPr>
      </w:pPr>
      <w:r>
        <w:rPr>
          <w:b/>
        </w:rPr>
        <w:t xml:space="preserve">OTHER RAC COMMENTS: </w:t>
      </w:r>
    </w:p>
    <w:p>
      <w:pPr>
        <w:pStyle w:val="Normal"/>
        <w:numPr>
          <w:ilvl w:val="0"/>
          <w:numId w:val="3"/>
        </w:numPr>
        <w:pBdr>
          <w:top w:val="single" w:sz="8" w:space="1" w:color="000000"/>
        </w:pBdr>
        <w:rPr>
          <w:b/>
        </w:rPr>
      </w:pPr>
      <w:r>
        <w:rPr/>
        <w:t>EECC had been performing work and providing funding to the joint venture under incomplete and substandard documentation under both EPC 63 and 64 until February 2001 when all the project documents were fully executed with clear delineation of the joint venture partners’ funding obligation.  The project profitability had eroded from the original forecast due to the unexpected change in scope and the uncertainty of collecting on claims to be filed against Pemex.</w:t>
      </w:r>
    </w:p>
    <w:p>
      <w:pPr>
        <w:pStyle w:val="Normal"/>
        <w:numPr>
          <w:ilvl w:val="0"/>
          <w:numId w:val="3"/>
        </w:numPr>
        <w:pBdr>
          <w:top w:val="single" w:sz="8" w:space="1" w:color="000000"/>
        </w:pBdr>
        <w:rPr/>
      </w:pPr>
      <w:r>
        <w:rPr/>
        <w:t>RAC would not recommend this transaction except for the fact that EECC has been funding the project costs since August 2000 and no practical alternative exists to EECC other than continuing to fund to project completion.</w:t>
      </w:r>
    </w:p>
    <w:p>
      <w:pPr>
        <w:pStyle w:val="Normal"/>
        <w:numPr>
          <w:ilvl w:val="0"/>
          <w:numId w:val="3"/>
        </w:numPr>
        <w:rPr/>
      </w:pPr>
      <w:r>
        <w:rPr/>
        <w:t>EECC intends to seek Enron America’s assistance to reach the senior management at Pemex to expedite the payment of claim issues resolved by ECH’s on-site team.  EECC has made proposals to Horizon for a potential take-out of EECC’s project interest.  Horizon has indicated they have found another source of financing and Enron is currently providing information to facilitate a potential take-out offer from Horizon in April 2001.</w:t>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tcPr>
          <w:p>
            <w:pPr>
              <w:pStyle w:val="Header"/>
              <w:widowControl/>
              <w:tabs>
                <w:tab w:val="clear" w:pos="4320"/>
                <w:tab w:val="clear" w:pos="8640"/>
              </w:tabs>
              <w:spacing w:before="120" w:after="0"/>
              <w:rPr/>
            </w:pPr>
            <w:r>
              <w:rPr/>
              <w:t>Brian Stanley/Keith Dodson</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4" w:space="0" w:color="000000"/>
              <w:bottom w:val="single" w:sz="4" w:space="0" w:color="000000"/>
            </w:tcBorders>
          </w:tcPr>
          <w:p>
            <w:pPr>
              <w:pStyle w:val="Normal"/>
              <w:spacing w:before="120" w:after="0"/>
              <w:rPr/>
            </w:pPr>
            <w:r>
              <w:rPr/>
              <w:t>John Schwartzenburg</w:t>
            </w:r>
          </w:p>
        </w:tc>
        <w:tc>
          <w:tcPr>
            <w:tcW w:w="354" w:type="dxa"/>
            <w:tcBorders/>
          </w:tcPr>
          <w:p>
            <w:pPr>
              <w:pStyle w:val="Normal"/>
              <w:snapToGrid w:val="false"/>
              <w:spacing w:before="120" w:after="0"/>
              <w:rPr/>
            </w:pPr>
            <w:r>
              <w:rPr/>
            </w:r>
          </w:p>
        </w:tc>
        <w:tc>
          <w:tcPr>
            <w:tcW w:w="2924" w:type="dxa"/>
            <w:tcBorders>
              <w:top w:val="single" w:sz="4"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bottom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sectPr>
      <w:headerReference w:type="default" r:id="rId2"/>
      <w:headerReference w:type="first" r:id="rId3"/>
      <w:footerReference w:type="default" r:id="rId4"/>
      <w:footerReference w:type="first" r:id="rId5"/>
      <w:type w:val="nextPage"/>
      <w:pgSz w:w="12240" w:h="15840"/>
      <w:pgMar w:left="1152" w:right="864"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/mnt/main-storage/datasets/enron-docs/doc/DASH_64_032801.doc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EPC 64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1" w:color="000000"/>
      </w:pBd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val="false"/>
      <w:i w:val="false"/>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b w:val="false"/>
      <w:i w:val="false"/>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2001-03-28T16:31:00Z</dcterms:created>
  <dc:creator>mruane</dc:creator>
  <dc:description>MR: 9-20-99 added tax signoff</dc:description>
  <dc:language>en-CA</dc:language>
  <cp:lastModifiedBy>kbarbou</cp:lastModifiedBy>
  <cp:lastPrinted>2001-03-22T13:43:00Z</cp:lastPrinted>
  <dcterms:modified xsi:type="dcterms:W3CDTF">2001-03-28T16:31:00Z</dcterms:modified>
  <cp:revision>2</cp:revision>
  <dc:subject/>
  <dc:title>ENRON RISK ASSESSMENT AND CONTROL</dc:title>
</cp:coreProperties>
</file>