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ENRON RISK ASSESSMENT AND CONTROL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 xml:space="preserve"> </w:t>
      </w:r>
      <w:r>
        <w:rPr>
          <w:b/>
          <w:sz w:val="32"/>
        </w:rPr>
        <w:t>DEAL APPROVAL SHEET</w:t>
      </w:r>
    </w:p>
    <w:p>
      <w:pPr>
        <w:pStyle w:val="Normal"/>
        <w:rPr>
          <w:b/>
          <w:sz w:val="32"/>
        </w:rPr>
      </w:pPr>
      <w:r>
        <w:rPr>
          <w:b/>
          <w:sz w:val="32"/>
        </w:rPr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90"/>
        <w:gridCol w:w="4950"/>
      </w:tblGrid>
      <w:tr>
        <w:trPr>
          <w:trHeight w:val="1656" w:hRule="atLeast"/>
        </w:trPr>
        <w:tc>
          <w:tcPr>
            <w:tcW w:w="549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ind w:end="792"/>
              <w:rPr>
                <w:b/>
              </w:rPr>
            </w:pPr>
            <w:r>
              <w:rPr>
                <w:b/>
              </w:rPr>
              <w:t xml:space="preserve">DEAL NAME:  </w:t>
            </w:r>
          </w:p>
          <w:p>
            <w:pPr>
              <w:pStyle w:val="Normal"/>
              <w:ind w:end="792"/>
              <w:rPr/>
            </w:pPr>
            <w:r>
              <w:rPr/>
              <w:t xml:space="preserve">Counterparty:  </w:t>
            </w:r>
          </w:p>
          <w:p>
            <w:pPr>
              <w:pStyle w:val="Normal"/>
              <w:rPr/>
            </w:pPr>
            <w:r>
              <w:rPr/>
              <w:t xml:space="preserve">Business Unit:  </w:t>
            </w:r>
          </w:p>
          <w:p>
            <w:pPr>
              <w:pStyle w:val="Normal"/>
              <w:rPr/>
            </w:pPr>
            <w:r>
              <w:rPr/>
              <w:t xml:space="preserve">Business Unit Originator:  </w:t>
            </w:r>
          </w:p>
          <w:p>
            <w:pPr>
              <w:pStyle w:val="Normal"/>
              <w:tabs>
                <w:tab w:val="clear" w:pos="360"/>
                <w:tab w:val="left" w:pos="1530" w:leader="none"/>
              </w:tabs>
              <w:rPr/>
            </w:pPr>
            <w:r>
              <w:rPr>
                <w:rFonts w:cs="Wingdings" w:ascii="Wingdings" w:hAnsi="Wingdings"/>
              </w:rPr>
              <w:sym w:font="Wingdings" w:char="f070"/>
            </w:r>
            <w:r>
              <w:rPr/>
              <w:t>Public</w:t>
              <w:tab/>
            </w:r>
            <w:r>
              <w:rPr>
                <w:rFonts w:cs="Wingdings" w:ascii="Wingdings" w:hAnsi="Wingdings"/>
              </w:rPr>
              <w:sym w:font="Wingdings" w:char="f070"/>
            </w:r>
            <w:r>
              <w:rPr/>
              <w:t>Private</w:t>
            </w:r>
          </w:p>
          <w:p>
            <w:pPr>
              <w:pStyle w:val="Normal"/>
              <w:tabs>
                <w:tab w:val="clear" w:pos="360"/>
                <w:tab w:val="left" w:pos="1530" w:leader="none"/>
              </w:tabs>
              <w:ind w:end="-738"/>
              <w:rPr/>
            </w:pPr>
            <w:r>
              <w:rPr>
                <w:rFonts w:cs="Wingdings" w:ascii="Wingdings" w:hAnsi="Wingdings"/>
              </w:rPr>
              <w:sym w:font="Wingdings" w:char="f070"/>
            </w:r>
            <w:r>
              <w:rPr/>
              <w:t>Merchant</w:t>
              <w:tab/>
            </w:r>
            <w:r>
              <w:rPr>
                <w:rFonts w:cs="Wingdings" w:ascii="Wingdings" w:hAnsi="Wingdings"/>
              </w:rPr>
              <w:sym w:font="Wingdings" w:char="f070"/>
            </w:r>
            <w:r>
              <w:rPr/>
              <w:t>Strategic</w:t>
            </w:r>
          </w:p>
          <w:p>
            <w:pPr>
              <w:pStyle w:val="Header"/>
              <w:tabs>
                <w:tab w:val="left" w:pos="1530" w:leader="none"/>
                <w:tab w:val="center" w:pos="4320" w:leader="none"/>
                <w:tab w:val="right" w:pos="8640" w:leader="none"/>
              </w:tabs>
              <w:rPr/>
            </w:pPr>
            <w:r>
              <w:rPr>
                <w:rFonts w:cs="Wingdings" w:ascii="Wingdings" w:hAnsi="Wingdings"/>
              </w:rPr>
              <w:sym w:font="Wingdings" w:char="f070"/>
            </w:r>
            <w:r>
              <w:rPr/>
              <w:t>Conforming</w:t>
              <w:tab/>
            </w:r>
            <w:r>
              <w:rPr>
                <w:rFonts w:cs="Wingdings" w:ascii="Wingdings" w:hAnsi="Wingdings"/>
              </w:rPr>
              <w:sym w:font="Wingdings" w:char="f070"/>
            </w:r>
            <w:r>
              <w:rPr/>
              <w:t>Nonconforming</w:t>
            </w:r>
          </w:p>
        </w:tc>
        <w:tc>
          <w:tcPr>
            <w:tcW w:w="4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ind w:firstLine="90" w:start="-198" w:end="-738"/>
              <w:rPr/>
            </w:pPr>
            <w:r>
              <w:rPr/>
              <w:t xml:space="preserve">Date DASH Completed:  </w:t>
            </w:r>
          </w:p>
          <w:p>
            <w:pPr>
              <w:pStyle w:val="Normal"/>
              <w:ind w:firstLine="90" w:start="-198" w:end="-1095"/>
              <w:rPr/>
            </w:pPr>
            <w:r>
              <w:rPr/>
              <w:t xml:space="preserve">RAC Analyst:  </w:t>
            </w:r>
          </w:p>
          <w:p>
            <w:pPr>
              <w:pStyle w:val="Normal"/>
              <w:ind w:firstLine="90" w:start="-198" w:end="-738"/>
              <w:rPr/>
            </w:pPr>
            <w:r>
              <w:rPr/>
              <w:t xml:space="preserve">Investment Type:  </w:t>
            </w:r>
          </w:p>
          <w:p>
            <w:pPr>
              <w:pStyle w:val="Normal"/>
              <w:ind w:firstLine="90" w:start="-198" w:end="-738"/>
              <w:rPr/>
            </w:pPr>
            <w:r>
              <w:rPr/>
              <w:t xml:space="preserve">Capital Funding Source(s):  </w:t>
            </w:r>
          </w:p>
          <w:p>
            <w:pPr>
              <w:pStyle w:val="Normal"/>
              <w:ind w:firstLine="90" w:start="-198" w:end="-738"/>
              <w:rPr/>
            </w:pPr>
            <w:r>
              <w:rPr/>
              <w:t xml:space="preserve">Expected Closing Date:  </w:t>
            </w:r>
          </w:p>
          <w:p>
            <w:pPr>
              <w:pStyle w:val="Normal"/>
              <w:ind w:firstLine="90" w:start="-198" w:end="-738"/>
              <w:rPr/>
            </w:pPr>
            <w:r>
              <w:rPr/>
              <w:t xml:space="preserve">Expected Funding Date:  </w:t>
            </w:r>
          </w:p>
          <w:p>
            <w:pPr>
              <w:pStyle w:val="Normal"/>
              <w:ind w:firstLine="90" w:start="-198" w:end="-738"/>
              <w:rPr/>
            </w:pPr>
            <w:r>
              <w:rPr/>
              <w:t xml:space="preserve">Board Approval: </w:t>
            </w:r>
            <w:r>
              <w:rPr>
                <w:rFonts w:cs="Wingdings" w:ascii="Wingdings" w:hAnsi="Wingdings"/>
              </w:rPr>
              <w:sym w:font="Wingdings" w:char="f070"/>
            </w:r>
            <w:r>
              <w:rPr/>
              <w:t xml:space="preserve">Pending  </w:t>
            </w:r>
            <w:r>
              <w:rPr>
                <w:rFonts w:cs="Wingdings" w:ascii="Wingdings" w:hAnsi="Wingdings"/>
              </w:rPr>
              <w:sym w:font="Wingdings" w:char="f070"/>
            </w:r>
            <w:r>
              <w:rPr/>
              <w:t xml:space="preserve">Received  </w:t>
            </w:r>
            <w:r>
              <w:rPr>
                <w:rFonts w:cs="Wingdings" w:ascii="Wingdings" w:hAnsi="Wingdings"/>
              </w:rPr>
              <w:sym w:font="Wingdings" w:char="f070"/>
            </w:r>
            <w:r>
              <w:rPr/>
              <w:t xml:space="preserve">Denied  </w:t>
            </w:r>
            <w:r>
              <w:rPr>
                <w:rFonts w:cs="Wingdings" w:ascii="Wingdings" w:hAnsi="Wingdings"/>
              </w:rPr>
              <w:sym w:font="Wingdings" w:char="f070"/>
            </w:r>
            <w:r>
              <w:rPr/>
              <w:t>N/A</w:t>
            </w:r>
          </w:p>
        </w:tc>
      </w:tr>
    </w:tbl>
    <w:p>
      <w:pPr>
        <w:pStyle w:val="Normal"/>
        <w:rPr/>
      </w:pPr>
      <w:r>
        <w:rPr/>
        <w:t xml:space="preserve">RAC Recommendation: </w:t>
      </w:r>
      <w:r>
        <w:rPr>
          <w:rFonts w:cs="Wingdings" w:ascii="Wingdings" w:hAnsi="Wingdings"/>
        </w:rPr>
        <w:sym w:font="Wingdings" w:char="f070"/>
      </w:r>
      <w:r>
        <w:rPr/>
        <w:t xml:space="preserve">Proceed with Transaction    </w:t>
      </w:r>
      <w:r>
        <w:rPr>
          <w:rFonts w:cs="Wingdings" w:ascii="Wingdings" w:hAnsi="Wingdings"/>
        </w:rPr>
        <w:sym w:font="Wingdings" w:char="f070"/>
      </w:r>
      <w:r>
        <w:rPr/>
        <w:t xml:space="preserve">Returns below Capital Price   </w:t>
      </w:r>
      <w:r>
        <w:rPr>
          <w:rFonts w:cs="Wingdings" w:ascii="Wingdings" w:hAnsi="Wingdings"/>
        </w:rPr>
        <w:sym w:font="Wingdings" w:char="f070"/>
      </w:r>
      <w:r>
        <w:rPr/>
        <w:t>Do not Proceed</w:t>
      </w:r>
    </w:p>
    <w:p>
      <w:pPr>
        <w:pStyle w:val="Heading4"/>
        <w:pBdr>
          <w:top w:val="single" w:sz="8" w:space="1" w:color="000000"/>
        </w:pBdr>
        <w:tabs>
          <w:tab w:val="clear" w:pos="9990"/>
          <w:tab w:val="left" w:pos="10260" w:leader="none"/>
        </w:tabs>
        <w:rPr/>
      </w:pPr>
      <w:r>
        <w:rPr/>
        <w:t>APPROVAL AMOUNT REQUESTED</w:t>
      </w:r>
    </w:p>
    <w:p>
      <w:pPr>
        <w:pStyle w:val="Normal"/>
        <w:ind w:start="360" w:end="-36"/>
        <w:rPr/>
      </w:pPr>
      <w:r>
        <w:rPr/>
        <w:t>Capital Commitment</w:t>
        <w:tab/>
        <w:tab/>
        <w:t>$16,000</w:t>
      </w:r>
    </w:p>
    <w:p>
      <w:pPr>
        <w:pStyle w:val="Normal"/>
        <w:ind w:start="360" w:end="-306"/>
        <w:rPr/>
      </w:pPr>
      <w:r>
        <w:rPr/>
        <w:t>Bid Bond Amount</w:t>
        <w:tab/>
        <w:tab/>
        <w:t>NA</w:t>
      </w:r>
    </w:p>
    <w:p>
      <w:pPr>
        <w:pStyle w:val="Normal"/>
        <w:rPr/>
      </w:pPr>
      <w:r>
        <w:rPr/>
      </w:r>
    </w:p>
    <w:p>
      <w:pPr>
        <w:pStyle w:val="Heading1"/>
        <w:pBdr>
          <w:top w:val="single" w:sz="8" w:space="1" w:color="000000"/>
        </w:pBdr>
        <w:ind w:hanging="0" w:start="0" w:end="-36"/>
        <w:rPr/>
      </w:pPr>
      <w:r>
        <w:rPr/>
        <w:t>EXPOSURE SUMMARY</w:t>
      </w:r>
    </w:p>
    <w:p>
      <w:pPr>
        <w:pStyle w:val="Normal"/>
        <w:ind w:start="360" w:end="0"/>
        <w:rPr/>
      </w:pPr>
      <w:r>
        <w:rPr/>
        <w:t>This transaction:</w:t>
        <w:tab/>
        <w:tab/>
        <w:t>$16,000</w:t>
      </w:r>
    </w:p>
    <w:p>
      <w:pPr>
        <w:pStyle w:val="Normal"/>
        <w:ind w:start="360" w:end="0"/>
        <w:rPr/>
      </w:pPr>
      <w:r>
        <w:rPr/>
        <w:t>Total</w:t>
        <w:tab/>
        <w:tab/>
        <w:tab/>
        <w:t>$16,000</w:t>
      </w:r>
    </w:p>
    <w:p>
      <w:pPr>
        <w:pStyle w:val="Normal"/>
        <w:ind w:end="-36"/>
        <w:rPr/>
      </w:pPr>
      <w:r>
        <w:rPr/>
      </w:r>
    </w:p>
    <w:p>
      <w:pPr>
        <w:pStyle w:val="Heading2"/>
        <w:widowControl/>
        <w:pBdr>
          <w:top w:val="single" w:sz="8" w:space="1" w:color="000000"/>
        </w:pBdr>
        <w:ind w:hanging="0" w:start="0" w:end="-36"/>
        <w:rPr>
          <w:i w:val="false"/>
          <w:i w:val="false"/>
        </w:rPr>
      </w:pPr>
      <w:r>
        <w:rPr>
          <w:i w:val="false"/>
        </w:rPr>
        <w:t>DEAL DESCRIPTION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widowControl/>
        <w:pBdr>
          <w:top w:val="single" w:sz="8" w:space="1" w:color="000000"/>
        </w:pBdr>
        <w:ind w:hanging="0" w:start="0" w:end="-36"/>
        <w:rPr/>
      </w:pPr>
      <w:r>
        <w:rPr/>
        <w:t>TRANSACTION SOURCES AND USES OF FUNDS</w:t>
      </w:r>
    </w:p>
    <w:tbl>
      <w:tblPr>
        <w:tblW w:w="9180" w:type="dxa"/>
        <w:jc w:val="start"/>
        <w:tblInd w:w="3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1260"/>
        <w:gridCol w:w="1710"/>
        <w:gridCol w:w="2790"/>
        <w:gridCol w:w="1260"/>
      </w:tblGrid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u w:val="single"/>
              </w:rPr>
            </w:pPr>
            <w:r>
              <w:rPr>
                <w:u w:val="single"/>
              </w:rPr>
              <w:t>Sources</w:t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end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790" w:type="dxa"/>
            <w:tcBorders/>
          </w:tcPr>
          <w:p>
            <w:pPr>
              <w:pStyle w:val="Normal"/>
              <w:snapToGrid w:val="false"/>
              <w:jc w:val="end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u w:val="single"/>
              </w:rPr>
            </w:pPr>
            <w:r>
              <w:rPr>
                <w:u w:val="single"/>
              </w:rPr>
              <w:t>Uses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rPr/>
            </w:pPr>
            <w:r>
              <w:rPr/>
              <w:t>Subordinated Debt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$24,000</w:t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790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</w:tabs>
              <w:rPr/>
            </w:pPr>
            <w:r>
              <w:rPr/>
              <w:t>Capital Expenditure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$40,000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</w:tabs>
              <w:rPr/>
            </w:pPr>
            <w:r>
              <w:rPr/>
              <w:t>Enron Equity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$16,000</w:t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79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rPr/>
            </w:pPr>
            <w:r>
              <w:rPr/>
              <w:t>Total</w:t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$40,000</w:t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79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$40,000</w:t>
            </w:r>
          </w:p>
        </w:tc>
      </w:tr>
    </w:tbl>
    <w:p>
      <w:pPr>
        <w:pStyle w:val="Heading2"/>
        <w:widowControl/>
        <w:ind w:hanging="0" w:start="0" w:end="-36"/>
        <w:rPr>
          <w:i w:val="false"/>
          <w:i w:val="false"/>
        </w:rPr>
      </w:pPr>
      <w:r>
        <w:rPr>
          <w:i w:val="false"/>
        </w:rPr>
      </w:r>
    </w:p>
    <w:p>
      <w:pPr>
        <w:pStyle w:val="Heading2"/>
        <w:widowControl/>
        <w:pBdr>
          <w:top w:val="single" w:sz="8" w:space="1" w:color="000000"/>
        </w:pBdr>
        <w:ind w:hanging="0" w:start="0" w:end="-36"/>
        <w:rPr>
          <w:i w:val="false"/>
          <w:i w:val="false"/>
        </w:rPr>
      </w:pPr>
      <w:r>
        <w:rPr>
          <w:i w:val="false"/>
        </w:rPr>
        <w:t>RETURN SUMMARY</w:t>
      </w:r>
    </w:p>
    <w:tbl>
      <w:tblPr>
        <w:tblW w:w="9180" w:type="dxa"/>
        <w:jc w:val="start"/>
        <w:tblInd w:w="3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1260"/>
        <w:gridCol w:w="1170"/>
        <w:gridCol w:w="540"/>
        <w:gridCol w:w="2790"/>
        <w:gridCol w:w="1260"/>
      </w:tblGrid>
      <w:tr>
        <w:trPr>
          <w:trHeight w:val="360" w:hRule="atLeast"/>
        </w:trPr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Return Components:</w:t>
            </w:r>
          </w:p>
        </w:tc>
        <w:tc>
          <w:tcPr>
            <w:tcW w:w="1260" w:type="dxa"/>
            <w:tcBorders/>
          </w:tcPr>
          <w:p>
            <w:pPr>
              <w:pStyle w:val="Normal"/>
              <w:ind w:end="-63"/>
              <w:jc w:val="center"/>
              <w:rPr/>
            </w:pPr>
            <w:r>
              <w:rPr/>
              <w:t>PV @</w:t>
            </w:r>
          </w:p>
          <w:p>
            <w:pPr>
              <w:pStyle w:val="Normal"/>
              <w:ind w:end="-63"/>
              <w:jc w:val="center"/>
              <w:rPr>
                <w:u w:val="single"/>
              </w:rPr>
            </w:pPr>
            <w:r>
              <w:rPr>
                <w:u w:val="single"/>
              </w:rPr>
              <w:t>Capital Price</w:t>
            </w:r>
          </w:p>
        </w:tc>
        <w:tc>
          <w:tcPr>
            <w:tcW w:w="1170" w:type="dxa"/>
            <w:tcBorders/>
          </w:tcPr>
          <w:p>
            <w:pPr>
              <w:pStyle w:val="Heading3"/>
              <w:widowControl/>
              <w:ind w:end="-63"/>
              <w:jc w:val="center"/>
              <w:rPr>
                <w:b w:val="false"/>
              </w:rPr>
            </w:pPr>
            <w:r>
              <w:rPr>
                <w:b w:val="false"/>
              </w:rPr>
              <w:t>Cumulative</w:t>
            </w:r>
          </w:p>
          <w:p>
            <w:pPr>
              <w:pStyle w:val="Heading3"/>
              <w:widowControl/>
              <w:ind w:end="-63"/>
              <w:jc w:val="center"/>
              <w:rPr>
                <w:b w:val="false"/>
              </w:rPr>
            </w:pPr>
            <w:r>
              <w:rPr>
                <w:b w:val="false"/>
                <w:u w:val="single"/>
              </w:rPr>
              <w:t>IRR</w:t>
            </w:r>
          </w:p>
        </w:tc>
        <w:tc>
          <w:tcPr>
            <w:tcW w:w="540" w:type="dxa"/>
            <w:tcBorders/>
          </w:tcPr>
          <w:p>
            <w:pPr>
              <w:pStyle w:val="Heading3"/>
              <w:widowControl/>
              <w:snapToGrid w:val="false"/>
              <w:ind w:end="-63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790" w:type="dxa"/>
            <w:tcBorders/>
          </w:tcPr>
          <w:p>
            <w:pPr>
              <w:pStyle w:val="Heading3"/>
              <w:widowControl/>
              <w:snapToGrid w:val="false"/>
              <w:ind w:end="-63"/>
              <w:rPr>
                <w:b w:val="false"/>
              </w:rPr>
            </w:pPr>
            <w:r>
              <w:rPr>
                <w:b w:val="fals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Capital Price Components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ind w:end="-63"/>
              <w:rPr/>
            </w:pPr>
            <w:r>
              <w:rPr/>
            </w:r>
          </w:p>
        </w:tc>
      </w:tr>
      <w:tr>
        <w:trPr>
          <w:trHeight w:val="162" w:hRule="atLeast"/>
        </w:trPr>
        <w:tc>
          <w:tcPr>
            <w:tcW w:w="2160" w:type="dxa"/>
            <w:tcBorders/>
          </w:tcPr>
          <w:p>
            <w:pPr>
              <w:pStyle w:val="Heading9"/>
              <w:widowControl/>
              <w:tabs>
                <w:tab w:val="clear" w:pos="2870"/>
                <w:tab w:val="clear" w:pos="3617"/>
                <w:tab w:val="center" w:pos="2909" w:leader="none"/>
                <w:tab w:val="center" w:pos="4079" w:leader="none"/>
              </w:tabs>
              <w:ind w:start="0" w:end="-217"/>
              <w:rPr>
                <w:b w:val="false"/>
              </w:rPr>
            </w:pPr>
            <w:r>
              <w:rPr>
                <w:b w:val="false"/>
              </w:rPr>
              <w:t>Cash Outflows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($16,000)</w:t>
            </w:r>
          </w:p>
        </w:tc>
        <w:tc>
          <w:tcPr>
            <w:tcW w:w="1170" w:type="dxa"/>
            <w:tcBorders/>
          </w:tcPr>
          <w:p>
            <w:pPr>
              <w:pStyle w:val="Heading9"/>
              <w:widowControl/>
              <w:tabs>
                <w:tab w:val="decimal" w:pos="792" w:leader="none"/>
                <w:tab w:val="left" w:pos="2870" w:leader="none"/>
                <w:tab w:val="left" w:pos="3617" w:leader="none"/>
              </w:tabs>
              <w:ind w:start="0" w:end="-63"/>
              <w:jc w:val="center"/>
              <w:rPr>
                <w:b w:val="false"/>
              </w:rPr>
            </w:pPr>
            <w:r>
              <w:rPr>
                <w:b w:val="false"/>
              </w:rPr>
              <w:t>-</w:t>
            </w:r>
          </w:p>
        </w:tc>
        <w:tc>
          <w:tcPr>
            <w:tcW w:w="540" w:type="dxa"/>
            <w:tcBorders/>
          </w:tcPr>
          <w:p>
            <w:pPr>
              <w:pStyle w:val="Heading9"/>
              <w:widowControl/>
              <w:snapToGrid w:val="false"/>
              <w:ind w:start="0" w:end="-63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790" w:type="dxa"/>
            <w:tcBorders/>
          </w:tcPr>
          <w:p>
            <w:pPr>
              <w:pStyle w:val="Heading9"/>
              <w:widowControl/>
              <w:ind w:start="0" w:end="-63"/>
              <w:rPr>
                <w:b w:val="false"/>
              </w:rPr>
            </w:pPr>
            <w:r>
              <w:rPr>
                <w:b w:val="false"/>
              </w:rPr>
              <w:t>Risk free rate (%):</w:t>
            </w:r>
          </w:p>
        </w:tc>
        <w:tc>
          <w:tcPr>
            <w:tcW w:w="1260" w:type="dxa"/>
            <w:tcBorders/>
          </w:tcPr>
          <w:p>
            <w:pPr>
              <w:pStyle w:val="Normal"/>
              <w:ind w:end="-69"/>
              <w:jc w:val="end"/>
              <w:rPr/>
            </w:pPr>
            <w:r>
              <w:rPr/>
              <w:t>6.50%</w:t>
            </w:r>
          </w:p>
        </w:tc>
      </w:tr>
      <w:tr>
        <w:trPr>
          <w:trHeight w:val="189" w:hRule="atLeast"/>
        </w:trPr>
        <w:tc>
          <w:tcPr>
            <w:tcW w:w="2160" w:type="dxa"/>
            <w:tcBorders/>
          </w:tcPr>
          <w:p>
            <w:pPr>
              <w:pStyle w:val="Heading9"/>
              <w:widowControl/>
              <w:tabs>
                <w:tab w:val="clear" w:pos="2870"/>
                <w:tab w:val="clear" w:pos="3617"/>
                <w:tab w:val="center" w:pos="2909" w:leader="none"/>
                <w:tab w:val="center" w:pos="4079" w:leader="none"/>
              </w:tabs>
              <w:ind w:start="0" w:end="-217"/>
              <w:rPr>
                <w:b w:val="false"/>
              </w:rPr>
            </w:pPr>
            <w:r>
              <w:rPr>
                <w:b w:val="false"/>
              </w:rPr>
              <w:t>Fees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$0</w:t>
            </w:r>
          </w:p>
        </w:tc>
        <w:tc>
          <w:tcPr>
            <w:tcW w:w="1170" w:type="dxa"/>
            <w:tcBorders/>
          </w:tcPr>
          <w:p>
            <w:pPr>
              <w:pStyle w:val="Heading9"/>
              <w:widowControl/>
              <w:tabs>
                <w:tab w:val="decimal" w:pos="792" w:leader="none"/>
                <w:tab w:val="left" w:pos="2870" w:leader="none"/>
                <w:tab w:val="left" w:pos="3617" w:leader="none"/>
              </w:tabs>
              <w:ind w:start="0" w:end="-63"/>
              <w:jc w:val="center"/>
              <w:rPr>
                <w:b w:val="false"/>
              </w:rPr>
            </w:pPr>
            <w:r>
              <w:rPr>
                <w:b w:val="false"/>
              </w:rPr>
              <w:t>-</w:t>
            </w:r>
          </w:p>
        </w:tc>
        <w:tc>
          <w:tcPr>
            <w:tcW w:w="540" w:type="dxa"/>
            <w:tcBorders/>
          </w:tcPr>
          <w:p>
            <w:pPr>
              <w:pStyle w:val="Heading9"/>
              <w:widowControl/>
              <w:snapToGrid w:val="false"/>
              <w:ind w:start="0" w:end="-63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790" w:type="dxa"/>
            <w:tcBorders/>
          </w:tcPr>
          <w:p>
            <w:pPr>
              <w:pStyle w:val="Heading9"/>
              <w:widowControl/>
              <w:ind w:start="0" w:end="-63"/>
              <w:rPr>
                <w:b w:val="false"/>
              </w:rPr>
            </w:pPr>
            <w:r>
              <w:rPr>
                <w:b w:val="false"/>
              </w:rPr>
              <w:t>Equity/Credit premium (%):</w:t>
            </w:r>
          </w:p>
        </w:tc>
        <w:tc>
          <w:tcPr>
            <w:tcW w:w="1260" w:type="dxa"/>
            <w:tcBorders/>
          </w:tcPr>
          <w:p>
            <w:pPr>
              <w:pStyle w:val="Normal"/>
              <w:ind w:end="-69"/>
              <w:jc w:val="end"/>
              <w:rPr/>
            </w:pPr>
            <w:r>
              <w:rPr/>
              <w:t>5.02%</w:t>
            </w:r>
          </w:p>
        </w:tc>
      </w:tr>
      <w:tr>
        <w:trPr>
          <w:trHeight w:val="207" w:hRule="atLeast"/>
        </w:trPr>
        <w:tc>
          <w:tcPr>
            <w:tcW w:w="2160" w:type="dxa"/>
            <w:tcBorders/>
          </w:tcPr>
          <w:p>
            <w:pPr>
              <w:pStyle w:val="Heading9"/>
              <w:widowControl/>
              <w:tabs>
                <w:tab w:val="clear" w:pos="2870"/>
                <w:tab w:val="clear" w:pos="3617"/>
                <w:tab w:val="center" w:pos="2909" w:leader="none"/>
                <w:tab w:val="center" w:pos="4079" w:leader="none"/>
              </w:tabs>
              <w:ind w:start="0" w:end="-217"/>
              <w:rPr>
                <w:b w:val="false"/>
              </w:rPr>
            </w:pPr>
            <w:r>
              <w:rPr>
                <w:b w:val="false"/>
              </w:rPr>
              <w:t>Intermed. Cash Flows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$43,307</w:t>
            </w:r>
          </w:p>
        </w:tc>
        <w:tc>
          <w:tcPr>
            <w:tcW w:w="1170" w:type="dxa"/>
            <w:tcBorders/>
          </w:tcPr>
          <w:p>
            <w:pPr>
              <w:pStyle w:val="Heading9"/>
              <w:widowControl/>
              <w:tabs>
                <w:tab w:val="decimal" w:pos="792" w:leader="none"/>
                <w:tab w:val="left" w:pos="2870" w:leader="none"/>
                <w:tab w:val="left" w:pos="3617" w:leader="none"/>
              </w:tabs>
              <w:ind w:start="0" w:end="-63"/>
              <w:jc w:val="center"/>
              <w:rPr>
                <w:b w:val="false"/>
              </w:rPr>
            </w:pPr>
            <w:r>
              <w:rPr>
                <w:b w:val="false"/>
              </w:rPr>
              <w:t>11.19%</w:t>
            </w:r>
          </w:p>
        </w:tc>
        <w:tc>
          <w:tcPr>
            <w:tcW w:w="540" w:type="dxa"/>
            <w:tcBorders/>
          </w:tcPr>
          <w:p>
            <w:pPr>
              <w:pStyle w:val="Normal"/>
              <w:snapToGrid w:val="false"/>
              <w:ind w:end="-63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790" w:type="dxa"/>
            <w:tcBorders/>
          </w:tcPr>
          <w:p>
            <w:pPr>
              <w:pStyle w:val="Normal"/>
              <w:ind w:end="-63"/>
              <w:rPr/>
            </w:pPr>
            <w:r>
              <w:rPr/>
              <w:t>Country Premium (%):</w:t>
            </w:r>
          </w:p>
        </w:tc>
        <w:tc>
          <w:tcPr>
            <w:tcW w:w="1260" w:type="dxa"/>
            <w:tcBorders/>
          </w:tcPr>
          <w:p>
            <w:pPr>
              <w:pStyle w:val="Normal"/>
              <w:ind w:end="-63"/>
              <w:jc w:val="end"/>
              <w:rPr/>
            </w:pPr>
            <w:r>
              <w:rPr/>
              <w:t>3.00%</w:t>
            </w:r>
          </w:p>
        </w:tc>
      </w:tr>
      <w:tr>
        <w:trPr>
          <w:trHeight w:val="280" w:hRule="atLeast"/>
        </w:trPr>
        <w:tc>
          <w:tcPr>
            <w:tcW w:w="2160" w:type="dxa"/>
            <w:tcBorders/>
          </w:tcPr>
          <w:p>
            <w:pPr>
              <w:pStyle w:val="Heading9"/>
              <w:widowControl/>
              <w:tabs>
                <w:tab w:val="clear" w:pos="2870"/>
                <w:tab w:val="clear" w:pos="3617"/>
                <w:tab w:val="center" w:pos="2909" w:leader="none"/>
                <w:tab w:val="center" w:pos="4079" w:leader="none"/>
              </w:tabs>
              <w:ind w:start="0" w:end="-217"/>
              <w:rPr>
                <w:b w:val="false"/>
              </w:rPr>
            </w:pPr>
            <w:r>
              <w:rPr>
                <w:b w:val="false"/>
              </w:rPr>
              <w:t>Terminal Value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$3,664</w:t>
            </w:r>
          </w:p>
        </w:tc>
        <w:tc>
          <w:tcPr>
            <w:tcW w:w="1170" w:type="dxa"/>
            <w:tcBorders/>
          </w:tcPr>
          <w:p>
            <w:pPr>
              <w:pStyle w:val="Heading9"/>
              <w:widowControl/>
              <w:tabs>
                <w:tab w:val="decimal" w:pos="792" w:leader="none"/>
                <w:tab w:val="left" w:pos="2870" w:leader="none"/>
                <w:tab w:val="left" w:pos="3617" w:leader="none"/>
              </w:tabs>
              <w:ind w:start="0" w:end="-63"/>
              <w:jc w:val="center"/>
              <w:rPr>
                <w:b w:val="false"/>
              </w:rPr>
            </w:pPr>
            <w:r>
              <w:rPr>
                <w:b w:val="false"/>
              </w:rPr>
              <w:t>12.26%</w:t>
            </w:r>
          </w:p>
        </w:tc>
        <w:tc>
          <w:tcPr>
            <w:tcW w:w="540" w:type="dxa"/>
            <w:tcBorders/>
          </w:tcPr>
          <w:p>
            <w:pPr>
              <w:pStyle w:val="Heading9"/>
              <w:widowControl/>
              <w:snapToGrid w:val="false"/>
              <w:ind w:start="0" w:end="-63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790" w:type="dxa"/>
            <w:tcBorders/>
          </w:tcPr>
          <w:p>
            <w:pPr>
              <w:pStyle w:val="Heading9"/>
              <w:widowControl/>
              <w:ind w:start="0" w:end="-63"/>
              <w:rPr>
                <w:b w:val="false"/>
              </w:rPr>
            </w:pPr>
            <w:r>
              <w:rPr>
                <w:b w:val="false"/>
              </w:rPr>
              <w:t>Transaction-Specific (%):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360"/>
                <w:tab w:val="left" w:pos="432" w:leader="none"/>
              </w:tabs>
              <w:ind w:end="-63"/>
              <w:jc w:val="end"/>
              <w:rPr/>
            </w:pPr>
            <w:r>
              <w:rPr/>
              <w:t>1.48%</w:t>
            </w:r>
          </w:p>
        </w:tc>
      </w:tr>
      <w:tr>
        <w:trPr>
          <w:trHeight w:val="195" w:hRule="atLeast"/>
        </w:trPr>
        <w:tc>
          <w:tcPr>
            <w:tcW w:w="21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Heading9"/>
              <w:widowControl/>
              <w:tabs>
                <w:tab w:val="clear" w:pos="2870"/>
                <w:tab w:val="clear" w:pos="3617"/>
                <w:tab w:val="center" w:pos="2909" w:leader="none"/>
                <w:tab w:val="center" w:pos="4079" w:leader="none"/>
              </w:tabs>
              <w:ind w:start="0" w:end="-217"/>
              <w:rPr/>
            </w:pPr>
            <w:r>
              <w:rPr/>
              <w:t>Total NPV</w:t>
            </w:r>
          </w:p>
        </w:tc>
        <w:tc>
          <w:tcPr>
            <w:tcW w:w="126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($16,450)</w:t>
            </w:r>
          </w:p>
        </w:tc>
        <w:tc>
          <w:tcPr>
            <w:tcW w:w="1170" w:type="dxa"/>
            <w:tcBorders>
              <w:top w:val="single" w:sz="12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Heading9"/>
              <w:widowControl/>
              <w:tabs>
                <w:tab w:val="decimal" w:pos="792" w:leader="none"/>
                <w:tab w:val="left" w:pos="2870" w:leader="none"/>
                <w:tab w:val="left" w:pos="3617" w:leader="none"/>
              </w:tabs>
              <w:ind w:start="0" w:end="-108"/>
              <w:jc w:val="center"/>
              <w:rPr/>
            </w:pPr>
            <w:r>
              <w:rPr/>
              <w:t>12.26%</w:t>
            </w:r>
          </w:p>
        </w:tc>
        <w:tc>
          <w:tcPr>
            <w:tcW w:w="540" w:type="dxa"/>
            <w:tcBorders/>
          </w:tcPr>
          <w:p>
            <w:pPr>
              <w:pStyle w:val="Heading9"/>
              <w:widowControl/>
              <w:snapToGrid w:val="false"/>
              <w:ind w:start="0" w:end="-108"/>
              <w:rPr/>
            </w:pPr>
            <w:r>
              <w:rPr/>
            </w:r>
          </w:p>
        </w:tc>
        <w:tc>
          <w:tcPr>
            <w:tcW w:w="2790" w:type="dxa"/>
            <w:tcBorders>
              <w:top w:val="single" w:sz="12" w:space="0" w:color="000000"/>
              <w:start w:val="single" w:sz="4" w:space="0" w:color="000000"/>
              <w:bottom w:val="single" w:sz="12" w:space="0" w:color="000000"/>
            </w:tcBorders>
          </w:tcPr>
          <w:p>
            <w:pPr>
              <w:pStyle w:val="Heading9"/>
              <w:widowControl/>
              <w:ind w:start="0" w:end="72"/>
              <w:rPr/>
            </w:pPr>
            <w:r>
              <w:rPr/>
              <w:t>RAC CAPITAL PRICE:</w:t>
            </w:r>
          </w:p>
        </w:tc>
        <w:tc>
          <w:tcPr>
            <w:tcW w:w="1260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360"/>
                <w:tab w:val="left" w:pos="432" w:leader="none"/>
              </w:tabs>
              <w:ind w:end="-63"/>
              <w:jc w:val="end"/>
              <w:rPr>
                <w:b/>
              </w:rPr>
            </w:pPr>
            <w:r>
              <w:rPr>
                <w:b/>
              </w:rPr>
              <w:t>16.00%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180" w:type="dxa"/>
        <w:jc w:val="start"/>
        <w:tblInd w:w="3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1260"/>
        <w:gridCol w:w="1710"/>
        <w:gridCol w:w="2790"/>
        <w:gridCol w:w="1260"/>
      </w:tblGrid>
      <w:tr>
        <w:trPr/>
        <w:tc>
          <w:tcPr>
            <w:tcW w:w="2160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</w:tabs>
              <w:rPr/>
            </w:pPr>
            <w:r>
              <w:rPr/>
              <w:t>E-Rating</w:t>
            </w:r>
          </w:p>
        </w:tc>
        <w:tc>
          <w:tcPr>
            <w:tcW w:w="1260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12</w:t>
            </w:r>
          </w:p>
        </w:tc>
        <w:tc>
          <w:tcPr>
            <w:tcW w:w="1710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</w:tabs>
              <w:rPr/>
            </w:pPr>
            <w:r>
              <w:rPr/>
              <w:t>Relative upside  ratio</w:t>
            </w:r>
          </w:p>
        </w:tc>
        <w:tc>
          <w:tcPr>
            <w:tcW w:w="1260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1.6</w:t>
            </w:r>
          </w:p>
        </w:tc>
      </w:tr>
    </w:tbl>
    <w:p>
      <w:pPr>
        <w:pStyle w:val="Header"/>
        <w:widowControl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numPr>
          <w:ilvl w:val="0"/>
          <w:numId w:val="0"/>
        </w:numPr>
        <w:rPr/>
      </w:pPr>
      <w:r>
        <w:rPr/>
      </w:r>
      <w:r>
        <w:br w:type="page"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1097280</wp:posOffset>
                </wp:positionH>
                <wp:positionV relativeFrom="paragraph">
                  <wp:posOffset>123190</wp:posOffset>
                </wp:positionV>
                <wp:extent cx="274320" cy="18288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18288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1.6pt;height:14.4pt;mso-wrap-distance-left:9.05pt;mso-wrap-distance-right:9.05pt;mso-wrap-distance-top:0pt;mso-wrap-distance-bottom:0pt;margin-top:9.7pt;mso-position-vertical-relative:text;margin-left:86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274320</wp:posOffset>
            </wp:positionH>
            <wp:positionV relativeFrom="paragraph">
              <wp:posOffset>-109220</wp:posOffset>
            </wp:positionV>
            <wp:extent cx="3190875" cy="2266950"/>
            <wp:effectExtent l="0" t="0" r="0" b="0"/>
            <wp:wrapNone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2103120</wp:posOffset>
                </wp:positionH>
                <wp:positionV relativeFrom="paragraph">
                  <wp:posOffset>1270</wp:posOffset>
                </wp:positionV>
                <wp:extent cx="914400" cy="274320"/>
                <wp:effectExtent l="0" t="0" r="0" b="0"/>
                <wp:wrapNone/>
                <wp:docPr id="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Expected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pt;height:21.6pt;mso-wrap-distance-left:9.05pt;mso-wrap-distance-right:9.05pt;mso-wrap-distance-top:0pt;mso-wrap-distance-bottom:0pt;margin-top:0.1pt;mso-position-vertical-relative:text;margin-left:165.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Expected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1005840</wp:posOffset>
                </wp:positionH>
                <wp:positionV relativeFrom="paragraph">
                  <wp:posOffset>20320</wp:posOffset>
                </wp:positionV>
                <wp:extent cx="457200" cy="274320"/>
                <wp:effectExtent l="0" t="0" r="0" b="0"/>
                <wp:wrapNone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P5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6pt;height:21.6pt;mso-wrap-distance-left:9.05pt;mso-wrap-distance-right:9.05pt;mso-wrap-distance-top:0pt;mso-wrap-distance-bottom:0pt;margin-top:1.6pt;mso-position-vertical-relative:text;margin-left:79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P5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2743200</wp:posOffset>
                </wp:positionH>
                <wp:positionV relativeFrom="paragraph">
                  <wp:posOffset>20320</wp:posOffset>
                </wp:positionV>
                <wp:extent cx="548640" cy="274320"/>
                <wp:effectExtent l="0" t="0" r="0" b="0"/>
                <wp:wrapNone/>
                <wp:docPr id="5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P95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.2pt;height:21.6pt;mso-wrap-distance-left:9.05pt;mso-wrap-distance-right:9.05pt;mso-wrap-distance-top:0pt;mso-wrap-distance-bottom:0pt;margin-top:1.6pt;mso-position-vertical-relative:text;margin-left:21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P95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w:object w:dxaOrig="9480" w:dyaOrig="3630"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position:absolute;margin-left:21.6pt;margin-top:6.1pt;width:360pt;height:158.8pt;mso-wrap-distance-left:9.05pt;mso-wrap-distance-right:9.05pt;mso-position-horizontal-relative:text;mso-position-vertical-relative:text" filled="f" o:ole="">
            <v:imagedata r:id="rId4" o:title=""/>
          </v:shape>
          <o:OLEObject Type="Embed" ProgID="" ShapeID="ole_rId3" DrawAspect="Content" ObjectID="_1977213494" r:id="rId3"/>
        </w:object>
      </w:r>
    </w:p>
    <w:p>
      <w:pPr>
        <w:pStyle w:val="Heading1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widowControl/>
        <w:pBdr>
          <w:top w:val="single" w:sz="8" w:space="1" w:color="000000"/>
        </w:pBdr>
        <w:ind w:hanging="0" w:start="0" w:end="-36"/>
        <w:rPr>
          <w:b w:val="false"/>
          <w:i w:val="false"/>
          <w:i w:val="false"/>
        </w:rPr>
      </w:pPr>
      <w:r>
        <w:rPr>
          <w:i w:val="false"/>
        </w:rPr>
        <w:t>TRANSACTION UPSIDES/OPTIONALITY</w:t>
      </w:r>
    </w:p>
    <w:p>
      <w:pPr>
        <w:pStyle w:val="Heading2"/>
        <w:widowControl/>
        <w:ind w:hanging="0" w:start="0"/>
        <w:rPr>
          <w:b w:val="false"/>
          <w:i w:val="false"/>
          <w:i w:val="false"/>
        </w:rPr>
      </w:pPr>
      <w:r>
        <w:rPr>
          <w:b w:val="false"/>
          <w:i w:val="false"/>
        </w:rPr>
        <w:t>(include chart to show impact if appropriate)</w:t>
      </w:r>
    </w:p>
    <w:p>
      <w:pPr>
        <w:pStyle w:val="Normal"/>
        <w:ind w:end="-36"/>
        <w:rPr>
          <w:b/>
          <w:i/>
          <w:i/>
        </w:rPr>
      </w:pPr>
      <w:r>
        <w:rPr>
          <w:b/>
          <w:i/>
        </w:rPr>
      </w:r>
    </w:p>
    <w:p>
      <w:pPr>
        <w:pStyle w:val="Normal"/>
        <w:ind w:end="-36"/>
        <w:rPr/>
      </w:pPr>
      <w:r>
        <w:rPr/>
      </w:r>
    </w:p>
    <w:p>
      <w:pPr>
        <w:pStyle w:val="Normal"/>
        <w:pBdr>
          <w:top w:val="single" w:sz="8" w:space="0" w:color="000000"/>
        </w:pBdr>
        <w:ind w:end="-36"/>
        <w:rPr/>
      </w:pPr>
      <w:r>
        <w:rPr>
          <w:b/>
        </w:rPr>
        <w:t>EXIT STRATEGY</w:t>
      </w:r>
      <w:r>
        <w:rPr/>
        <w:t xml:space="preserve"> (Merchant investments only)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492240" cy="0"/>
                <wp:effectExtent l="0" t="5080" r="0" b="508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pt" to="511.15pt,1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>MILESTONES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widowControl/>
        <w:pBdr>
          <w:top w:val="single" w:sz="8" w:space="1" w:color="000000"/>
        </w:pBdr>
        <w:ind w:hanging="0" w:start="0" w:end="-36"/>
        <w:rPr/>
      </w:pPr>
      <w:r>
        <w:rPr>
          <w:i w:val="false"/>
        </w:rPr>
        <w:t xml:space="preserve">RISK MATRIX </w:t>
      </w:r>
      <w:r>
        <w:rPr>
          <w:b w:val="false"/>
          <w:i w:val="false"/>
        </w:rPr>
        <w:t>(Maximum 5)</w:t>
      </w:r>
    </w:p>
    <w:p>
      <w:pPr>
        <w:pStyle w:val="Header"/>
        <w:widowControl/>
        <w:tabs>
          <w:tab w:val="clear" w:pos="4320"/>
          <w:tab w:val="clear" w:pos="8640"/>
        </w:tabs>
        <w:rPr>
          <w:b/>
          <w:i/>
          <w:i/>
        </w:rPr>
      </w:pPr>
      <w:r>
        <w:rPr>
          <w:b/>
          <w:i/>
        </w:rPr>
      </w:r>
    </w:p>
    <w:tbl>
      <w:tblPr>
        <w:tblW w:w="9990" w:type="dxa"/>
        <w:jc w:val="start"/>
        <w:tblInd w:w="3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20"/>
        <w:gridCol w:w="5670"/>
      </w:tblGrid>
      <w:tr>
        <w:trPr/>
        <w:tc>
          <w:tcPr>
            <w:tcW w:w="4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DESCRIPTION</w:t>
            </w:r>
          </w:p>
        </w:tc>
        <w:tc>
          <w:tcPr>
            <w:tcW w:w="56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b/>
              </w:rPr>
            </w:pPr>
            <w:r>
              <w:rPr>
                <w:b/>
              </w:rPr>
              <w:t>MITIGATION/COMMENTS</w:t>
            </w:r>
          </w:p>
        </w:tc>
      </w:tr>
      <w:tr>
        <w:trPr/>
        <w:tc>
          <w:tcPr>
            <w:tcW w:w="4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Construction Cost Overruns and Delays</w:t>
            </w:r>
          </w:p>
        </w:tc>
        <w:tc>
          <w:tcPr>
            <w:tcW w:w="56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Management Risk</w:t>
            </w:r>
          </w:p>
        </w:tc>
        <w:tc>
          <w:tcPr>
            <w:tcW w:w="56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Heat Rate Risk</w:t>
            </w:r>
          </w:p>
        </w:tc>
        <w:tc>
          <w:tcPr>
            <w:tcW w:w="56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Operator Risk</w:t>
            </w:r>
          </w:p>
        </w:tc>
        <w:tc>
          <w:tcPr>
            <w:tcW w:w="56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Operating Expense Risk </w:t>
            </w:r>
          </w:p>
        </w:tc>
        <w:tc>
          <w:tcPr>
            <w:tcW w:w="56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b/>
        </w:rPr>
      </w:pPr>
      <w:r>
        <w:rPr>
          <w:b/>
        </w:rPr>
        <w:t>KEY SUCCESS FACTORS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990" w:type="dxa"/>
        <w:jc w:val="start"/>
        <w:tblInd w:w="3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1170"/>
        <w:gridCol w:w="1170"/>
        <w:gridCol w:w="1170"/>
        <w:gridCol w:w="1170"/>
        <w:gridCol w:w="1170"/>
        <w:gridCol w:w="1170"/>
      </w:tblGrid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Poor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Fair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Good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Very Good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Excellent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widowControl/>
              <w:tabs>
                <w:tab w:val="clear" w:pos="4320"/>
                <w:tab w:val="clear" w:pos="8640"/>
              </w:tabs>
              <w:rPr/>
            </w:pPr>
            <w:r>
              <w:rPr/>
              <w:t>Core Business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Strategic Fit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Upside Potential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Management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Risk Mitigation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Header"/>
        <w:widowControl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pBdr>
          <w:top w:val="single" w:sz="8" w:space="1" w:color="000000"/>
        </w:pBdr>
        <w:rPr>
          <w:b/>
        </w:rPr>
      </w:pPr>
      <w:r>
        <w:rPr>
          <w:b/>
        </w:rPr>
        <w:t xml:space="preserve">OTHER RAC COMMENTS: 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3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360"/>
        <w:gridCol w:w="2932"/>
        <w:gridCol w:w="354"/>
        <w:gridCol w:w="2924"/>
        <w:gridCol w:w="293"/>
        <w:gridCol w:w="1057"/>
      </w:tblGrid>
      <w:tr>
        <w:trPr>
          <w:trHeight w:val="405" w:hRule="atLeast"/>
        </w:trPr>
        <w:tc>
          <w:tcPr>
            <w:tcW w:w="2448" w:type="dxa"/>
            <w:tcBorders>
              <w:top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>
                <w:i/>
                <w:i/>
              </w:rPr>
            </w:pPr>
            <w:r>
              <w:rPr/>
              <w:t>APPROVALS</w:t>
            </w:r>
          </w:p>
        </w:tc>
        <w:tc>
          <w:tcPr>
            <w:tcW w:w="3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keepNext w:val="true"/>
              <w:snapToGrid w:val="false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93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keepNext w:val="true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keepNext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9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keepNext w:val="true"/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29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keepNext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57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keepNext w:val="true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>
        <w:trPr>
          <w:trHeight w:val="297" w:hRule="atLeast"/>
        </w:trPr>
        <w:tc>
          <w:tcPr>
            <w:tcW w:w="2448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Regional Mgmt.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2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354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24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1057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Tax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354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10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Legal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Mark Haedicke</w:t>
            </w:r>
          </w:p>
        </w:tc>
        <w:tc>
          <w:tcPr>
            <w:tcW w:w="354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10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RAC Management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Rick Buy</w:t>
            </w:r>
          </w:p>
        </w:tc>
        <w:tc>
          <w:tcPr>
            <w:tcW w:w="354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1057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Enron Capital Management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Andy Fastow/Jeff McMahon</w:t>
            </w:r>
          </w:p>
        </w:tc>
        <w:tc>
          <w:tcPr>
            <w:tcW w:w="354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10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ENE Management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2" w:type="dxa"/>
            <w:tcBorders>
              <w:top w:val="single" w:sz="6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Jeffrey Skilling</w:t>
            </w:r>
          </w:p>
        </w:tc>
        <w:tc>
          <w:tcPr>
            <w:tcW w:w="354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24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1057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2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354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24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1057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Other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2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354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24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1057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2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354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24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1057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354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1057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  <w:r>
        <w:br w:type="page"/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  <w:t>Global Finance Summary (addendum to DASH)</w:t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jc w:val="end"/>
        <w:rPr>
          <w:b/>
          <w:u w:val="single"/>
        </w:rPr>
      </w:pPr>
      <w:r>
        <w:rPr>
          <w:b/>
          <w:u w:val="single"/>
        </w:rPr>
      </w:r>
    </w:p>
    <w:tbl>
      <w:tblPr>
        <w:tblW w:w="1017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920"/>
        <w:gridCol w:w="2250"/>
      </w:tblGrid>
      <w:tr>
        <w:trPr/>
        <w:tc>
          <w:tcPr>
            <w:tcW w:w="7920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360"/>
              </w:tabs>
              <w:ind w:hanging="0" w:start="-108" w:end="0"/>
              <w:rPr/>
            </w:pPr>
            <w:r>
              <w:rPr/>
              <w:t>Transaction Summary:</w:t>
              <w:br/>
            </w: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Amount ($000)</w:t>
            </w:r>
          </w:p>
        </w:tc>
      </w:tr>
      <w:tr>
        <w:trPr/>
        <w:tc>
          <w:tcPr>
            <w:tcW w:w="7920" w:type="dxa"/>
            <w:tcBorders/>
          </w:tcPr>
          <w:p>
            <w:pPr>
              <w:pStyle w:val="Normal"/>
              <w:rPr/>
            </w:pPr>
            <w:r>
              <w:rPr/>
              <w:t>Total Deal/Project Capital Commitment</w:t>
            </w:r>
          </w:p>
        </w:tc>
        <w:tc>
          <w:tcPr>
            <w:tcW w:w="22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$10,000</w:t>
            </w:r>
          </w:p>
        </w:tc>
      </w:tr>
      <w:tr>
        <w:trPr/>
        <w:tc>
          <w:tcPr>
            <w:tcW w:w="7920" w:type="dxa"/>
            <w:tcBorders/>
          </w:tcPr>
          <w:p>
            <w:pPr>
              <w:pStyle w:val="Normal"/>
              <w:rPr/>
            </w:pPr>
            <w:r>
              <w:rPr/>
              <w:t>Less: Financings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-0-</w:t>
            </w:r>
          </w:p>
        </w:tc>
      </w:tr>
      <w:tr>
        <w:trPr/>
        <w:tc>
          <w:tcPr>
            <w:tcW w:w="7920" w:type="dxa"/>
            <w:tcBorders/>
          </w:tcPr>
          <w:p>
            <w:pPr>
              <w:pStyle w:val="Normal"/>
              <w:rPr/>
            </w:pPr>
            <w:r>
              <w:rPr/>
              <w:t>Less: Syndications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-0-</w:t>
            </w:r>
          </w:p>
        </w:tc>
      </w:tr>
      <w:tr>
        <w:trPr/>
        <w:tc>
          <w:tcPr>
            <w:tcW w:w="7920" w:type="dxa"/>
            <w:tcBorders/>
          </w:tcPr>
          <w:p>
            <w:pPr>
              <w:pStyle w:val="Normal"/>
              <w:rPr/>
            </w:pPr>
            <w:r>
              <w:rPr/>
              <w:t>Net Enron Investment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$10,000</w:t>
            </w:r>
          </w:p>
        </w:tc>
      </w:tr>
      <w:tr>
        <w:trPr>
          <w:trHeight w:val="60" w:hRule="exact"/>
        </w:trPr>
        <w:tc>
          <w:tcPr>
            <w:tcW w:w="792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>
          <w:trHeight w:val="23" w:hRule="exact"/>
        </w:trPr>
        <w:tc>
          <w:tcPr>
            <w:tcW w:w="792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jc w:val="end"/>
              <w:rPr/>
            </w:pPr>
            <w:r>
              <w:rPr/>
              <w:br/>
            </w:r>
          </w:p>
        </w:tc>
      </w:tr>
    </w:tbl>
    <w:p>
      <w:pPr>
        <w:pStyle w:val="Normal"/>
        <w:rPr/>
      </w:pPr>
      <w:r>
        <w:rPr/>
      </w:r>
    </w:p>
    <w:p>
      <w:pPr>
        <w:pStyle w:val="List"/>
        <w:numPr>
          <w:ilvl w:val="0"/>
          <w:numId w:val="7"/>
        </w:numPr>
        <w:rPr/>
      </w:pPr>
      <w:r>
        <w:rPr/>
        <w:t>Investment terms and pricing:</w:t>
        <w:tab/>
        <w:tab/>
        <w:tab/>
      </w:r>
      <w:r>
        <w:rPr>
          <w:rFonts w:eastAsia="Monotype Sorts" w:cs="Monotype Sorts" w:ascii="Monotype Sorts" w:hAnsi="Monotype Sorts"/>
        </w:rPr>
        <w:sym w:font="Monotype Sorts" w:char="f06f"/>
      </w:r>
      <w:r>
        <w:rPr/>
        <w:t xml:space="preserve"> Market</w:t>
        <w:tab/>
      </w:r>
      <w:r>
        <w:rPr>
          <w:rFonts w:eastAsia="Monotype Sorts" w:cs="Monotype Sorts" w:ascii="Monotype Sorts" w:hAnsi="Monotype Sorts"/>
        </w:rPr>
        <w:sym w:font="Monotype Sorts" w:char="f06f"/>
      </w:r>
      <w:r>
        <w:rPr/>
        <w:t xml:space="preserve"> Above Market</w:t>
        <w:tab/>
      </w:r>
      <w:r>
        <w:rPr>
          <w:rFonts w:eastAsia="Monotype Sorts" w:cs="Monotype Sorts" w:ascii="Monotype Sorts" w:hAnsi="Monotype Sorts"/>
        </w:rPr>
        <w:sym w:font="Monotype Sorts" w:char="f06f"/>
      </w:r>
      <w:r>
        <w:rPr/>
        <w:t xml:space="preserve"> Below Market</w:t>
        <w:br/>
        <w:br/>
        <w:t>Describe (if necessary):</w:t>
        <w:br/>
        <w:br/>
      </w:r>
    </w:p>
    <w:p>
      <w:pPr>
        <w:pStyle w:val="List"/>
        <w:numPr>
          <w:ilvl w:val="0"/>
          <w:numId w:val="7"/>
        </w:numPr>
        <w:rPr/>
      </w:pPr>
      <w:r>
        <w:rPr/>
        <w:t>Financing terms and pricing:</w:t>
        <w:tab/>
        <w:tab/>
        <w:tab/>
      </w:r>
      <w:r>
        <w:rPr>
          <w:rFonts w:eastAsia="Monotype Sorts" w:cs="Monotype Sorts" w:ascii="Monotype Sorts" w:hAnsi="Monotype Sorts"/>
        </w:rPr>
        <w:sym w:font="Monotype Sorts" w:char="f06f"/>
      </w:r>
      <w:r>
        <w:rPr/>
        <w:t xml:space="preserve"> Market</w:t>
        <w:tab/>
      </w:r>
      <w:r>
        <w:rPr>
          <w:rFonts w:eastAsia="Monotype Sorts" w:cs="Monotype Sorts" w:ascii="Monotype Sorts" w:hAnsi="Monotype Sorts"/>
        </w:rPr>
        <w:sym w:font="Monotype Sorts" w:char="f06f"/>
      </w:r>
      <w:r>
        <w:rPr/>
        <w:t xml:space="preserve"> Above Market</w:t>
        <w:tab/>
      </w:r>
      <w:r>
        <w:rPr>
          <w:rFonts w:eastAsia="Monotype Sorts" w:cs="Monotype Sorts" w:ascii="Monotype Sorts" w:hAnsi="Monotype Sorts"/>
        </w:rPr>
        <w:sym w:font="Monotype Sorts" w:char="f06f"/>
      </w:r>
      <w:r>
        <w:rPr/>
        <w:t xml:space="preserve"> Below Market</w:t>
        <w:br/>
        <w:br/>
        <w:t>Describe (if necessary):</w:t>
        <w:br/>
        <w:br/>
      </w:r>
    </w:p>
    <w:p>
      <w:pPr>
        <w:pStyle w:val="List"/>
        <w:numPr>
          <w:ilvl w:val="0"/>
          <w:numId w:val="7"/>
        </w:numPr>
        <w:rPr/>
      </w:pPr>
      <w:r>
        <w:rPr/>
        <w:t>Legal or practical liquidity restrictions:</w:t>
        <w:tab/>
        <w:tab/>
      </w:r>
      <w:r>
        <w:rPr>
          <w:rFonts w:eastAsia="Monotype Sorts" w:cs="Monotype Sorts" w:ascii="Monotype Sorts" w:hAnsi="Monotype Sorts"/>
        </w:rPr>
        <w:sym w:font="Monotype Sorts" w:char="f06f"/>
      </w:r>
      <w:r>
        <w:rPr/>
        <w:t xml:space="preserve"> Unrestricted</w:t>
        <w:tab/>
      </w:r>
      <w:r>
        <w:rPr>
          <w:rFonts w:eastAsia="Monotype Sorts" w:cs="Monotype Sorts" w:ascii="Monotype Sorts" w:hAnsi="Monotype Sorts"/>
        </w:rPr>
        <w:sym w:font="Monotype Sorts" w:char="f06f"/>
      </w:r>
      <w:r>
        <w:rPr/>
        <w:t xml:space="preserve"> Legally Restricted</w:t>
        <w:tab/>
      </w:r>
      <w:r>
        <w:rPr>
          <w:rFonts w:eastAsia="Monotype Sorts" w:cs="Monotype Sorts" w:ascii="Monotype Sorts" w:hAnsi="Monotype Sorts"/>
        </w:rPr>
        <w:sym w:font="Monotype Sorts" w:char="f06f"/>
      </w:r>
      <w:r>
        <w:rPr/>
        <w:t xml:space="preserve"> Practically Restricted</w:t>
        <w:br/>
        <w:br/>
        <w:t>Describe (if necessary):</w:t>
        <w:br/>
        <w:br/>
      </w:r>
    </w:p>
    <w:p>
      <w:pPr>
        <w:pStyle w:val="List"/>
        <w:numPr>
          <w:ilvl w:val="0"/>
          <w:numId w:val="7"/>
        </w:numPr>
        <w:rPr/>
      </w:pPr>
      <w:r>
        <w:rPr/>
        <w:t>Any recourse to Enron (other than investment):</w:t>
        <w:tab/>
        <w:tab/>
        <w:tab/>
      </w:r>
      <w:r>
        <w:rPr>
          <w:rFonts w:eastAsia="Monotype Sorts" w:cs="Monotype Sorts" w:ascii="Monotype Sorts" w:hAnsi="Monotype Sorts"/>
        </w:rPr>
        <w:sym w:font="Monotype Sorts" w:char="f06f"/>
      </w:r>
      <w:r>
        <w:rPr/>
        <w:t xml:space="preserve"> Recourse</w:t>
        <w:tab/>
        <w:tab/>
      </w:r>
      <w:r>
        <w:rPr>
          <w:rFonts w:eastAsia="Monotype Sorts" w:cs="Monotype Sorts" w:ascii="Monotype Sorts" w:hAnsi="Monotype Sorts"/>
        </w:rPr>
        <w:sym w:font="Monotype Sorts" w:char="f06f"/>
      </w:r>
      <w:r>
        <w:rPr/>
        <w:t xml:space="preserve"> No Recourse</w:t>
        <w:br/>
        <w:br/>
        <w:t>Describe (if any):</w:t>
        <w:br/>
        <w:br/>
      </w:r>
    </w:p>
    <w:p>
      <w:pPr>
        <w:pStyle w:val="List"/>
        <w:numPr>
          <w:ilvl w:val="0"/>
          <w:numId w:val="4"/>
        </w:numPr>
        <w:tabs>
          <w:tab w:val="clear" w:pos="360"/>
        </w:tabs>
        <w:rPr/>
      </w:pPr>
      <w:r>
        <w:rPr/>
        <w:t>Business unit intent to syndicate:</w:t>
        <w:tab/>
        <w:tab/>
        <w:tab/>
      </w:r>
      <w:r>
        <w:rPr>
          <w:rFonts w:eastAsia="Monotype Sorts" w:cs="Monotype Sorts" w:ascii="Monotype Sorts" w:hAnsi="Monotype Sorts"/>
        </w:rPr>
        <w:sym w:font="Monotype Sorts" w:char="f06f"/>
      </w:r>
      <w:r>
        <w:rPr/>
        <w:t xml:space="preserve"> None</w:t>
        <w:tab/>
        <w:tab/>
      </w:r>
      <w:r>
        <w:rPr>
          <w:rFonts w:eastAsia="Monotype Sorts" w:cs="Monotype Sorts" w:ascii="Monotype Sorts" w:hAnsi="Monotype Sorts"/>
        </w:rPr>
        <w:sym w:font="Monotype Sorts" w:char="f06f"/>
      </w:r>
      <w:r>
        <w:rPr/>
        <w:t xml:space="preserve"> Partial</w:t>
        <w:tab/>
        <w:tab/>
      </w:r>
      <w:r>
        <w:rPr>
          <w:rFonts w:eastAsia="Monotype Sorts" w:cs="Monotype Sorts" w:ascii="Monotype Sorts" w:hAnsi="Monotype Sorts"/>
        </w:rPr>
        <w:sym w:font="Monotype Sorts" w:char="f06f"/>
      </w:r>
      <w:r>
        <w:rPr/>
        <w:t xml:space="preserve"> All</w:t>
        <w:br/>
        <w:br/>
        <w:t>Describe (if necessary):</w:t>
        <w:br/>
        <w:br/>
      </w:r>
    </w:p>
    <w:p>
      <w:pPr>
        <w:pStyle w:val="Normal"/>
        <w:numPr>
          <w:ilvl w:val="0"/>
          <w:numId w:val="8"/>
        </w:numPr>
        <w:tabs>
          <w:tab w:val="clear" w:pos="360"/>
        </w:tabs>
        <w:rPr/>
      </w:pPr>
      <w:r>
        <w:rPr/>
        <w:t>Intended Enron hold period:</w:t>
        <w:br/>
        <w:br/>
      </w:r>
    </w:p>
    <w:p>
      <w:pPr>
        <w:pStyle w:val="Normal"/>
        <w:numPr>
          <w:ilvl w:val="0"/>
          <w:numId w:val="2"/>
        </w:numPr>
        <w:tabs>
          <w:tab w:val="clear" w:pos="360"/>
        </w:tabs>
        <w:rPr/>
      </w:pPr>
      <w:r>
        <w:rPr/>
        <w:t>Likely Syndication Market:</w:t>
        <w:tab/>
        <w:tab/>
        <w:tab/>
      </w:r>
      <w:r>
        <w:rPr>
          <w:rFonts w:eastAsia="Monotype Sorts" w:cs="Monotype Sorts" w:ascii="Monotype Sorts" w:hAnsi="Monotype Sorts"/>
        </w:rPr>
        <w:sym w:font="Monotype Sorts" w:char="f06f"/>
      </w:r>
      <w:r>
        <w:rPr/>
        <w:t xml:space="preserve"> Industry/Strategic Partner</w:t>
        <w:tab/>
      </w:r>
      <w:r>
        <w:rPr>
          <w:rFonts w:eastAsia="Monotype Sorts" w:cs="Monotype Sorts" w:ascii="Monotype Sorts" w:hAnsi="Monotype Sorts"/>
        </w:rPr>
        <w:sym w:font="Monotype Sorts" w:char="f06f"/>
      </w:r>
      <w:r>
        <w:rPr/>
        <w:t xml:space="preserve"> Direct Private Equity</w:t>
      </w:r>
    </w:p>
    <w:p>
      <w:pPr>
        <w:pStyle w:val="Normal"/>
        <w:ind w:start="2700" w:end="0"/>
        <w:rPr/>
      </w:pPr>
      <w:r>
        <w:rPr/>
      </w:r>
    </w:p>
    <w:p>
      <w:pPr>
        <w:pStyle w:val="Normal"/>
        <w:ind w:start="2700" w:end="0"/>
        <w:rPr/>
      </w:pPr>
      <w:r>
        <w:rPr/>
        <w:tab/>
        <w:tab/>
        <w:tab/>
      </w:r>
      <w:r>
        <w:rPr>
          <w:rFonts w:eastAsia="Monotype Sorts" w:cs="Monotype Sorts" w:ascii="Monotype Sorts" w:hAnsi="Monotype Sorts"/>
        </w:rPr>
        <w:sym w:font="Monotype Sorts" w:char="f06f"/>
      </w:r>
      <w:r>
        <w:rPr/>
        <w:t xml:space="preserve"> Capital Markets</w:t>
        <w:tab/>
        <w:tab/>
      </w:r>
      <w:r>
        <w:rPr>
          <w:rFonts w:eastAsia="Monotype Sorts" w:cs="Monotype Sorts" w:ascii="Monotype Sorts" w:hAnsi="Monotype Sorts"/>
        </w:rPr>
        <w:sym w:font="Monotype Sorts" w:char="f06f"/>
      </w:r>
      <w:r>
        <w:rPr/>
        <w:t xml:space="preserve"> JEDI</w:t>
        <w:tab/>
        <w:tab/>
        <w:t xml:space="preserve"> </w:t>
      </w:r>
      <w:r>
        <w:rPr>
          <w:rFonts w:eastAsia="Monotype Sorts" w:cs="Monotype Sorts" w:ascii="Monotype Sorts" w:hAnsi="Monotype Sorts"/>
        </w:rPr>
        <w:sym w:font="Monotype Sorts" w:char="f06f"/>
      </w:r>
      <w:r>
        <w:rPr/>
        <w:t xml:space="preserve"> JEDI 2</w:t>
        <w:tab/>
      </w:r>
      <w:r>
        <w:rPr>
          <w:rFonts w:eastAsia="Monotype Sorts" w:cs="Monotype Sorts" w:ascii="Monotype Sorts" w:hAnsi="Monotype Sorts"/>
        </w:rPr>
        <w:sym w:font="Monotype Sorts" w:char="f06f"/>
      </w:r>
      <w:r>
        <w:rPr/>
        <w:t xml:space="preserve"> Enserco</w:t>
      </w:r>
    </w:p>
    <w:p>
      <w:pPr>
        <w:pStyle w:val="Normal"/>
        <w:ind w:start="2700" w:end="0"/>
        <w:rPr/>
      </w:pPr>
      <w:r>
        <w:rPr/>
      </w:r>
    </w:p>
    <w:p>
      <w:pPr>
        <w:pStyle w:val="Normal"/>
        <w:ind w:start="2700" w:end="0"/>
        <w:rPr/>
      </w:pPr>
      <w:r>
        <w:rPr/>
        <w:tab/>
        <w:tab/>
        <w:tab/>
      </w:r>
      <w:r>
        <w:rPr>
          <w:rFonts w:eastAsia="Monotype Sorts" w:cs="Monotype Sorts" w:ascii="Monotype Sorts" w:hAnsi="Monotype Sorts"/>
        </w:rPr>
        <w:sym w:font="Monotype Sorts" w:char="f06f"/>
      </w:r>
      <w:r>
        <w:rPr/>
        <w:t xml:space="preserve"> LJM 1 or 2</w:t>
        <w:tab/>
        <w:tab/>
      </w:r>
      <w:r>
        <w:rPr>
          <w:rFonts w:eastAsia="Monotype Sorts" w:cs="Monotype Sorts" w:ascii="Monotype Sorts" w:hAnsi="Monotype Sorts"/>
        </w:rPr>
        <w:sym w:font="Monotype Sorts" w:char="f06f"/>
      </w:r>
      <w:r>
        <w:rPr/>
        <w:t xml:space="preserve"> Condor</w:t>
        <w:tab/>
      </w:r>
      <w:r>
        <w:rPr>
          <w:rFonts w:eastAsia="Monotype Sorts" w:cs="Monotype Sorts" w:ascii="Monotype Sorts" w:hAnsi="Monotype Sorts"/>
        </w:rPr>
        <w:sym w:font="Monotype Sorts" w:char="f06f"/>
      </w:r>
      <w:r>
        <w:rPr/>
        <w:t xml:space="preserve"> Margaux</w:t>
        <w:tab/>
        <w:tab/>
      </w:r>
      <w:r>
        <w:rPr>
          <w:rFonts w:eastAsia="Monotype Sorts" w:cs="Monotype Sorts" w:ascii="Monotype Sorts" w:hAnsi="Monotype Sorts"/>
        </w:rPr>
        <w:sym w:font="Monotype Sorts" w:char="f06f"/>
      </w:r>
      <w:r>
        <w:rPr/>
        <w:t xml:space="preserve"> Other: </w:t>
      </w:r>
    </w:p>
    <w:p>
      <w:pPr>
        <w:pStyle w:val="Normal"/>
        <w:ind w:start="5040" w:end="0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5577840</wp:posOffset>
                </wp:positionH>
                <wp:positionV relativeFrom="paragraph">
                  <wp:posOffset>25400</wp:posOffset>
                </wp:positionV>
                <wp:extent cx="1005840" cy="0"/>
                <wp:effectExtent l="0" t="5080" r="0" b="508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9.2pt,2pt" to="518.35pt,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List"/>
        <w:numPr>
          <w:ilvl w:val="0"/>
          <w:numId w:val="5"/>
        </w:numPr>
        <w:tabs>
          <w:tab w:val="clear" w:pos="360"/>
        </w:tabs>
        <w:rPr/>
      </w:pPr>
      <w:r>
        <w:rPr/>
        <w:t>Is this a JEDI 2 “Qualified Investment”?</w:t>
        <w:tab/>
        <w:tab/>
      </w:r>
      <w:r>
        <w:rPr>
          <w:rFonts w:eastAsia="Monotype Sorts" w:cs="Monotype Sorts" w:ascii="Monotype Sorts" w:hAnsi="Monotype Sorts"/>
        </w:rPr>
        <w:sym w:font="Monotype Sorts" w:char="f06f"/>
      </w:r>
      <w:r>
        <w:rPr/>
        <w:t xml:space="preserve"> Yes</w:t>
        <w:tab/>
        <w:tab/>
        <w:tab/>
      </w:r>
      <w:r>
        <w:rPr>
          <w:rFonts w:eastAsia="Monotype Sorts" w:cs="Monotype Sorts" w:ascii="Monotype Sorts" w:hAnsi="Monotype Sorts"/>
        </w:rPr>
        <w:sym w:font="Monotype Sorts" w:char="f06f"/>
      </w:r>
      <w:r>
        <w:rPr/>
        <w:t xml:space="preserve"> No</w:t>
      </w:r>
    </w:p>
    <w:p>
      <w:pPr>
        <w:pStyle w:val="Header"/>
        <w:widowControl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widowControl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widowControl/>
        <w:numPr>
          <w:ilvl w:val="0"/>
          <w:numId w:val="6"/>
        </w:numPr>
        <w:tabs>
          <w:tab w:val="clear" w:pos="4320"/>
          <w:tab w:val="clear" w:pos="8640"/>
        </w:tabs>
        <w:rPr/>
      </w:pPr>
      <w:r>
        <w:rPr/>
        <w:t>Business unit intent to hedge investment price risk (e.g. with Raptor)?</w:t>
      </w:r>
    </w:p>
    <w:p>
      <w:pPr>
        <w:pStyle w:val="Header"/>
        <w:widowControl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widowControl/>
        <w:tabs>
          <w:tab w:val="clear" w:pos="4320"/>
          <w:tab w:val="clear" w:pos="8640"/>
        </w:tabs>
        <w:rPr/>
      </w:pPr>
      <w:r>
        <w:rPr/>
        <w:tab/>
        <w:tab/>
        <w:tab/>
        <w:tab/>
        <w:tab/>
        <w:tab/>
        <w:tab/>
        <w:tab/>
        <w:tab/>
        <w:tab/>
        <w:tab/>
      </w:r>
      <w:r>
        <w:rPr>
          <w:rFonts w:eastAsia="Monotype Sorts" w:cs="Monotype Sorts" w:ascii="Monotype Sorts" w:hAnsi="Monotype Sorts"/>
        </w:rPr>
        <w:sym w:font="Monotype Sorts" w:char="f06f"/>
      </w:r>
      <w:r>
        <w:rPr/>
        <w:t xml:space="preserve"> None</w:t>
        <w:tab/>
        <w:tab/>
      </w:r>
      <w:r>
        <w:rPr>
          <w:rFonts w:eastAsia="Monotype Sorts" w:cs="Monotype Sorts" w:ascii="Monotype Sorts" w:hAnsi="Monotype Sorts"/>
        </w:rPr>
        <w:sym w:font="Monotype Sorts" w:char="f06f"/>
      </w:r>
      <w:r>
        <w:rPr/>
        <w:t xml:space="preserve"> Partial</w:t>
        <w:tab/>
        <w:tab/>
      </w:r>
      <w:r>
        <w:rPr>
          <w:rFonts w:eastAsia="Monotype Sorts" w:cs="Monotype Sorts" w:ascii="Monotype Sorts" w:hAnsi="Monotype Sorts"/>
        </w:rPr>
        <w:sym w:font="Monotype Sorts" w:char="f06f"/>
      </w:r>
      <w:r>
        <w:rPr/>
        <w:t xml:space="preserve"> All</w:t>
        <w:br/>
        <w:tab/>
        <w:t>Describe (if  necessary):</w:t>
      </w:r>
    </w:p>
    <w:p>
      <w:pPr>
        <w:pStyle w:val="Header"/>
        <w:widowControl/>
        <w:tabs>
          <w:tab w:val="clear" w:pos="4320"/>
          <w:tab w:val="clear" w:pos="8640"/>
          <w:tab w:val="left" w:pos="270" w:leader="none"/>
        </w:tabs>
        <w:rPr/>
      </w:pPr>
      <w:r>
        <w:rPr/>
      </w:r>
    </w:p>
    <w:p>
      <w:pPr>
        <w:pStyle w:val="Normal"/>
        <w:tabs>
          <w:tab w:val="clear" w:pos="360"/>
          <w:tab w:val="left" w:pos="720" w:leader="none"/>
        </w:tabs>
        <w:ind w:start="360" w:end="0"/>
        <w:rPr/>
      </w:pPr>
      <w:r>
        <w:rPr/>
      </w:r>
    </w:p>
    <w:p>
      <w:pPr>
        <w:pStyle w:val="Normal"/>
        <w:tabs>
          <w:tab w:val="clear" w:pos="360"/>
          <w:tab w:val="left" w:pos="720" w:leader="none"/>
        </w:tabs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2011680</wp:posOffset>
                </wp:positionH>
                <wp:positionV relativeFrom="paragraph">
                  <wp:posOffset>98425</wp:posOffset>
                </wp:positionV>
                <wp:extent cx="1737360" cy="0"/>
                <wp:effectExtent l="0" t="5080" r="0" b="508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8.4pt,7.75pt" to="295.15pt,7.7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3840480</wp:posOffset>
                </wp:positionH>
                <wp:positionV relativeFrom="paragraph">
                  <wp:posOffset>98425</wp:posOffset>
                </wp:positionV>
                <wp:extent cx="1737360" cy="0"/>
                <wp:effectExtent l="0" t="5080" r="0" b="508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2.4pt,7.75pt" to="439.15pt,7.7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5760720</wp:posOffset>
                </wp:positionH>
                <wp:positionV relativeFrom="paragraph">
                  <wp:posOffset>88265</wp:posOffset>
                </wp:positionV>
                <wp:extent cx="962025" cy="2540"/>
                <wp:effectExtent l="5715" t="5080" r="5080" b="5715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92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15" h="4">
                              <a:moveTo>
                                <a:pt x="0" y="4"/>
                              </a:moveTo>
                              <a:lnTo>
                                <a:pt x="151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1515,4" path="m0,4l1515,0e" stroked="t" o:allowincell="f" style="position:absolute;margin-left:453.6pt;margin-top:6.95pt;width:75.7pt;height:0.15pt;mso-wrap-style:none;v-text-anchor:middl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/>
        <w:t>Global Finance Representative:</w:t>
      </w:r>
    </w:p>
    <w:p>
      <w:pPr>
        <w:pStyle w:val="Normal"/>
        <w:rPr/>
      </w:pPr>
      <w:r>
        <w:rPr/>
        <w:t>Global Finance Legal:</w:t>
        <w:tab/>
        <w:tab/>
        <w:tab/>
        <w:tab/>
        <w:tab/>
        <w:tab/>
        <w:tab/>
        <w:tab/>
        <w:tab/>
        <w:tab/>
        <w:tab/>
        <w:tab/>
        <w:tab/>
        <w:t>Scott Sefton</w:t>
      </w:r>
    </w:p>
    <w:p>
      <w:pPr>
        <w:pStyle w:val="Normal"/>
        <w:tabs>
          <w:tab w:val="clear" w:pos="360"/>
          <w:tab w:val="left" w:pos="720" w:leader="none"/>
        </w:tabs>
        <w:ind w:start="360" w:end="0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2026920</wp:posOffset>
                </wp:positionH>
                <wp:positionV relativeFrom="paragraph">
                  <wp:posOffset>-3810</wp:posOffset>
                </wp:positionV>
                <wp:extent cx="1724025" cy="635"/>
                <wp:effectExtent l="5715" t="5080" r="5080" b="4445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4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715" h="1">
                              <a:moveTo>
                                <a:pt x="0" y="0"/>
                              </a:moveTo>
                              <a:lnTo>
                                <a:pt x="271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2715,1" path="m0,0l2715,0e" stroked="t" o:allowincell="f" style="position:absolute;margin-left:159.6pt;margin-top:-0.3pt;width:135.7pt;height:0pt;mso-wrap-style:none;v-text-anchor:middl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3846195</wp:posOffset>
                </wp:positionH>
                <wp:positionV relativeFrom="paragraph">
                  <wp:posOffset>-3810</wp:posOffset>
                </wp:positionV>
                <wp:extent cx="1724025" cy="635"/>
                <wp:effectExtent l="5715" t="5080" r="5080" b="4445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4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715" h="1">
                              <a:moveTo>
                                <a:pt x="0" y="0"/>
                              </a:moveTo>
                              <a:lnTo>
                                <a:pt x="271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2715,1" path="m0,0l2715,0e" stroked="t" o:allowincell="f" style="position:absolute;margin-left:302.85pt;margin-top:-0.3pt;width:135.7pt;height:0pt;mso-wrap-style:none;v-text-anchor:middl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5760720</wp:posOffset>
                </wp:positionH>
                <wp:positionV relativeFrom="paragraph">
                  <wp:posOffset>-3810</wp:posOffset>
                </wp:positionV>
                <wp:extent cx="952500" cy="635"/>
                <wp:effectExtent l="5080" t="5080" r="5715" b="4445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6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00" h="1">
                              <a:moveTo>
                                <a:pt x="0" y="0"/>
                              </a:moveTo>
                              <a:lnTo>
                                <a:pt x="150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1500,1" path="m0,0l1500,0e" stroked="t" o:allowincell="f" style="position:absolute;margin-left:453.6pt;margin-top:-0.3pt;width:74.95pt;height:0pt;mso-wrap-style:none;v-text-anchor:middl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/>
        <w:tab/>
        <w:tab/>
        <w:tab/>
        <w:tab/>
        <w:tab/>
        <w:t xml:space="preserve">       </w:t>
        <w:tab/>
        <w:tab/>
        <w:tab/>
        <w:tab/>
        <w:tab/>
        <w:tab/>
        <w:t xml:space="preserve"> Signature</w:t>
        <w:tab/>
        <w:tab/>
        <w:tab/>
        <w:t>Name (Printed)</w:t>
        <w:tab/>
        <w:tab/>
        <w:tab/>
        <w:tab/>
        <w:tab/>
        <w:tab/>
        <w:t>Date</w:t>
      </w:r>
    </w:p>
    <w:p>
      <w:pPr>
        <w:pStyle w:val="Normal"/>
        <w:tabs>
          <w:tab w:val="clear" w:pos="360"/>
          <w:tab w:val="left" w:pos="720" w:leader="none"/>
        </w:tabs>
        <w:ind w:start="360" w:end="0"/>
        <w:rPr/>
      </w:pPr>
      <w:r>
        <w:rPr/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2240" w:h="15840"/>
      <w:pgMar w:left="1080" w:right="1008" w:gutter="0" w:header="720" w:top="776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Monotype Sort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/mnt/main-storage/datasets/enron-docs/doc/DASH_1.doc</w:t>
    </w:r>
    <w:r>
      <w:rPr>
        <w:sz w:val="16"/>
      </w:rPr>
      <w:fldChar w:fldCharType="end"/>
    </w:r>
    <w:r>
      <w:rPr>
        <w:sz w:val="16"/>
      </w:rPr>
      <w:tab/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tabs>
        <w:tab w:val="clear" w:pos="4320"/>
        <w:tab w:val="clear" w:pos="8640"/>
        <w:tab w:val="right" w:pos="7920" w:leader="none"/>
      </w:tabs>
      <w:rPr>
        <w:b/>
      </w:rPr>
    </w:pPr>
    <w:r>
      <w:rPr>
        <w:b/>
      </w:rPr>
      <w:t>RAC Deal Approval Sheet</w:t>
      <w:tab/>
      <w:t xml:space="preserve">Deal Name:  Clampett Oil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6"/>
      <w:numFmt w:val="decimal"/>
      <w:lvlText w:val="%1c."/>
      <w:lvlJc w:val="start"/>
      <w:pPr>
        <w:tabs>
          <w:tab w:val="num" w:pos="360"/>
        </w:tabs>
        <w:ind w:start="360" w:hanging="360"/>
      </w:pPr>
      <w:rPr>
        <w:i w:val="false"/>
        <w:b w:val="false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6"/>
      <w:numFmt w:val="decimal"/>
      <w:lvlText w:val="%1a."/>
      <w:lvlJc w:val="start"/>
      <w:pPr>
        <w:tabs>
          <w:tab w:val="num" w:pos="360"/>
        </w:tabs>
        <w:ind w:start="360" w:hanging="360"/>
      </w:pPr>
    </w:lvl>
  </w:abstractNum>
  <w:abstractNum w:abstractNumId="5">
    <w:lvl w:ilvl="0">
      <w:start w:val="6"/>
      <w:numFmt w:val="decimal"/>
      <w:lvlText w:val="%1d."/>
      <w:lvlJc w:val="start"/>
      <w:pPr>
        <w:tabs>
          <w:tab w:val="num" w:pos="360"/>
        </w:tabs>
        <w:ind w:start="360" w:hanging="360"/>
      </w:pPr>
    </w:lvl>
  </w:abstractNum>
  <w:abstractNum w:abstractNumId="6">
    <w:lvl w:ilvl="0">
      <w:start w:val="7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7">
    <w:lvl w:ilvl="0">
      <w:start w:val="2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8">
    <w:lvl w:ilvl="0">
      <w:start w:val="6"/>
      <w:numFmt w:val="decimal"/>
      <w:lvlText w:val="%1b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36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ind w:hanging="0" w:start="0" w:end="-1196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/>
      </w:pBdr>
      <w:tabs>
        <w:tab w:val="clear" w:pos="360"/>
        <w:tab w:val="left" w:pos="9990" w:leader="none"/>
      </w:tabs>
      <w:ind w:hanging="0" w:start="0" w:end="-36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outlineLvl w:val="6"/>
    </w:pPr>
    <w:rPr>
      <w:b/>
      <w:i/>
      <w:sz w:val="20"/>
    </w:rPr>
  </w:style>
  <w:style w:type="paragraph" w:styleId="Heading9">
    <w:name w:val="heading 9"/>
    <w:basedOn w:val="Normal"/>
    <w:next w:val="Normal"/>
    <w:qFormat/>
    <w:pPr>
      <w:keepNext w:val="true"/>
      <w:widowControl w:val="false"/>
      <w:numPr>
        <w:ilvl w:val="8"/>
        <w:numId w:val="1"/>
      </w:numPr>
      <w:tabs>
        <w:tab w:val="clear" w:pos="360"/>
        <w:tab w:val="left" w:pos="2870" w:leader="none"/>
        <w:tab w:val="left" w:pos="3617" w:leader="none"/>
      </w:tabs>
      <w:ind w:hanging="0" w:start="420" w:end="-217"/>
      <w:outlineLvl w:val="8"/>
    </w:pPr>
    <w:rPr>
      <w:b/>
      <w:sz w:val="20"/>
    </w:rPr>
  </w:style>
  <w:style w:type="character" w:styleId="WW8Num2z0">
    <w:name w:val="WW8Num2z0"/>
    <w:qFormat/>
    <w:rPr>
      <w:b w:val="false"/>
      <w:i w:val="false"/>
    </w:rPr>
  </w:style>
  <w:style w:type="character" w:styleId="WW8Num3z0">
    <w:name w:val="WW8Num3z0"/>
    <w:qFormat/>
    <w:rPr>
      <w:b w:val="false"/>
      <w:i w:val="false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36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360"/>
        <w:tab w:val="center" w:pos="4320" w:leader="none"/>
        <w:tab w:val="right" w:pos="8640" w:leader="none"/>
      </w:tabs>
    </w:pPr>
    <w:rPr>
      <w:sz w:val="20"/>
    </w:rPr>
  </w:style>
  <w:style w:type="paragraph" w:styleId="BodyText3">
    <w:name w:val="Body Text 3"/>
    <w:basedOn w:val="Normal"/>
    <w:qFormat/>
    <w:pPr>
      <w:widowControl w:val="false"/>
    </w:pPr>
    <w:rPr>
      <w:color w:val="FF0000"/>
      <w:sz w:val="20"/>
    </w:rPr>
  </w:style>
  <w:style w:type="paragraph" w:styleId="Footer">
    <w:name w:val="footer"/>
    <w:basedOn w:val="Normal"/>
    <w:pPr>
      <w:widowControl w:val="false"/>
      <w:tabs>
        <w:tab w:val="clear" w:pos="360"/>
        <w:tab w:val="center" w:pos="4320" w:leader="none"/>
        <w:tab w:val="right" w:pos="8640" w:leader="none"/>
      </w:tabs>
    </w:pPr>
    <w:rPr>
      <w:sz w:val="20"/>
    </w:rPr>
  </w:style>
  <w:style w:type="paragraph" w:styleId="BodyText2">
    <w:name w:val="Body Text 2"/>
    <w:basedOn w:val="Normal"/>
    <w:qFormat/>
    <w:pPr/>
    <w:rPr>
      <w:color w:val="FF000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2000-08-15T14:21:00Z</dcterms:created>
  <dc:creator>mruane</dc:creator>
  <dc:description>MR: 9-20-99 added tax signoff</dc:description>
  <dc:language>en-CA</dc:language>
  <cp:lastModifiedBy>Cindy Hudler</cp:lastModifiedBy>
  <cp:lastPrinted>2000-08-15T14:58:00Z</cp:lastPrinted>
  <dcterms:modified xsi:type="dcterms:W3CDTF">2000-08-15T17:28:00Z</dcterms:modified>
  <cp:revision>13</cp:revision>
  <dc:subject/>
  <dc:title>ENRON RISK ASSESSMENT AND CONTROL</dc:title>
</cp:coreProperties>
</file>