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Springs</w:t>
            </w:r>
          </w:p>
          <w:p>
            <w:pPr>
              <w:pStyle w:val="Normal"/>
              <w:ind w:end="792"/>
              <w:rPr/>
            </w:pPr>
            <w:r>
              <w:rPr/>
              <w:t>Counterparty:  Springs Industries, Inc.</w:t>
            </w:r>
          </w:p>
          <w:p>
            <w:pPr>
              <w:pStyle w:val="Normal"/>
              <w:rPr/>
            </w:pPr>
            <w:r>
              <w:rPr/>
              <w:t>Business Unit:  EESO</w:t>
            </w:r>
          </w:p>
          <w:p>
            <w:pPr>
              <w:pStyle w:val="Normal"/>
              <w:rPr/>
            </w:pPr>
            <w:r>
              <w:rPr/>
              <w:t>Business Unit Originator:  Don White/Richard Zdunkewicz</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03/30/00</w:t>
            </w:r>
          </w:p>
          <w:p>
            <w:pPr>
              <w:pStyle w:val="Normal"/>
              <w:ind w:firstLine="90" w:start="-198" w:end="-1095"/>
              <w:rPr/>
            </w:pPr>
            <w:r>
              <w:rPr/>
              <w:t>RAC Analyst:  Farhad Ahad</w:t>
            </w:r>
          </w:p>
          <w:p>
            <w:pPr>
              <w:pStyle w:val="Normal"/>
              <w:ind w:firstLine="90" w:start="-198" w:end="-738"/>
              <w:rPr/>
            </w:pPr>
            <w:r>
              <w:rPr/>
              <w:t>Investment Type:  Bundled Outsourcing</w:t>
            </w:r>
          </w:p>
          <w:p>
            <w:pPr>
              <w:pStyle w:val="Normal"/>
              <w:ind w:firstLine="90" w:start="-198" w:end="-738"/>
              <w:rPr/>
            </w:pPr>
            <w:r>
              <w:rPr/>
              <w:t>Capital Funding Source(s):  Balance Sheet</w:t>
            </w:r>
          </w:p>
          <w:p>
            <w:pPr>
              <w:pStyle w:val="Normal"/>
              <w:ind w:firstLine="90" w:start="-198" w:end="-738"/>
              <w:rPr/>
            </w:pPr>
            <w:r>
              <w:rPr/>
              <w:t>Expected Closing Date:  03/30/00</w:t>
            </w:r>
          </w:p>
          <w:p>
            <w:pPr>
              <w:pStyle w:val="Normal"/>
              <w:ind w:firstLine="90" w:start="-198" w:end="-738"/>
              <w:rPr/>
            </w:pPr>
            <w:r>
              <w:rPr/>
              <w:t>Expected Funding Date:  2000-2001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 xml:space="preserve">APPROVAL AMOUNT </w:t>
      </w:r>
    </w:p>
    <w:p>
      <w:pPr>
        <w:pStyle w:val="Normal"/>
        <w:numPr>
          <w:ilvl w:val="0"/>
          <w:numId w:val="11"/>
        </w:numPr>
        <w:rPr/>
      </w:pPr>
      <w:r>
        <w:rPr/>
        <w:t>To enter into a 10-year Energy &amp; Facilities Management Agreement and Project Services Financing Agreement with Springs Industries Inc. (“Springs”) for the purposes of outsourcing to EESO both the management of Springs energy requirements and the operation and management of certain energy assets.   The transaction TCV is approximately $431MM.</w:t>
      </w:r>
    </w:p>
    <w:p>
      <w:pPr>
        <w:pStyle w:val="Normal"/>
        <w:ind w:firstLine="360" w:start="360" w:end="-36"/>
        <w:rPr/>
      </w:pPr>
      <w:r>
        <w:rPr/>
        <w:t>PV8 of Guaranteed Savings</w:t>
        <w:tab/>
        <w:tab/>
        <w:t>$ 23   MM</w:t>
      </w:r>
    </w:p>
    <w:p>
      <w:pPr>
        <w:pStyle w:val="Normal"/>
        <w:ind w:firstLine="360" w:start="360" w:end="-306"/>
        <w:rPr/>
      </w:pPr>
      <w:r>
        <w:rPr/>
        <w:t>DSM – Expected Financing (*1)</w:t>
        <w:tab/>
        <w:tab/>
        <w:t xml:space="preserve">     3   MM</w:t>
      </w:r>
    </w:p>
    <w:p>
      <w:pPr>
        <w:pStyle w:val="Normal"/>
        <w:ind w:firstLine="360" w:start="360" w:end="-306"/>
        <w:rPr/>
      </w:pPr>
      <w:r>
        <w:rPr/>
        <w:t>VaR</w:t>
        <w:tab/>
        <w:tab/>
        <w:tab/>
        <w:tab/>
        <w:tab/>
      </w:r>
      <w:r>
        <w:rPr>
          <w:u w:val="single"/>
        </w:rPr>
        <w:t xml:space="preserve">     3   MM</w:t>
      </w:r>
    </w:p>
    <w:p>
      <w:pPr>
        <w:pStyle w:val="Normal"/>
        <w:ind w:firstLine="360" w:start="360" w:end="-306"/>
        <w:rPr/>
      </w:pPr>
      <w:r>
        <w:rPr/>
        <w:t>Total</w:t>
        <w:tab/>
        <w:tab/>
        <w:tab/>
        <w:tab/>
        <w:tab/>
        <w:t>$ 29    MM</w:t>
      </w:r>
    </w:p>
    <w:p>
      <w:pPr>
        <w:pStyle w:val="Normal"/>
        <w:ind w:firstLine="360" w:start="360" w:end="-306"/>
        <w:rPr/>
      </w:pPr>
      <w:r>
        <w:rPr/>
      </w:r>
    </w:p>
    <w:p>
      <w:pPr>
        <w:pStyle w:val="BodyTextIndent"/>
        <w:ind w:hanging="0" w:start="360" w:end="-306"/>
        <w:rPr/>
      </w:pPr>
      <w:r>
        <w:rPr/>
        <w:t>(*1):  The maximum financing amount in the Project Services Financing Agreement is $20 MM, although currently EESO expects to implement projects requiring capital of about $2.5 MM.</w:t>
      </w:r>
    </w:p>
    <w:p>
      <w:pPr>
        <w:pStyle w:val="Heading1"/>
        <w:pBdr>
          <w:top w:val="single" w:sz="8" w:space="1" w:color="000000"/>
        </w:pBdr>
        <w:ind w:hanging="0" w:start="0" w:end="-36"/>
        <w:rPr/>
      </w:pPr>
      <w:r>
        <w:rPr/>
        <w:t>EXPOSURE SUMMARY</w:t>
      </w:r>
    </w:p>
    <w:p>
      <w:pPr>
        <w:pStyle w:val="Normal"/>
        <w:ind w:start="360" w:end="0"/>
        <w:rPr/>
      </w:pPr>
      <w:r>
        <w:rPr/>
        <w:t>This transaction:</w:t>
        <w:tab/>
        <w:tab/>
        <w:t>$  29 MM</w:t>
        <w:tab/>
        <w:tab/>
        <w:t>Total Exposure</w:t>
        <w:tab/>
        <w:tab/>
        <w:t>$ 29 MM</w:t>
      </w:r>
    </w:p>
    <w:p>
      <w:pPr>
        <w:pStyle w:val="Heading2"/>
        <w:widowControl/>
        <w:pBdr>
          <w:top w:val="single" w:sz="8" w:space="1" w:color="000000"/>
        </w:pBdr>
        <w:ind w:hanging="0" w:start="0" w:end="-36"/>
        <w:rPr>
          <w:i w:val="false"/>
          <w:i w:val="false"/>
        </w:rPr>
      </w:pPr>
      <w:r>
        <w:rPr>
          <w:i w:val="false"/>
        </w:rPr>
        <w:t>COMPANY DESCRIPTION</w:t>
      </w:r>
    </w:p>
    <w:p>
      <w:pPr>
        <w:pStyle w:val="Normal"/>
        <w:numPr>
          <w:ilvl w:val="0"/>
          <w:numId w:val="9"/>
        </w:numPr>
        <w:rPr/>
      </w:pPr>
      <w:r>
        <w:rPr/>
        <w:t xml:space="preserve">Springs manufactures home furnishings and specialty fabrics including sheets, comforters, towels, among others.  Its products are sold under brand names such as Wamsutta, Springmaid and Bali.  Springs is rated BBB+ by S&amp;P. The agreement will cover 61 facilities primarily in South Carolina, North Carolina and Georgia.  </w:t>
      </w:r>
    </w:p>
    <w:p>
      <w:pPr>
        <w:pStyle w:val="Normal"/>
        <w:numPr>
          <w:ilvl w:val="0"/>
          <w:numId w:val="9"/>
        </w:numPr>
        <w:rPr/>
      </w:pPr>
      <w:r>
        <w:rPr/>
        <w:t>The agreement is structured in two phases, with the first phase being comprised of energy commodities and EESO’s option to implement energy consumption (DSM) projects.  In phase 1, EESO will provide Springs with a 5% discount on gas at facilities it can physically serve, a 12% discount on fuel oil and a discount of 11.25% on power. In order to help Springs achieve a $4.0MM energy cost savings target in 2000, the discount off the baseline will be 18% for the remainder of 2000, and reduced to 9.0% from 4/1/2007 through the end of the term.</w:t>
      </w:r>
    </w:p>
    <w:p>
      <w:pPr>
        <w:pStyle w:val="Normal"/>
        <w:numPr>
          <w:ilvl w:val="0"/>
          <w:numId w:val="9"/>
        </w:numPr>
        <w:rPr/>
      </w:pPr>
      <w:r>
        <w:rPr/>
        <w:t>EESO will have the option to finance and implement certain pre-approved energy infrastructure projects at Springs' facilities and retain all of the stipulated and measurable energy consumption savings.  The DSM project capital will be financed by EESO via a unsecured loan agreement for each project.</w:t>
      </w:r>
    </w:p>
    <w:p>
      <w:pPr>
        <w:pStyle w:val="Normal"/>
        <w:numPr>
          <w:ilvl w:val="0"/>
          <w:numId w:val="9"/>
        </w:numPr>
        <w:rPr/>
      </w:pPr>
      <w:r>
        <w:rPr/>
        <w:t>In the second phase, which is subject to due diligence to be conducted during a 150-day transition period, EESO would operate and maintain Springs’ energy asset infrastructure pursuant to service levels and a baseline to be determined during the transition period.  EESO will provide these services at a 12% discount to the baseline level of expenditure, with an escalation in price based on inflationary measures published by the bureau of labor statistics.  If the parties fail to agree on the scope of the operations, maintenance &amp; repairs service levels during the transition period, the transaction will remain comprised of commodity services &amp; DSM projects only.  The Return Summary below does not include the second phase.</w:t>
      </w:r>
    </w:p>
    <w:p>
      <w:pPr>
        <w:pStyle w:val="Heading2"/>
        <w:widowControl/>
        <w:pBdr>
          <w:top w:val="single" w:sz="8" w:space="1" w:color="000000"/>
        </w:pBdr>
        <w:ind w:hanging="0" w:start="0" w:end="-36"/>
        <w:rPr/>
      </w:pPr>
      <w:r>
        <w:rPr>
          <w:i w:val="false"/>
        </w:rPr>
        <w:t>RETURN SUMMARY</w:t>
      </w:r>
      <w:r>
        <w:rPr/>
        <w:t xml:space="preserve"> </w:t>
      </w:r>
      <w:r>
        <w:rPr>
          <w:i w:val="false"/>
        </w:rPr>
        <w:t>– Based on EESO deterministic model (see *2 below and comments in “Electricity Pricing Risks – Post Deregulation” of the “Risk Matrix” on the next page)</w:t>
      </w:r>
    </w:p>
    <w:tbl>
      <w:tblPr>
        <w:tblW w:w="9828" w:type="dxa"/>
        <w:jc w:val="start"/>
        <w:tblInd w:w="0" w:type="dxa"/>
        <w:tblLayout w:type="fixed"/>
        <w:tblCellMar>
          <w:top w:w="0" w:type="dxa"/>
          <w:start w:w="108" w:type="dxa"/>
          <w:bottom w:w="0" w:type="dxa"/>
          <w:end w:w="108" w:type="dxa"/>
        </w:tblCellMar>
      </w:tblPr>
      <w:tblGrid>
        <w:gridCol w:w="2988"/>
        <w:gridCol w:w="1260"/>
        <w:gridCol w:w="1170"/>
        <w:gridCol w:w="540"/>
        <w:gridCol w:w="2970"/>
        <w:gridCol w:w="900"/>
      </w:tblGrid>
      <w:tr>
        <w:trPr/>
        <w:tc>
          <w:tcPr>
            <w:tcW w:w="2988" w:type="dxa"/>
            <w:tcBorders/>
          </w:tcPr>
          <w:p>
            <w:pPr>
              <w:pStyle w:val="Normal"/>
              <w:snapToGrid w:val="false"/>
              <w:jc w:val="center"/>
              <w:rPr>
                <w:sz w:val="16"/>
              </w:rPr>
            </w:pPr>
            <w:r>
              <w:rPr>
                <w:sz w:val="16"/>
              </w:rPr>
            </w:r>
          </w:p>
        </w:tc>
        <w:tc>
          <w:tcPr>
            <w:tcW w:w="1260" w:type="dxa"/>
            <w:tcBorders/>
          </w:tcPr>
          <w:p>
            <w:pPr>
              <w:pStyle w:val="Normal"/>
              <w:snapToGrid w:val="false"/>
              <w:jc w:val="center"/>
              <w:rPr>
                <w:sz w:val="16"/>
                <w:u w:val="single"/>
              </w:rPr>
            </w:pPr>
            <w:r>
              <w:rPr>
                <w:sz w:val="16"/>
                <w:u w:val="single"/>
              </w:rPr>
            </w:r>
          </w:p>
          <w:p>
            <w:pPr>
              <w:pStyle w:val="Normal"/>
              <w:jc w:val="center"/>
              <w:rPr>
                <w:sz w:val="16"/>
                <w:u w:val="single"/>
              </w:rPr>
            </w:pPr>
            <w:r>
              <w:rPr>
                <w:sz w:val="16"/>
                <w:u w:val="single"/>
              </w:rPr>
              <w:t>PV @ Capital Price</w:t>
            </w:r>
          </w:p>
        </w:tc>
        <w:tc>
          <w:tcPr>
            <w:tcW w:w="1170" w:type="dxa"/>
            <w:tcBorders/>
          </w:tcPr>
          <w:p>
            <w:pPr>
              <w:pStyle w:val="Normal"/>
              <w:jc w:val="center"/>
              <w:rPr>
                <w:sz w:val="16"/>
                <w:u w:val="single"/>
              </w:rPr>
            </w:pPr>
            <w:r>
              <w:rPr>
                <w:sz w:val="16"/>
                <w:u w:val="single"/>
              </w:rPr>
              <w:t>% of Gross Transaction Value</w:t>
            </w:r>
          </w:p>
        </w:tc>
        <w:tc>
          <w:tcPr>
            <w:tcW w:w="540" w:type="dxa"/>
            <w:tcBorders/>
          </w:tcPr>
          <w:p>
            <w:pPr>
              <w:pStyle w:val="Normal"/>
              <w:snapToGrid w:val="false"/>
              <w:jc w:val="center"/>
              <w:rPr>
                <w:sz w:val="16"/>
                <w:u w:val="single"/>
              </w:rPr>
            </w:pPr>
            <w:r>
              <w:rPr>
                <w:sz w:val="16"/>
                <w:u w:val="single"/>
              </w:rPr>
            </w:r>
          </w:p>
        </w:tc>
        <w:tc>
          <w:tcPr>
            <w:tcW w:w="2970" w:type="dxa"/>
            <w:tcBorders/>
          </w:tcPr>
          <w:p>
            <w:pPr>
              <w:pStyle w:val="Normal"/>
              <w:snapToGrid w:val="false"/>
              <w:rPr>
                <w:sz w:val="16"/>
                <w:u w:val="single"/>
              </w:rPr>
            </w:pPr>
            <w:r>
              <w:rPr>
                <w:sz w:val="16"/>
                <w:u w:val="single"/>
              </w:rPr>
            </w:r>
          </w:p>
          <w:p>
            <w:pPr>
              <w:pStyle w:val="Normal"/>
              <w:rPr>
                <w:sz w:val="16"/>
                <w:u w:val="single"/>
              </w:rPr>
            </w:pPr>
            <w:r>
              <w:rPr>
                <w:sz w:val="16"/>
                <w:u w:val="single"/>
              </w:rPr>
            </w:r>
          </w:p>
          <w:p>
            <w:pPr>
              <w:pStyle w:val="Normal"/>
              <w:rPr>
                <w:sz w:val="16"/>
                <w:u w:val="single"/>
              </w:rPr>
            </w:pPr>
            <w:r>
              <w:rPr>
                <w:sz w:val="16"/>
                <w:u w:val="single"/>
              </w:rPr>
              <w:t>CAPITAL PRICE</w:t>
            </w:r>
          </w:p>
        </w:tc>
        <w:tc>
          <w:tcPr>
            <w:tcW w:w="900" w:type="dxa"/>
            <w:tcBorders/>
          </w:tcPr>
          <w:p>
            <w:pPr>
              <w:pStyle w:val="Normal"/>
              <w:snapToGrid w:val="false"/>
              <w:jc w:val="center"/>
              <w:rPr>
                <w:sz w:val="16"/>
                <w:u w:val="single"/>
              </w:rPr>
            </w:pPr>
            <w:r>
              <w:rPr>
                <w:sz w:val="16"/>
                <w:u w:val="single"/>
              </w:rPr>
            </w:r>
          </w:p>
        </w:tc>
      </w:tr>
      <w:tr>
        <w:trPr/>
        <w:tc>
          <w:tcPr>
            <w:tcW w:w="2988" w:type="dxa"/>
            <w:tcBorders/>
          </w:tcPr>
          <w:p>
            <w:pPr>
              <w:pStyle w:val="Normal"/>
              <w:rPr/>
            </w:pPr>
            <w:r>
              <w:rPr/>
              <w:t xml:space="preserve">Commodity Margin </w:t>
            </w:r>
            <w:r>
              <w:rPr>
                <w:b/>
              </w:rPr>
              <w:t>(*2)</w:t>
            </w:r>
          </w:p>
        </w:tc>
        <w:tc>
          <w:tcPr>
            <w:tcW w:w="1260" w:type="dxa"/>
            <w:tcBorders/>
          </w:tcPr>
          <w:p>
            <w:pPr>
              <w:pStyle w:val="Normal"/>
              <w:snapToGrid w:val="false"/>
              <w:jc w:val="end"/>
              <w:rPr/>
            </w:pPr>
            <w:r>
              <w:rPr/>
            </w:r>
          </w:p>
        </w:tc>
        <w:tc>
          <w:tcPr>
            <w:tcW w:w="1170" w:type="dxa"/>
            <w:tcBorders/>
          </w:tcPr>
          <w:p>
            <w:pPr>
              <w:pStyle w:val="Normal"/>
              <w:snapToGrid w:val="false"/>
              <w:jc w:val="end"/>
              <w:rPr>
                <w:sz w:val="16"/>
              </w:rPr>
            </w:pPr>
            <w:r>
              <w:rPr>
                <w:sz w:val="16"/>
              </w:rPr>
            </w:r>
          </w:p>
        </w:tc>
        <w:tc>
          <w:tcPr>
            <w:tcW w:w="540" w:type="dxa"/>
            <w:tcBorders/>
          </w:tcPr>
          <w:p>
            <w:pPr>
              <w:pStyle w:val="Normal"/>
              <w:snapToGrid w:val="false"/>
              <w:jc w:val="end"/>
              <w:rPr>
                <w:sz w:val="16"/>
              </w:rPr>
            </w:pPr>
            <w:r>
              <w:rPr>
                <w:sz w:val="16"/>
              </w:rPr>
            </w:r>
          </w:p>
        </w:tc>
        <w:tc>
          <w:tcPr>
            <w:tcW w:w="2970" w:type="dxa"/>
            <w:tcBorders/>
          </w:tcPr>
          <w:p>
            <w:pPr>
              <w:pStyle w:val="Normal"/>
              <w:rPr/>
            </w:pPr>
            <w:r>
              <w:rPr/>
              <w:t>Risk Free Rate</w:t>
            </w:r>
          </w:p>
        </w:tc>
        <w:tc>
          <w:tcPr>
            <w:tcW w:w="900" w:type="dxa"/>
            <w:tcBorders/>
          </w:tcPr>
          <w:p>
            <w:pPr>
              <w:pStyle w:val="Normal"/>
              <w:jc w:val="end"/>
              <w:rPr>
                <w:color w:val="000000"/>
                <w:lang w:eastAsia="en-US"/>
              </w:rPr>
            </w:pPr>
            <w:r>
              <w:rPr>
                <w:color w:val="000000"/>
                <w:lang w:eastAsia="en-US"/>
              </w:rPr>
              <w:t>6.39%</w:t>
            </w:r>
          </w:p>
        </w:tc>
      </w:tr>
      <w:tr>
        <w:trPr/>
        <w:tc>
          <w:tcPr>
            <w:tcW w:w="2988" w:type="dxa"/>
            <w:tcBorders/>
          </w:tcPr>
          <w:p>
            <w:pPr>
              <w:pStyle w:val="Header"/>
              <w:widowControl/>
              <w:tabs>
                <w:tab w:val="clear" w:pos="4320"/>
                <w:tab w:val="clear" w:pos="8640"/>
              </w:tabs>
              <w:rPr/>
            </w:pPr>
            <w:r>
              <w:rPr/>
              <w:t xml:space="preserve">    </w:t>
            </w:r>
            <w:r>
              <w:rPr/>
              <w:t xml:space="preserve">Electricity </w:t>
            </w:r>
          </w:p>
        </w:tc>
        <w:tc>
          <w:tcPr>
            <w:tcW w:w="1260" w:type="dxa"/>
            <w:tcBorders/>
          </w:tcPr>
          <w:p>
            <w:pPr>
              <w:pStyle w:val="Normal"/>
              <w:jc w:val="end"/>
              <w:rPr>
                <w:color w:val="000000"/>
                <w:lang w:eastAsia="en-US"/>
              </w:rPr>
            </w:pPr>
            <w:r>
              <w:rPr>
                <w:color w:val="000000"/>
                <w:lang w:eastAsia="en-US"/>
              </w:rPr>
              <w:t xml:space="preserve">$19,379 </w:t>
            </w:r>
          </w:p>
        </w:tc>
        <w:tc>
          <w:tcPr>
            <w:tcW w:w="1170" w:type="dxa"/>
            <w:tcBorders/>
          </w:tcPr>
          <w:p>
            <w:pPr>
              <w:pStyle w:val="Normal"/>
              <w:jc w:val="end"/>
              <w:rPr>
                <w:color w:val="000000"/>
                <w:lang w:eastAsia="en-US"/>
              </w:rPr>
            </w:pPr>
            <w:r>
              <w:rPr>
                <w:color w:val="000000"/>
                <w:lang w:eastAsia="en-US"/>
              </w:rPr>
              <w:t>79%</w:t>
            </w:r>
          </w:p>
        </w:tc>
        <w:tc>
          <w:tcPr>
            <w:tcW w:w="540" w:type="dxa"/>
            <w:tcBorders/>
          </w:tcPr>
          <w:p>
            <w:pPr>
              <w:pStyle w:val="Normal"/>
              <w:snapToGrid w:val="false"/>
              <w:jc w:val="end"/>
              <w:rPr>
                <w:color w:val="000000"/>
                <w:lang w:eastAsia="en-US"/>
              </w:rPr>
            </w:pPr>
            <w:r>
              <w:rPr>
                <w:color w:val="000000"/>
                <w:lang w:eastAsia="en-US"/>
              </w:rPr>
            </w:r>
          </w:p>
        </w:tc>
        <w:tc>
          <w:tcPr>
            <w:tcW w:w="2970" w:type="dxa"/>
            <w:tcBorders/>
          </w:tcPr>
          <w:p>
            <w:pPr>
              <w:pStyle w:val="Normal"/>
              <w:rPr/>
            </w:pPr>
            <w:r>
              <w:rPr/>
              <w:t xml:space="preserve">Credit Spread </w:t>
            </w:r>
          </w:p>
        </w:tc>
        <w:tc>
          <w:tcPr>
            <w:tcW w:w="900" w:type="dxa"/>
            <w:tcBorders/>
          </w:tcPr>
          <w:p>
            <w:pPr>
              <w:pStyle w:val="Normal"/>
              <w:jc w:val="end"/>
              <w:rPr>
                <w:color w:val="000000"/>
                <w:lang w:eastAsia="en-US"/>
              </w:rPr>
            </w:pPr>
            <w:r>
              <w:rPr>
                <w:color w:val="000000"/>
                <w:lang w:eastAsia="en-US"/>
              </w:rPr>
              <w:t>1.94%</w:t>
            </w:r>
          </w:p>
        </w:tc>
      </w:tr>
      <w:tr>
        <w:trPr/>
        <w:tc>
          <w:tcPr>
            <w:tcW w:w="2988" w:type="dxa"/>
            <w:tcBorders/>
          </w:tcPr>
          <w:p>
            <w:pPr>
              <w:pStyle w:val="Header"/>
              <w:widowControl/>
              <w:tabs>
                <w:tab w:val="clear" w:pos="4320"/>
                <w:tab w:val="clear" w:pos="8640"/>
              </w:tabs>
              <w:rPr/>
            </w:pPr>
            <w:r>
              <w:rPr/>
              <w:t xml:space="preserve">    </w:t>
            </w:r>
            <w:r>
              <w:rPr/>
              <w:t>DSM Savings</w:t>
            </w:r>
          </w:p>
        </w:tc>
        <w:tc>
          <w:tcPr>
            <w:tcW w:w="1260" w:type="dxa"/>
            <w:tcBorders/>
          </w:tcPr>
          <w:p>
            <w:pPr>
              <w:pStyle w:val="Normal"/>
              <w:jc w:val="end"/>
              <w:rPr>
                <w:color w:val="000000"/>
                <w:lang w:eastAsia="en-US"/>
              </w:rPr>
            </w:pPr>
            <w:r>
              <w:rPr>
                <w:color w:val="000000"/>
                <w:lang w:eastAsia="en-US"/>
              </w:rPr>
              <w:t xml:space="preserve">5,980 </w:t>
            </w:r>
          </w:p>
        </w:tc>
        <w:tc>
          <w:tcPr>
            <w:tcW w:w="1170" w:type="dxa"/>
            <w:tcBorders/>
          </w:tcPr>
          <w:p>
            <w:pPr>
              <w:pStyle w:val="Normal"/>
              <w:jc w:val="end"/>
              <w:rPr>
                <w:color w:val="000000"/>
                <w:lang w:eastAsia="en-US"/>
              </w:rPr>
            </w:pPr>
            <w:r>
              <w:rPr>
                <w:color w:val="000000"/>
                <w:lang w:eastAsia="en-US"/>
              </w:rPr>
              <w:t>17%</w:t>
            </w:r>
          </w:p>
        </w:tc>
        <w:tc>
          <w:tcPr>
            <w:tcW w:w="540" w:type="dxa"/>
            <w:tcBorders/>
          </w:tcPr>
          <w:p>
            <w:pPr>
              <w:pStyle w:val="Normal"/>
              <w:snapToGrid w:val="false"/>
              <w:jc w:val="end"/>
              <w:rPr>
                <w:color w:val="000000"/>
                <w:lang w:eastAsia="en-US"/>
              </w:rPr>
            </w:pPr>
            <w:r>
              <w:rPr>
                <w:color w:val="000000"/>
                <w:lang w:eastAsia="en-US"/>
              </w:rPr>
            </w:r>
          </w:p>
        </w:tc>
        <w:tc>
          <w:tcPr>
            <w:tcW w:w="2970" w:type="dxa"/>
            <w:tcBorders/>
          </w:tcPr>
          <w:p>
            <w:pPr>
              <w:pStyle w:val="Normal"/>
              <w:rPr/>
            </w:pPr>
            <w:r>
              <w:rPr/>
              <w:t xml:space="preserve">Execution Risks  </w:t>
            </w:r>
          </w:p>
        </w:tc>
        <w:tc>
          <w:tcPr>
            <w:tcW w:w="900" w:type="dxa"/>
            <w:tcBorders/>
          </w:tcPr>
          <w:p>
            <w:pPr>
              <w:pStyle w:val="Normal"/>
              <w:jc w:val="end"/>
              <w:rPr>
                <w:u w:val="single"/>
              </w:rPr>
            </w:pPr>
            <w:r>
              <w:rPr>
                <w:color w:val="000000"/>
                <w:lang w:eastAsia="en-US"/>
              </w:rPr>
              <w:t>4.00%</w:t>
            </w:r>
          </w:p>
        </w:tc>
      </w:tr>
      <w:tr>
        <w:trPr/>
        <w:tc>
          <w:tcPr>
            <w:tcW w:w="2988" w:type="dxa"/>
            <w:tcBorders/>
          </w:tcPr>
          <w:p>
            <w:pPr>
              <w:pStyle w:val="Header"/>
              <w:widowControl/>
              <w:tabs>
                <w:tab w:val="clear" w:pos="4320"/>
                <w:tab w:val="clear" w:pos="8640"/>
              </w:tabs>
              <w:rPr/>
            </w:pPr>
            <w:r>
              <w:rPr/>
              <w:t xml:space="preserve">    </w:t>
            </w:r>
            <w:r>
              <w:rPr/>
              <w:t>DSM Capital</w:t>
            </w:r>
          </w:p>
        </w:tc>
        <w:tc>
          <w:tcPr>
            <w:tcW w:w="1260" w:type="dxa"/>
            <w:tcBorders/>
          </w:tcPr>
          <w:p>
            <w:pPr>
              <w:pStyle w:val="Normal"/>
              <w:jc w:val="end"/>
              <w:rPr>
                <w:color w:val="000000"/>
                <w:lang w:eastAsia="en-US"/>
              </w:rPr>
            </w:pPr>
            <w:r>
              <w:rPr>
                <w:color w:val="000000"/>
                <w:lang w:eastAsia="en-US"/>
              </w:rPr>
              <w:t>(1,761)</w:t>
            </w:r>
          </w:p>
        </w:tc>
        <w:tc>
          <w:tcPr>
            <w:tcW w:w="1170" w:type="dxa"/>
            <w:tcBorders/>
          </w:tcPr>
          <w:p>
            <w:pPr>
              <w:pStyle w:val="Normal"/>
              <w:snapToGrid w:val="false"/>
              <w:jc w:val="end"/>
              <w:rPr/>
            </w:pPr>
            <w:r>
              <w:rPr/>
            </w:r>
          </w:p>
        </w:tc>
        <w:tc>
          <w:tcPr>
            <w:tcW w:w="540" w:type="dxa"/>
            <w:tcBorders/>
          </w:tcPr>
          <w:p>
            <w:pPr>
              <w:pStyle w:val="Normal"/>
              <w:snapToGrid w:val="false"/>
              <w:jc w:val="end"/>
              <w:rPr/>
            </w:pPr>
            <w:r>
              <w:rPr/>
            </w:r>
          </w:p>
        </w:tc>
        <w:tc>
          <w:tcPr>
            <w:tcW w:w="2970" w:type="dxa"/>
            <w:tcBorders>
              <w:top w:val="double" w:sz="4" w:space="0" w:color="000000"/>
              <w:start w:val="double" w:sz="4" w:space="0" w:color="000000"/>
              <w:bottom w:val="double" w:sz="4" w:space="0" w:color="000000"/>
            </w:tcBorders>
          </w:tcPr>
          <w:p>
            <w:pPr>
              <w:pStyle w:val="Normal"/>
              <w:rPr>
                <w:b/>
              </w:rPr>
            </w:pPr>
            <w:r>
              <w:rPr>
                <w:b/>
              </w:rPr>
              <w:t>RAC CAPITAL PRICE</w:t>
            </w:r>
          </w:p>
        </w:tc>
        <w:tc>
          <w:tcPr>
            <w:tcW w:w="900" w:type="dxa"/>
            <w:tcBorders>
              <w:top w:val="double" w:sz="4" w:space="0" w:color="000000"/>
              <w:bottom w:val="double" w:sz="4" w:space="0" w:color="000000"/>
              <w:end w:val="double" w:sz="4" w:space="0" w:color="000000"/>
            </w:tcBorders>
          </w:tcPr>
          <w:p>
            <w:pPr>
              <w:pStyle w:val="Normal"/>
              <w:jc w:val="end"/>
              <w:rPr>
                <w:u w:val="double"/>
              </w:rPr>
            </w:pPr>
            <w:r>
              <w:rPr>
                <w:color w:val="000000"/>
                <w:lang w:eastAsia="en-US"/>
              </w:rPr>
              <w:t>12.33%</w:t>
            </w:r>
          </w:p>
        </w:tc>
      </w:tr>
      <w:tr>
        <w:trPr/>
        <w:tc>
          <w:tcPr>
            <w:tcW w:w="2988" w:type="dxa"/>
            <w:tcBorders/>
          </w:tcPr>
          <w:p>
            <w:pPr>
              <w:pStyle w:val="Header"/>
              <w:widowControl/>
              <w:tabs>
                <w:tab w:val="clear" w:pos="4320"/>
                <w:tab w:val="clear" w:pos="8640"/>
              </w:tabs>
              <w:rPr/>
            </w:pPr>
            <w:r>
              <w:rPr/>
              <w:t xml:space="preserve">    </w:t>
            </w:r>
            <w:r>
              <w:rPr/>
              <w:t>Other Revenue</w:t>
            </w:r>
          </w:p>
        </w:tc>
        <w:tc>
          <w:tcPr>
            <w:tcW w:w="1260" w:type="dxa"/>
            <w:tcBorders>
              <w:bottom w:val="single" w:sz="4" w:space="0" w:color="000000"/>
            </w:tcBorders>
          </w:tcPr>
          <w:p>
            <w:pPr>
              <w:pStyle w:val="Normal"/>
              <w:jc w:val="end"/>
              <w:rPr>
                <w:color w:val="000000"/>
                <w:lang w:eastAsia="en-US"/>
              </w:rPr>
            </w:pPr>
            <w:r>
              <w:rPr>
                <w:color w:val="000000"/>
                <w:lang w:eastAsia="en-US"/>
              </w:rPr>
              <w:t>924</w:t>
            </w:r>
          </w:p>
        </w:tc>
        <w:tc>
          <w:tcPr>
            <w:tcW w:w="1170" w:type="dxa"/>
            <w:tcBorders/>
          </w:tcPr>
          <w:p>
            <w:pPr>
              <w:pStyle w:val="Normal"/>
              <w:jc w:val="end"/>
              <w:rPr>
                <w:u w:val="single"/>
              </w:rPr>
            </w:pPr>
            <w:r>
              <w:rPr>
                <w:color w:val="000000"/>
                <w:u w:val="single"/>
                <w:lang w:eastAsia="en-US"/>
              </w:rPr>
              <w:t>4%</w:t>
            </w:r>
          </w:p>
        </w:tc>
        <w:tc>
          <w:tcPr>
            <w:tcW w:w="540" w:type="dxa"/>
            <w:tcBorders/>
          </w:tcPr>
          <w:p>
            <w:pPr>
              <w:pStyle w:val="Normal"/>
              <w:snapToGrid w:val="false"/>
              <w:jc w:val="end"/>
              <w:rPr>
                <w:color w:val="000000"/>
                <w:u w:val="single"/>
                <w:lang w:eastAsia="en-US"/>
              </w:rPr>
            </w:pPr>
            <w:r>
              <w:rPr>
                <w:color w:val="000000"/>
                <w:u w:val="single"/>
                <w:lang w:eastAsia="en-US"/>
              </w:rPr>
            </w:r>
          </w:p>
        </w:tc>
        <w:tc>
          <w:tcPr>
            <w:tcW w:w="2970" w:type="dxa"/>
            <w:tcBorders/>
          </w:tcPr>
          <w:p>
            <w:pPr>
              <w:pStyle w:val="Normal"/>
              <w:snapToGrid w:val="false"/>
              <w:jc w:val="end"/>
              <w:rPr>
                <w:color w:val="000000"/>
                <w:u w:val="single"/>
                <w:lang w:eastAsia="en-US"/>
              </w:rPr>
            </w:pPr>
            <w:r>
              <w:rPr>
                <w:color w:val="000000"/>
                <w:u w:val="single"/>
                <w:lang w:eastAsia="en-US"/>
              </w:rPr>
            </w:r>
          </w:p>
        </w:tc>
        <w:tc>
          <w:tcPr>
            <w:tcW w:w="900" w:type="dxa"/>
            <w:tcBorders/>
          </w:tcPr>
          <w:p>
            <w:pPr>
              <w:pStyle w:val="Normal"/>
              <w:snapToGrid w:val="false"/>
              <w:jc w:val="end"/>
              <w:rPr>
                <w:color w:val="000000"/>
                <w:u w:val="single"/>
                <w:lang w:eastAsia="en-US"/>
              </w:rPr>
            </w:pPr>
            <w:r>
              <w:rPr>
                <w:color w:val="000000"/>
                <w:u w:val="single"/>
                <w:lang w:eastAsia="en-US"/>
              </w:rPr>
            </w:r>
          </w:p>
        </w:tc>
      </w:tr>
      <w:tr>
        <w:trPr/>
        <w:tc>
          <w:tcPr>
            <w:tcW w:w="2988" w:type="dxa"/>
            <w:tcBorders/>
          </w:tcPr>
          <w:p>
            <w:pPr>
              <w:pStyle w:val="Header"/>
              <w:widowControl/>
              <w:tabs>
                <w:tab w:val="clear" w:pos="4320"/>
                <w:tab w:val="clear" w:pos="8640"/>
              </w:tabs>
              <w:jc w:val="end"/>
              <w:rPr>
                <w:b/>
              </w:rPr>
            </w:pPr>
            <w:r>
              <w:rPr>
                <w:b/>
              </w:rPr>
              <w:t>Gross Transaction Value</w:t>
            </w:r>
          </w:p>
        </w:tc>
        <w:tc>
          <w:tcPr>
            <w:tcW w:w="1260" w:type="dxa"/>
            <w:tcBorders/>
          </w:tcPr>
          <w:p>
            <w:pPr>
              <w:pStyle w:val="Normal"/>
              <w:jc w:val="end"/>
              <w:rPr>
                <w:color w:val="000000"/>
                <w:lang w:eastAsia="en-US"/>
              </w:rPr>
            </w:pPr>
            <w:r>
              <w:rPr>
                <w:color w:val="000000"/>
                <w:lang w:eastAsia="en-US"/>
              </w:rPr>
              <w:t>24,522</w:t>
            </w:r>
          </w:p>
        </w:tc>
        <w:tc>
          <w:tcPr>
            <w:tcW w:w="1170" w:type="dxa"/>
            <w:tcBorders/>
          </w:tcPr>
          <w:p>
            <w:pPr>
              <w:pStyle w:val="Normal"/>
              <w:jc w:val="end"/>
              <w:rPr>
                <w:color w:val="000000"/>
                <w:lang w:eastAsia="en-US"/>
              </w:rPr>
            </w:pPr>
            <w:r>
              <w:rPr>
                <w:color w:val="000000"/>
                <w:lang w:eastAsia="en-US"/>
              </w:rPr>
              <w:t>100%</w:t>
            </w:r>
          </w:p>
        </w:tc>
        <w:tc>
          <w:tcPr>
            <w:tcW w:w="540" w:type="dxa"/>
            <w:tcBorders/>
          </w:tcPr>
          <w:p>
            <w:pPr>
              <w:pStyle w:val="Normal"/>
              <w:snapToGrid w:val="false"/>
              <w:jc w:val="end"/>
              <w:rPr>
                <w:color w:val="000000"/>
                <w:lang w:eastAsia="en-US"/>
              </w:rPr>
            </w:pPr>
            <w:r>
              <w:rPr>
                <w:color w:val="000000"/>
                <w:lang w:eastAsia="en-US"/>
              </w:rPr>
            </w:r>
          </w:p>
        </w:tc>
        <w:tc>
          <w:tcPr>
            <w:tcW w:w="2970" w:type="dxa"/>
            <w:tcBorders/>
          </w:tcPr>
          <w:p>
            <w:pPr>
              <w:pStyle w:val="Normal"/>
              <w:snapToGrid w:val="false"/>
              <w:jc w:val="end"/>
              <w:rPr>
                <w:color w:val="000000"/>
                <w:lang w:eastAsia="en-US"/>
              </w:rPr>
            </w:pPr>
            <w:r>
              <w:rPr>
                <w:color w:val="000000"/>
                <w:lang w:eastAsia="en-US"/>
              </w:rPr>
            </w:r>
          </w:p>
        </w:tc>
        <w:tc>
          <w:tcPr>
            <w:tcW w:w="900" w:type="dxa"/>
            <w:tcBorders/>
          </w:tcPr>
          <w:p>
            <w:pPr>
              <w:pStyle w:val="Normal"/>
              <w:snapToGrid w:val="false"/>
              <w:jc w:val="end"/>
              <w:rPr>
                <w:color w:val="000000"/>
                <w:lang w:eastAsia="en-US"/>
              </w:rPr>
            </w:pPr>
            <w:r>
              <w:rPr>
                <w:color w:val="000000"/>
                <w:lang w:eastAsia="en-US"/>
              </w:rPr>
            </w:r>
          </w:p>
        </w:tc>
      </w:tr>
      <w:tr>
        <w:trPr/>
        <w:tc>
          <w:tcPr>
            <w:tcW w:w="2988" w:type="dxa"/>
            <w:tcBorders/>
          </w:tcPr>
          <w:p>
            <w:pPr>
              <w:pStyle w:val="Header"/>
              <w:widowControl/>
              <w:tabs>
                <w:tab w:val="clear" w:pos="4320"/>
                <w:tab w:val="clear" w:pos="8640"/>
              </w:tabs>
              <w:rPr/>
            </w:pPr>
            <w:r>
              <w:rPr/>
              <w:t>Guaranteed Savings to Customer</w:t>
            </w:r>
          </w:p>
        </w:tc>
        <w:tc>
          <w:tcPr>
            <w:tcW w:w="1260" w:type="dxa"/>
            <w:tcBorders>
              <w:bottom w:val="single" w:sz="4" w:space="0" w:color="000000"/>
            </w:tcBorders>
          </w:tcPr>
          <w:p>
            <w:pPr>
              <w:pStyle w:val="Normal"/>
              <w:jc w:val="end"/>
              <w:rPr>
                <w:color w:val="000000"/>
                <w:lang w:eastAsia="en-US"/>
              </w:rPr>
            </w:pPr>
            <w:r>
              <w:rPr>
                <w:color w:val="000000"/>
                <w:lang w:eastAsia="en-US"/>
              </w:rPr>
              <w:t>(17,277)</w:t>
            </w:r>
          </w:p>
        </w:tc>
        <w:tc>
          <w:tcPr>
            <w:tcW w:w="1170" w:type="dxa"/>
            <w:tcBorders/>
          </w:tcPr>
          <w:p>
            <w:pPr>
              <w:pStyle w:val="Normal"/>
              <w:jc w:val="end"/>
              <w:rPr>
                <w:u w:val="single"/>
              </w:rPr>
            </w:pPr>
            <w:r>
              <w:rPr>
                <w:color w:val="000000"/>
                <w:u w:val="single"/>
                <w:lang w:eastAsia="en-US"/>
              </w:rPr>
              <w:t>70%</w:t>
            </w:r>
          </w:p>
        </w:tc>
        <w:tc>
          <w:tcPr>
            <w:tcW w:w="540" w:type="dxa"/>
            <w:tcBorders/>
          </w:tcPr>
          <w:p>
            <w:pPr>
              <w:pStyle w:val="Normal"/>
              <w:snapToGrid w:val="false"/>
              <w:jc w:val="end"/>
              <w:rPr>
                <w:color w:val="000000"/>
                <w:u w:val="single"/>
                <w:lang w:eastAsia="en-US"/>
              </w:rPr>
            </w:pPr>
            <w:r>
              <w:rPr>
                <w:color w:val="000000"/>
                <w:u w:val="single"/>
                <w:lang w:eastAsia="en-US"/>
              </w:rPr>
            </w:r>
          </w:p>
        </w:tc>
        <w:tc>
          <w:tcPr>
            <w:tcW w:w="2970" w:type="dxa"/>
            <w:tcBorders/>
          </w:tcPr>
          <w:p>
            <w:pPr>
              <w:pStyle w:val="Normal"/>
              <w:snapToGrid w:val="false"/>
              <w:jc w:val="end"/>
              <w:rPr>
                <w:color w:val="000000"/>
                <w:u w:val="single"/>
                <w:lang w:eastAsia="en-US"/>
              </w:rPr>
            </w:pPr>
            <w:r>
              <w:rPr>
                <w:color w:val="000000"/>
                <w:u w:val="single"/>
                <w:lang w:eastAsia="en-US"/>
              </w:rPr>
            </w:r>
          </w:p>
        </w:tc>
        <w:tc>
          <w:tcPr>
            <w:tcW w:w="900" w:type="dxa"/>
            <w:tcBorders/>
          </w:tcPr>
          <w:p>
            <w:pPr>
              <w:pStyle w:val="Normal"/>
              <w:snapToGrid w:val="false"/>
              <w:jc w:val="end"/>
              <w:rPr>
                <w:color w:val="000000"/>
                <w:u w:val="single"/>
                <w:lang w:eastAsia="en-US"/>
              </w:rPr>
            </w:pPr>
            <w:r>
              <w:rPr>
                <w:color w:val="000000"/>
                <w:u w:val="single"/>
                <w:lang w:eastAsia="en-US"/>
              </w:rPr>
            </w:r>
          </w:p>
        </w:tc>
      </w:tr>
      <w:tr>
        <w:trPr/>
        <w:tc>
          <w:tcPr>
            <w:tcW w:w="2988" w:type="dxa"/>
            <w:tcBorders/>
          </w:tcPr>
          <w:p>
            <w:pPr>
              <w:pStyle w:val="Header"/>
              <w:widowControl/>
              <w:tabs>
                <w:tab w:val="clear" w:pos="4320"/>
                <w:tab w:val="clear" w:pos="8640"/>
              </w:tabs>
              <w:jc w:val="end"/>
              <w:rPr>
                <w:b/>
              </w:rPr>
            </w:pPr>
            <w:r>
              <w:rPr>
                <w:b/>
              </w:rPr>
              <w:t>Gross EESO Economic Value</w:t>
            </w:r>
          </w:p>
        </w:tc>
        <w:tc>
          <w:tcPr>
            <w:tcW w:w="1260" w:type="dxa"/>
            <w:tcBorders/>
          </w:tcPr>
          <w:p>
            <w:pPr>
              <w:pStyle w:val="Normal"/>
              <w:jc w:val="end"/>
              <w:rPr/>
            </w:pPr>
            <w:r>
              <w:rPr/>
              <w:t>7,245</w:t>
            </w:r>
          </w:p>
        </w:tc>
        <w:tc>
          <w:tcPr>
            <w:tcW w:w="1170" w:type="dxa"/>
            <w:tcBorders/>
          </w:tcPr>
          <w:p>
            <w:pPr>
              <w:pStyle w:val="Normal"/>
              <w:jc w:val="end"/>
              <w:rPr>
                <w:color w:val="000000"/>
                <w:lang w:eastAsia="en-US"/>
              </w:rPr>
            </w:pPr>
            <w:r>
              <w:rPr>
                <w:color w:val="000000"/>
                <w:lang w:eastAsia="en-US"/>
              </w:rPr>
              <w:t>30%</w:t>
            </w:r>
          </w:p>
        </w:tc>
        <w:tc>
          <w:tcPr>
            <w:tcW w:w="540" w:type="dxa"/>
            <w:tcBorders/>
          </w:tcPr>
          <w:p>
            <w:pPr>
              <w:pStyle w:val="Normal"/>
              <w:snapToGrid w:val="false"/>
              <w:jc w:val="end"/>
              <w:rPr>
                <w:color w:val="000000"/>
                <w:lang w:eastAsia="en-US"/>
              </w:rPr>
            </w:pPr>
            <w:r>
              <w:rPr>
                <w:color w:val="000000"/>
                <w:lang w:eastAsia="en-US"/>
              </w:rPr>
            </w:r>
          </w:p>
        </w:tc>
        <w:tc>
          <w:tcPr>
            <w:tcW w:w="2970" w:type="dxa"/>
            <w:tcBorders/>
          </w:tcPr>
          <w:p>
            <w:pPr>
              <w:pStyle w:val="Normal"/>
              <w:snapToGrid w:val="false"/>
              <w:jc w:val="end"/>
              <w:rPr>
                <w:color w:val="000000"/>
                <w:lang w:eastAsia="en-US"/>
              </w:rPr>
            </w:pPr>
            <w:r>
              <w:rPr>
                <w:color w:val="000000"/>
                <w:lang w:eastAsia="en-US"/>
              </w:rPr>
            </w:r>
          </w:p>
        </w:tc>
        <w:tc>
          <w:tcPr>
            <w:tcW w:w="900" w:type="dxa"/>
            <w:tcBorders/>
          </w:tcPr>
          <w:p>
            <w:pPr>
              <w:pStyle w:val="Normal"/>
              <w:snapToGrid w:val="false"/>
              <w:jc w:val="end"/>
              <w:rPr>
                <w:color w:val="000000"/>
                <w:lang w:eastAsia="en-US"/>
              </w:rPr>
            </w:pPr>
            <w:r>
              <w:rPr>
                <w:color w:val="000000"/>
                <w:lang w:eastAsia="en-US"/>
              </w:rPr>
            </w:r>
          </w:p>
        </w:tc>
      </w:tr>
      <w:tr>
        <w:trPr/>
        <w:tc>
          <w:tcPr>
            <w:tcW w:w="2988" w:type="dxa"/>
            <w:tcBorders/>
          </w:tcPr>
          <w:p>
            <w:pPr>
              <w:pStyle w:val="Header"/>
              <w:widowControl/>
              <w:tabs>
                <w:tab w:val="clear" w:pos="4320"/>
                <w:tab w:val="clear" w:pos="8640"/>
              </w:tabs>
              <w:rPr/>
            </w:pPr>
            <w:r>
              <w:rPr/>
              <w:t>Other Expenses</w:t>
            </w:r>
          </w:p>
        </w:tc>
        <w:tc>
          <w:tcPr>
            <w:tcW w:w="1260" w:type="dxa"/>
            <w:tcBorders/>
          </w:tcPr>
          <w:p>
            <w:pPr>
              <w:pStyle w:val="Normal"/>
              <w:jc w:val="end"/>
              <w:rPr>
                <w:color w:val="000000"/>
                <w:lang w:eastAsia="en-US"/>
              </w:rPr>
            </w:pPr>
            <w:r>
              <w:rPr>
                <w:color w:val="000000"/>
                <w:lang w:eastAsia="en-US"/>
              </w:rPr>
              <w:t>(604)</w:t>
            </w:r>
          </w:p>
        </w:tc>
        <w:tc>
          <w:tcPr>
            <w:tcW w:w="1170" w:type="dxa"/>
            <w:tcBorders/>
          </w:tcPr>
          <w:p>
            <w:pPr>
              <w:pStyle w:val="Normal"/>
              <w:snapToGrid w:val="false"/>
              <w:jc w:val="end"/>
              <w:rPr/>
            </w:pPr>
            <w:r>
              <w:rPr/>
            </w:r>
          </w:p>
        </w:tc>
        <w:tc>
          <w:tcPr>
            <w:tcW w:w="540" w:type="dxa"/>
            <w:tcBorders/>
          </w:tcPr>
          <w:p>
            <w:pPr>
              <w:pStyle w:val="Normal"/>
              <w:snapToGrid w:val="false"/>
              <w:jc w:val="end"/>
              <w:rPr/>
            </w:pPr>
            <w:r>
              <w:rPr/>
            </w:r>
          </w:p>
        </w:tc>
        <w:tc>
          <w:tcPr>
            <w:tcW w:w="2970" w:type="dxa"/>
            <w:tcBorders/>
          </w:tcPr>
          <w:p>
            <w:pPr>
              <w:pStyle w:val="Normal"/>
              <w:snapToGrid w:val="false"/>
              <w:jc w:val="end"/>
              <w:rPr/>
            </w:pPr>
            <w:r>
              <w:rPr/>
            </w:r>
          </w:p>
        </w:tc>
        <w:tc>
          <w:tcPr>
            <w:tcW w:w="900" w:type="dxa"/>
            <w:tcBorders/>
          </w:tcPr>
          <w:p>
            <w:pPr>
              <w:pStyle w:val="Normal"/>
              <w:snapToGrid w:val="false"/>
              <w:jc w:val="end"/>
              <w:rPr/>
            </w:pPr>
            <w:r>
              <w:rPr/>
            </w:r>
          </w:p>
        </w:tc>
      </w:tr>
      <w:tr>
        <w:trPr/>
        <w:tc>
          <w:tcPr>
            <w:tcW w:w="2988" w:type="dxa"/>
            <w:tcBorders/>
          </w:tcPr>
          <w:p>
            <w:pPr>
              <w:pStyle w:val="Header"/>
              <w:widowControl/>
              <w:tabs>
                <w:tab w:val="clear" w:pos="4320"/>
                <w:tab w:val="clear" w:pos="8640"/>
              </w:tabs>
              <w:jc w:val="end"/>
              <w:rPr>
                <w:b/>
              </w:rPr>
            </w:pPr>
            <w:r>
              <w:rPr>
                <w:b/>
              </w:rPr>
              <w:t>Net EESO Economic Value</w:t>
            </w:r>
          </w:p>
        </w:tc>
        <w:tc>
          <w:tcPr>
            <w:tcW w:w="1260" w:type="dxa"/>
            <w:tcBorders>
              <w:top w:val="single" w:sz="4" w:space="0" w:color="000000"/>
              <w:bottom w:val="double" w:sz="4" w:space="0" w:color="000000"/>
            </w:tcBorders>
          </w:tcPr>
          <w:p>
            <w:pPr>
              <w:pStyle w:val="Normal"/>
              <w:jc w:val="end"/>
              <w:rPr/>
            </w:pPr>
            <w:r>
              <w:rPr>
                <w:color w:val="000000"/>
                <w:lang w:eastAsia="en-US"/>
              </w:rPr>
              <w:t>$</w:t>
            </w:r>
            <w:r>
              <w:rPr/>
              <w:t>6,641</w:t>
            </w:r>
          </w:p>
        </w:tc>
        <w:tc>
          <w:tcPr>
            <w:tcW w:w="1170" w:type="dxa"/>
            <w:tcBorders/>
          </w:tcPr>
          <w:p>
            <w:pPr>
              <w:pStyle w:val="Normal"/>
              <w:snapToGrid w:val="false"/>
              <w:jc w:val="end"/>
              <w:rPr/>
            </w:pPr>
            <w:r>
              <w:rPr/>
            </w:r>
          </w:p>
        </w:tc>
        <w:tc>
          <w:tcPr>
            <w:tcW w:w="540" w:type="dxa"/>
            <w:tcBorders/>
          </w:tcPr>
          <w:p>
            <w:pPr>
              <w:pStyle w:val="Normal"/>
              <w:snapToGrid w:val="false"/>
              <w:jc w:val="end"/>
              <w:rPr/>
            </w:pPr>
            <w:r>
              <w:rPr/>
            </w:r>
          </w:p>
        </w:tc>
        <w:tc>
          <w:tcPr>
            <w:tcW w:w="2970" w:type="dxa"/>
            <w:tcBorders/>
          </w:tcPr>
          <w:p>
            <w:pPr>
              <w:pStyle w:val="Normal"/>
              <w:snapToGrid w:val="false"/>
              <w:jc w:val="end"/>
              <w:rPr/>
            </w:pPr>
            <w:r>
              <w:rPr/>
            </w:r>
          </w:p>
        </w:tc>
        <w:tc>
          <w:tcPr>
            <w:tcW w:w="900" w:type="dxa"/>
            <w:tcBorders/>
          </w:tcPr>
          <w:p>
            <w:pPr>
              <w:pStyle w:val="Normal"/>
              <w:snapToGrid w:val="false"/>
              <w:jc w:val="end"/>
              <w:rPr/>
            </w:pPr>
            <w:r>
              <w:rPr/>
            </w:r>
          </w:p>
        </w:tc>
      </w:tr>
    </w:tbl>
    <w:p>
      <w:pPr>
        <w:pStyle w:val="Normal"/>
        <w:rPr/>
      </w:pPr>
      <w:r>
        <w:rPr/>
      </w:r>
    </w:p>
    <w:p>
      <w:pPr>
        <w:pStyle w:val="Normal"/>
        <w:rPr>
          <w:b/>
          <w:sz w:val="18"/>
        </w:rPr>
      </w:pPr>
      <w:r>
        <w:rPr>
          <w:b/>
          <w:sz w:val="18"/>
        </w:rPr>
        <w:t>(*2):  ENE Government Affairs’ view on the SERC deregulation timing &amp; rate decrease during the transition period differ from that of the EESO’s view.  Net EESO Economic Value would have been $3,331 if adjusted to reflect Government Affairs’ view.  RAC Market Risk Management will validate curves for electric tariffs based upon input from EESO and Government Affairs to minimize this discrepancy for future transactions.</w:t>
      </w:r>
      <w:r>
        <w:br w:type="page"/>
      </w:r>
    </w:p>
    <w:p>
      <w:pPr>
        <w:pStyle w:val="Heading1"/>
        <w:ind w:hanging="0" w:start="0"/>
        <w:rPr>
          <w:b/>
          <w:sz w:val="18"/>
        </w:rPr>
      </w:pPr>
      <w:r>
        <w:rPr>
          <w:b/>
          <w:sz w:val="18"/>
        </w:rPr>
        <w:object w:dxaOrig="7681" w:dyaOrig="40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0.4pt;margin-top:10.1pt;width:409.5pt;height:199.5pt;mso-wrap-distance-left:9.05pt;mso-wrap-distance-right:9.05pt;mso-position-horizontal-relative:text;mso-position-vertical-relative:text" filled="f" o:ole="">
            <v:imagedata r:id="rId3" o:title=""/>
            <w10:wrap type="topAndBottom"/>
          </v:shape>
          <o:OLEObject Type="Embed" ProgID="Excel.Sheet.12" ShapeID="ole_rId2" DrawAspect="Content" ObjectID="_252438325" r:id="rId2"/>
        </w:object>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pPr>
      <w:r>
        <w:rPr/>
        <w:t>Option to EESO</w:t>
      </w:r>
    </w:p>
    <w:p>
      <w:pPr>
        <w:pStyle w:val="Normal"/>
        <w:numPr>
          <w:ilvl w:val="0"/>
          <w:numId w:val="5"/>
        </w:numPr>
        <w:ind w:hanging="360" w:start="360" w:end="-36"/>
        <w:rPr/>
      </w:pPr>
      <w:r>
        <w:rPr/>
        <w:t>Coal and propane are not in scope of this deal, although EESO may propose savings opportunities related to coal to Springs.  Coal (approx. $4.0MM in spend annually) is used solely at the Grace Power Co-Generation facility.</w:t>
      </w:r>
    </w:p>
    <w:p>
      <w:pPr>
        <w:pStyle w:val="Normal"/>
        <w:ind w:end="-36"/>
        <w:rPr/>
      </w:pPr>
      <w:r>
        <w:rPr/>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10226" w:type="dxa"/>
        <w:jc w:val="start"/>
        <w:tblInd w:w="378" w:type="dxa"/>
        <w:tblLayout w:type="fixed"/>
        <w:tblCellMar>
          <w:top w:w="0" w:type="dxa"/>
          <w:start w:w="108" w:type="dxa"/>
          <w:bottom w:w="0" w:type="dxa"/>
          <w:end w:w="108" w:type="dxa"/>
        </w:tblCellMar>
      </w:tblPr>
      <w:tblGrid>
        <w:gridCol w:w="5096"/>
        <w:gridCol w:w="5130"/>
      </w:tblGrid>
      <w:tr>
        <w:trPr/>
        <w:tc>
          <w:tcPr>
            <w:tcW w:w="5096"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513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5096" w:type="dxa"/>
            <w:tcBorders>
              <w:top w:val="single" w:sz="6" w:space="0" w:color="000000"/>
              <w:start w:val="single" w:sz="6" w:space="0" w:color="000000"/>
              <w:bottom w:val="single" w:sz="6" w:space="0" w:color="000000"/>
              <w:end w:val="single" w:sz="6" w:space="0" w:color="000000"/>
            </w:tcBorders>
          </w:tcPr>
          <w:p>
            <w:pPr>
              <w:pStyle w:val="Normal"/>
              <w:rPr/>
            </w:pPr>
            <w:r>
              <w:rPr/>
              <w:t>Electricity Pricing Risks – Post Deregulation</w:t>
            </w:r>
          </w:p>
          <w:p>
            <w:pPr>
              <w:pStyle w:val="Normal"/>
              <w:numPr>
                <w:ilvl w:val="0"/>
                <w:numId w:val="3"/>
              </w:numPr>
              <w:rPr/>
            </w:pPr>
            <w:r>
              <w:rPr/>
              <w:t xml:space="preserve">Majority of the electricity revenue will be derived from the basis differential between the revenue based on certain pre-determined wholesale index + fixed basis adder per site, and the cost based on the forecasted regional market energy and delivery prices. </w:t>
            </w:r>
          </w:p>
          <w:p>
            <w:pPr>
              <w:pStyle w:val="Normal"/>
              <w:numPr>
                <w:ilvl w:val="0"/>
                <w:numId w:val="3"/>
              </w:numPr>
              <w:rPr/>
            </w:pPr>
            <w:r>
              <w:rPr/>
              <w:t>Differences between the forecasted and the actual timing and structure of the market deregulation may cause the expected deal value to decrease.</w:t>
            </w:r>
          </w:p>
          <w:p>
            <w:pPr>
              <w:pStyle w:val="Normal"/>
              <w:numPr>
                <w:ilvl w:val="0"/>
                <w:numId w:val="3"/>
              </w:numPr>
              <w:rPr/>
            </w:pPr>
            <w:r>
              <w:rPr/>
              <w:t>Unexpected volatility in the non-generation delivery costs for power may cause the deal value to decrease.</w:t>
            </w:r>
          </w:p>
          <w:p>
            <w:pPr>
              <w:pStyle w:val="Normal"/>
              <w:numPr>
                <w:ilvl w:val="0"/>
                <w:numId w:val="3"/>
              </w:numPr>
              <w:rPr/>
            </w:pPr>
            <w:r>
              <w:rPr/>
              <w:t>EESO’s deregulation timing and rate cut assumptions were reviewed by the Corporate Government Affairs Group.  Had the Government Affairs’ recommendation of the rate cut assumptions during 2002 – 2006 been reflected in the valuation, the transaction NPV would have been $3,331 instead of $6,641.  The transaction NPV could further decrease by about $1.4 MM if EESO’ rate cut assumptions during 2006 – 2009 were adjusted to reflect Government Affairs’ assessment.</w:t>
            </w:r>
          </w:p>
          <w:p>
            <w:pPr>
              <w:pStyle w:val="Normal"/>
              <w:numPr>
                <w:ilvl w:val="0"/>
                <w:numId w:val="3"/>
              </w:numPr>
              <w:rPr/>
            </w:pPr>
            <w:r>
              <w:rPr/>
              <w:t>If the timing of deregulation for all the states involved is delayed for one year, the transaction NPV will decrease by $3.7 MM.</w:t>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4"/>
              </w:numPr>
              <w:rPr/>
            </w:pPr>
            <w:r>
              <w:rPr/>
              <w:t>Active and effective participation in the regulatory/legislative process in North Carolina, South Carolina and Georgia should increase the probability of achieving EESO’ deregulation assumptions.</w:t>
            </w:r>
          </w:p>
        </w:tc>
      </w:tr>
      <w:tr>
        <w:trPr/>
        <w:tc>
          <w:tcPr>
            <w:tcW w:w="5096"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DSM Savings Estimation Risks</w:t>
            </w:r>
          </w:p>
          <w:p>
            <w:pPr>
              <w:pStyle w:val="Normal"/>
              <w:numPr>
                <w:ilvl w:val="0"/>
                <w:numId w:val="10"/>
              </w:numPr>
              <w:rPr/>
            </w:pPr>
            <w:r>
              <w:rPr/>
              <w:t>Out of the 61 sites covered under the agreement, EESO engineers visited 6 sites, which represented 49% of the total sites’ annual energy costs.  The resulting DSM analysis was extrapolated for the remaining 55 sites.</w:t>
            </w:r>
          </w:p>
          <w:p>
            <w:pPr>
              <w:pStyle w:val="Normal"/>
              <w:numPr>
                <w:ilvl w:val="0"/>
                <w:numId w:val="10"/>
              </w:numPr>
              <w:rPr/>
            </w:pPr>
            <w:r>
              <w:rPr/>
              <w:t>The forecasted net DSM savings will decrease due to any of the assumption errors in the DSM projects costs, timing of implementation, and the level of expected consumption savings.</w:t>
            </w:r>
          </w:p>
          <w:p>
            <w:pPr>
              <w:pStyle w:val="Normal"/>
              <w:numPr>
                <w:ilvl w:val="0"/>
                <w:numId w:val="10"/>
              </w:numPr>
              <w:rPr/>
            </w:pPr>
            <w:r>
              <w:rPr/>
              <w:t>The realized DSM savings may be adversely impacted if the operations &amp; maintenance services on the energy assets are not properly performed.</w:t>
            </w:r>
          </w:p>
          <w:p>
            <w:pPr>
              <w:pStyle w:val="Normal"/>
              <w:numPr>
                <w:ilvl w:val="0"/>
                <w:numId w:val="10"/>
              </w:numPr>
              <w:rPr/>
            </w:pPr>
            <w:r>
              <w:rPr/>
              <w:t>EESO has limited track record on delivering forecasted DSM savings in energy management arrangements signed to date.</w:t>
            </w:r>
          </w:p>
        </w:tc>
        <w:tc>
          <w:tcPr>
            <w:tcW w:w="513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Normal"/>
              <w:numPr>
                <w:ilvl w:val="0"/>
                <w:numId w:val="12"/>
              </w:numPr>
              <w:rPr/>
            </w:pPr>
            <w:r>
              <w:rPr/>
              <w:t>A specialized engineering consulting firm audited each of the 6 sample sites to obtain systems data.  Observations were recorded and specific measures were recommended for each system. Results from the sample were extrapolated linearly to the remaining sites as they are thought to be undercapitalized and without conservation programs.</w:t>
            </w:r>
          </w:p>
          <w:p>
            <w:pPr>
              <w:pStyle w:val="Normal"/>
              <w:numPr>
                <w:ilvl w:val="0"/>
                <w:numId w:val="12"/>
              </w:numPr>
              <w:rPr/>
            </w:pPr>
            <w:r>
              <w:rPr/>
              <w:t>The engineers used spot measurements, nameplate information, and operating conditions.  Plant personnel provided the runtime schedules.  This information provided current energy consumption.  Potential, reduced consumption was calculated using new equipment information such as size and energy ratings.</w:t>
            </w:r>
          </w:p>
          <w:p>
            <w:pPr>
              <w:pStyle w:val="Normal"/>
              <w:numPr>
                <w:ilvl w:val="0"/>
                <w:numId w:val="12"/>
              </w:numPr>
              <w:rPr/>
            </w:pPr>
            <w:r>
              <w:rPr/>
              <w:t xml:space="preserve">The O&amp;M risk may be mitigated if EESO proceeds with Phase II upon a mutual agreement during transition. </w:t>
            </w:r>
          </w:p>
        </w:tc>
      </w:tr>
      <w:tr>
        <w:trPr/>
        <w:tc>
          <w:tcPr>
            <w:tcW w:w="5096" w:type="dxa"/>
            <w:tcBorders>
              <w:top w:val="single" w:sz="6" w:space="0" w:color="000000"/>
              <w:start w:val="single" w:sz="6" w:space="0" w:color="000000"/>
              <w:bottom w:val="single" w:sz="6" w:space="0" w:color="000000"/>
              <w:end w:val="single" w:sz="6" w:space="0" w:color="000000"/>
            </w:tcBorders>
          </w:tcPr>
          <w:p>
            <w:pPr>
              <w:pStyle w:val="Normal"/>
              <w:rPr/>
            </w:pPr>
            <w:r>
              <w:rPr/>
              <w:t>Counterparty Credit Risks</w:t>
            </w:r>
          </w:p>
          <w:p>
            <w:pPr>
              <w:pStyle w:val="Normal"/>
              <w:numPr>
                <w:ilvl w:val="0"/>
                <w:numId w:val="2"/>
              </w:numPr>
              <w:rPr/>
            </w:pPr>
            <w:r>
              <w:rPr/>
              <w:t xml:space="preserve">The market capitalization of Springs has decreased by 7% since December 1995.  The firm reported a net loss in 2 of last 4 years.  Gross and operating margins have shrunk from 21% and 7% to 18% and 4% between 1994 and 1999, respectively.  In the same period, ROA, ROE, and ROC contracted from 5%, 11% and 9% percent to 3%, 5% and 5% percent, respectively.  </w:t>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7"/>
              </w:numPr>
              <w:rPr/>
            </w:pPr>
            <w:r>
              <w:rPr/>
              <w:t>A recent restructuring program is improving Springs financial outlook.  Total debt to capitalization ratio  declined from 34% to 29% between 1994 and 1999.  For the same period, current ratio has improved from 2.5 to 3.4.  Due to its conservative balance sheet, S&amp;P maintains a BBB+ rating and stable outlook for Springs.</w:t>
            </w:r>
          </w:p>
        </w:tc>
      </w:tr>
      <w:tr>
        <w:trPr/>
        <w:tc>
          <w:tcPr>
            <w:tcW w:w="5096" w:type="dxa"/>
            <w:tcBorders>
              <w:top w:val="single" w:sz="6" w:space="0" w:color="000000"/>
              <w:start w:val="single" w:sz="6" w:space="0" w:color="000000"/>
              <w:bottom w:val="single" w:sz="6" w:space="0" w:color="000000"/>
              <w:end w:val="single" w:sz="6" w:space="0" w:color="000000"/>
            </w:tcBorders>
          </w:tcPr>
          <w:p>
            <w:pPr>
              <w:pStyle w:val="Normal"/>
              <w:rPr/>
            </w:pPr>
            <w:r>
              <w:rPr/>
              <w:t>Consumption Risks</w:t>
            </w:r>
          </w:p>
          <w:p>
            <w:pPr>
              <w:pStyle w:val="Normal"/>
              <w:numPr>
                <w:ilvl w:val="0"/>
                <w:numId w:val="8"/>
              </w:numPr>
              <w:rPr/>
            </w:pPr>
            <w:r>
              <w:rPr/>
              <w:t>EESO pricing is valid within consumption level changes up/down to 14% of the baseline volumes.</w:t>
            </w:r>
          </w:p>
          <w:p>
            <w:pPr>
              <w:pStyle w:val="Header"/>
              <w:widowControl/>
              <w:tabs>
                <w:tab w:val="clear" w:pos="4320"/>
                <w:tab w:val="clear" w:pos="8640"/>
              </w:tabs>
              <w:rPr/>
            </w:pPr>
            <w:r>
              <w:rPr/>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6"/>
              </w:numPr>
              <w:rPr/>
            </w:pPr>
            <w:r>
              <w:rPr/>
              <w:t>In addition to the 14% variance check, EESO has various adjustment clauses in the contract.  In essence, an adjustment to the baseline may take place when abnormal consumption is observed and is quantifiable.  The discount paid to the customer is a multiplier of the baseline consumption.</w:t>
            </w:r>
          </w:p>
          <w:p>
            <w:pPr>
              <w:pStyle w:val="Normal"/>
              <w:numPr>
                <w:ilvl w:val="0"/>
                <w:numId w:val="6"/>
              </w:numPr>
              <w:rPr/>
            </w:pPr>
            <w:r>
              <w:rPr/>
              <w:t xml:space="preserve">Customer bears material alteration risks if it fails to notify EESO 15 days prior to major volume variances.  </w:t>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780"/>
        <w:gridCol w:w="1260"/>
        <w:gridCol w:w="1260"/>
        <w:gridCol w:w="1350"/>
        <w:gridCol w:w="1260"/>
        <w:gridCol w:w="108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Poor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Fair</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Good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Very Good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Excellent</w:t>
            </w:r>
          </w:p>
        </w:tc>
      </w:tr>
      <w:tr>
        <w:trPr/>
        <w:tc>
          <w:tcPr>
            <w:tcW w:w="37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 xml:space="preserve">Management               </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Heading6"/>
              <w:ind w:hanging="0" w:start="0"/>
              <w:rPr/>
            </w:pPr>
            <w:r>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Heading6"/>
              <w:ind w:hanging="0" w:start="0"/>
              <w:rPr/>
            </w:pPr>
            <w:r>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Heading6"/>
              <w:ind w:hanging="0" w:start="0"/>
              <w:rPr/>
            </w:pPr>
            <w:r>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Lou Pai</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Vicki Sharp</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Government Affairs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Steven Kean/Jim Steffes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Fastow/Jeff McMahon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/mnt/main-storage/datasets/enron-docs/doc/DASH_0420b.doc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Springs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360" w:start="0" w:end="-30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2000-04-20T17:31:00Z</dcterms:created>
  <dc:creator>mruane</dc:creator>
  <dc:description/>
  <dc:language>en-CA</dc:language>
  <cp:lastModifiedBy>kbarbou</cp:lastModifiedBy>
  <cp:lastPrinted>2000-04-21T08:22:00Z</cp:lastPrinted>
  <dcterms:modified xsi:type="dcterms:W3CDTF">2000-04-21T10:52:00Z</dcterms:modified>
  <cp:revision>16</cp:revision>
  <dc:subject/>
  <dc:title>ENRON RISK ASSESSMENT AND CONTROL</dc:title>
</cp:coreProperties>
</file>