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Quebecor</w:t>
            </w:r>
          </w:p>
          <w:p>
            <w:pPr>
              <w:pStyle w:val="Normal"/>
              <w:ind w:end="792"/>
              <w:rPr/>
            </w:pPr>
            <w:r>
              <w:rPr/>
              <w:t>Counterparty:  Quebecor World USA, Inc. and Quebecor Printing USA, Inc. &amp; the Facility Operators</w:t>
            </w:r>
          </w:p>
          <w:p>
            <w:pPr>
              <w:pStyle w:val="Normal"/>
              <w:rPr/>
            </w:pPr>
            <w:r>
              <w:rPr/>
              <w:t>Business Unit:  EESO</w:t>
            </w:r>
          </w:p>
          <w:p>
            <w:pPr>
              <w:pStyle w:val="Normal"/>
              <w:rPr/>
            </w:pPr>
            <w:r>
              <w:rPr/>
              <w:t>Business Unit Originator:  Craig Sutter/Mike Moore</w:t>
            </w:r>
          </w:p>
          <w:p>
            <w:pPr>
              <w:pStyle w:val="Normal"/>
              <w:tabs>
                <w:tab w:val="clear" w:pos="720"/>
                <w:tab w:val="left" w:pos="1530" w:leader="none"/>
              </w:tabs>
              <w:rPr/>
            </w:pPr>
            <w:r>
              <w:rPr>
                <w:rFonts w:cs="Wingdings" w:ascii="Wingdings" w:hAnsi="Wingdings"/>
              </w:rPr>
              <w:sym w:font="Wingdings" w:char="f070"/>
            </w:r>
            <w:r>
              <w:rPr/>
              <w:t>Public</w:t>
              <w:tab/>
            </w:r>
            <w:r>
              <w:rPr>
                <w:rFonts w:eastAsia="Wingding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eastAsia="Wingdings" w:cs="Wingdings" w:ascii="Wingdings" w:hAnsi="Wingdings"/>
              </w:rPr>
              <w:sym w:font="Wingdings" w:char="f078"/>
            </w:r>
            <w:r>
              <w:rPr/>
              <w:t>Strategic</w:t>
            </w:r>
          </w:p>
          <w:p>
            <w:pPr>
              <w:pStyle w:val="Header"/>
              <w:tabs>
                <w:tab w:val="left" w:pos="1530" w:leader="none"/>
                <w:tab w:val="center" w:pos="4320" w:leader="none"/>
                <w:tab w:val="right" w:pos="8640" w:leader="none"/>
              </w:tabs>
              <w:rPr/>
            </w:pPr>
            <w:r>
              <w:rPr>
                <w:rFonts w:eastAsia="Wingding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April 20, 2000</w:t>
            </w:r>
          </w:p>
          <w:p>
            <w:pPr>
              <w:pStyle w:val="Normal"/>
              <w:ind w:firstLine="90" w:start="-198" w:end="-1095"/>
              <w:rPr/>
            </w:pPr>
            <w:r>
              <w:rPr/>
              <w:t>RAC Analyst:  Kate Lucas/Farhad Ahad</w:t>
            </w:r>
          </w:p>
          <w:p>
            <w:pPr>
              <w:pStyle w:val="Normal"/>
              <w:ind w:firstLine="90" w:start="-198" w:end="-738"/>
              <w:rPr/>
            </w:pPr>
            <w:r>
              <w:rPr/>
              <w:t>Investment Type:  Bundled Outsourcing</w:t>
            </w:r>
          </w:p>
          <w:p>
            <w:pPr>
              <w:pStyle w:val="Normal"/>
              <w:ind w:firstLine="90" w:start="-198" w:end="-738"/>
              <w:rPr/>
            </w:pPr>
            <w:r>
              <w:rPr/>
              <w:t>Capital Funding Source(s):  Balance Sheet</w:t>
            </w:r>
          </w:p>
          <w:p>
            <w:pPr>
              <w:pStyle w:val="Normal"/>
              <w:ind w:firstLine="90" w:start="-198" w:end="-738"/>
              <w:rPr/>
            </w:pPr>
            <w:r>
              <w:rPr/>
              <w:t>Expected Closing Date:  April, 2000</w:t>
            </w:r>
          </w:p>
          <w:p>
            <w:pPr>
              <w:pStyle w:val="Normal"/>
              <w:ind w:firstLine="90" w:start="-198" w:end="-738"/>
              <w:rPr/>
            </w:pPr>
            <w:r>
              <w:rPr/>
              <w:t>Expected Funding Date:  04/00 – 12/01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 xml:space="preserve">APPROVAL AMOUNT </w:t>
      </w:r>
    </w:p>
    <w:p>
      <w:pPr>
        <w:pStyle w:val="Normal"/>
        <w:numPr>
          <w:ilvl w:val="0"/>
          <w:numId w:val="11"/>
        </w:numPr>
        <w:rPr/>
      </w:pPr>
      <w:r>
        <w:rPr/>
        <w:t>To enter into a 10-year Energy Management Agreement with each of Quebecor World USA, Inc. (“QW”), Quebecor Printing USA, Inc. (“QP”) and their respective Facility Operators to provide energy management, bill management and project services.   The combined transaction TCV is about $872 MM.</w:t>
      </w:r>
    </w:p>
    <w:p>
      <w:pPr>
        <w:pStyle w:val="Normal"/>
        <w:rPr/>
      </w:pPr>
      <w:r>
        <w:rPr/>
      </w:r>
    </w:p>
    <w:tbl>
      <w:tblPr>
        <w:tblW w:w="4410" w:type="dxa"/>
        <w:jc w:val="start"/>
        <w:tblInd w:w="1098" w:type="dxa"/>
        <w:tblLayout w:type="fixed"/>
        <w:tblCellMar>
          <w:top w:w="0" w:type="dxa"/>
          <w:start w:w="108" w:type="dxa"/>
          <w:bottom w:w="0" w:type="dxa"/>
          <w:end w:w="108" w:type="dxa"/>
        </w:tblCellMar>
      </w:tblPr>
      <w:tblGrid>
        <w:gridCol w:w="2790"/>
        <w:gridCol w:w="720"/>
        <w:gridCol w:w="900"/>
      </w:tblGrid>
      <w:tr>
        <w:trPr/>
        <w:tc>
          <w:tcPr>
            <w:tcW w:w="2790" w:type="dxa"/>
            <w:tcBorders/>
          </w:tcPr>
          <w:p>
            <w:pPr>
              <w:pStyle w:val="Normal"/>
              <w:ind w:end="-36"/>
              <w:rPr/>
            </w:pPr>
            <w:r>
              <w:rPr/>
              <w:t>PV8 of Guaranteed Savings</w:t>
            </w:r>
          </w:p>
        </w:tc>
        <w:tc>
          <w:tcPr>
            <w:tcW w:w="720" w:type="dxa"/>
            <w:tcBorders/>
          </w:tcPr>
          <w:p>
            <w:pPr>
              <w:pStyle w:val="Normal"/>
              <w:ind w:end="-36"/>
              <w:jc w:val="end"/>
              <w:rPr/>
            </w:pPr>
            <w:r>
              <w:rPr/>
              <w:t>$ 36.7</w:t>
            </w:r>
          </w:p>
        </w:tc>
        <w:tc>
          <w:tcPr>
            <w:tcW w:w="900" w:type="dxa"/>
            <w:tcBorders/>
          </w:tcPr>
          <w:p>
            <w:pPr>
              <w:pStyle w:val="Normal"/>
              <w:ind w:end="-36"/>
              <w:rPr/>
            </w:pPr>
            <w:r>
              <w:rPr/>
              <w:t>MM</w:t>
            </w:r>
          </w:p>
        </w:tc>
      </w:tr>
      <w:tr>
        <w:trPr/>
        <w:tc>
          <w:tcPr>
            <w:tcW w:w="2790" w:type="dxa"/>
            <w:tcBorders/>
          </w:tcPr>
          <w:p>
            <w:pPr>
              <w:pStyle w:val="Normal"/>
              <w:ind w:end="-306"/>
              <w:rPr/>
            </w:pPr>
            <w:r>
              <w:rPr/>
              <w:t>DSM Capital – Expected</w:t>
            </w:r>
          </w:p>
        </w:tc>
        <w:tc>
          <w:tcPr>
            <w:tcW w:w="720" w:type="dxa"/>
            <w:tcBorders/>
          </w:tcPr>
          <w:p>
            <w:pPr>
              <w:pStyle w:val="Normal"/>
              <w:ind w:end="-306"/>
              <w:jc w:val="center"/>
              <w:rPr/>
            </w:pPr>
            <w:r>
              <w:rPr/>
              <w:t>28.3</w:t>
            </w:r>
          </w:p>
        </w:tc>
        <w:tc>
          <w:tcPr>
            <w:tcW w:w="900" w:type="dxa"/>
            <w:tcBorders/>
          </w:tcPr>
          <w:p>
            <w:pPr>
              <w:pStyle w:val="Normal"/>
              <w:snapToGrid w:val="false"/>
              <w:ind w:end="-306"/>
              <w:rPr/>
            </w:pPr>
            <w:r>
              <w:rPr/>
            </w:r>
          </w:p>
        </w:tc>
      </w:tr>
      <w:tr>
        <w:trPr/>
        <w:tc>
          <w:tcPr>
            <w:tcW w:w="2790" w:type="dxa"/>
            <w:tcBorders/>
          </w:tcPr>
          <w:p>
            <w:pPr>
              <w:pStyle w:val="Normal"/>
              <w:ind w:end="-306"/>
              <w:rPr/>
            </w:pPr>
            <w:r>
              <w:rPr/>
              <w:t>Cash Promotional Fees (*1)</w:t>
            </w:r>
          </w:p>
        </w:tc>
        <w:tc>
          <w:tcPr>
            <w:tcW w:w="720" w:type="dxa"/>
            <w:tcBorders/>
          </w:tcPr>
          <w:p>
            <w:pPr>
              <w:pStyle w:val="Normal"/>
              <w:ind w:end="-36"/>
              <w:jc w:val="end"/>
              <w:rPr/>
            </w:pPr>
            <w:r>
              <w:rPr/>
              <w:t>5.0</w:t>
            </w:r>
          </w:p>
        </w:tc>
        <w:tc>
          <w:tcPr>
            <w:tcW w:w="900" w:type="dxa"/>
            <w:tcBorders/>
          </w:tcPr>
          <w:p>
            <w:pPr>
              <w:pStyle w:val="Normal"/>
              <w:snapToGrid w:val="false"/>
              <w:ind w:end="-306"/>
              <w:rPr/>
            </w:pPr>
            <w:r>
              <w:rPr/>
            </w:r>
          </w:p>
        </w:tc>
      </w:tr>
      <w:tr>
        <w:trPr/>
        <w:tc>
          <w:tcPr>
            <w:tcW w:w="2790" w:type="dxa"/>
            <w:tcBorders/>
          </w:tcPr>
          <w:p>
            <w:pPr>
              <w:pStyle w:val="Normal"/>
              <w:ind w:end="-306"/>
              <w:rPr/>
            </w:pPr>
            <w:r>
              <w:rPr/>
              <w:t>VaR</w:t>
            </w:r>
          </w:p>
        </w:tc>
        <w:tc>
          <w:tcPr>
            <w:tcW w:w="720" w:type="dxa"/>
            <w:tcBorders/>
          </w:tcPr>
          <w:p>
            <w:pPr>
              <w:pStyle w:val="Normal"/>
              <w:ind w:end="-36"/>
              <w:jc w:val="end"/>
              <w:rPr>
                <w:u w:val="single"/>
              </w:rPr>
            </w:pPr>
            <w:r>
              <w:rPr>
                <w:u w:val="single"/>
              </w:rPr>
              <w:t xml:space="preserve"> </w:t>
            </w:r>
            <w:r>
              <w:rPr>
                <w:u w:val="single"/>
              </w:rPr>
              <w:t xml:space="preserve">3.4 </w:t>
            </w:r>
          </w:p>
        </w:tc>
        <w:tc>
          <w:tcPr>
            <w:tcW w:w="900" w:type="dxa"/>
            <w:tcBorders/>
          </w:tcPr>
          <w:p>
            <w:pPr>
              <w:pStyle w:val="Normal"/>
              <w:snapToGrid w:val="false"/>
              <w:ind w:end="-306"/>
              <w:rPr>
                <w:u w:val="single"/>
              </w:rPr>
            </w:pPr>
            <w:r>
              <w:rPr>
                <w:u w:val="single"/>
              </w:rPr>
            </w:r>
          </w:p>
        </w:tc>
      </w:tr>
      <w:tr>
        <w:trPr/>
        <w:tc>
          <w:tcPr>
            <w:tcW w:w="2790" w:type="dxa"/>
            <w:tcBorders/>
          </w:tcPr>
          <w:p>
            <w:pPr>
              <w:pStyle w:val="Normal"/>
              <w:ind w:end="-306"/>
              <w:rPr/>
            </w:pPr>
            <w:r>
              <w:rPr/>
              <w:t>Total</w:t>
            </w:r>
          </w:p>
        </w:tc>
        <w:tc>
          <w:tcPr>
            <w:tcW w:w="720" w:type="dxa"/>
            <w:tcBorders/>
          </w:tcPr>
          <w:p>
            <w:pPr>
              <w:pStyle w:val="Normal"/>
              <w:ind w:end="-36"/>
              <w:jc w:val="end"/>
              <w:rPr>
                <w:u w:val="double"/>
              </w:rPr>
            </w:pPr>
            <w:r>
              <w:rPr>
                <w:u w:val="double"/>
              </w:rPr>
              <w:t>$ 73.4</w:t>
            </w:r>
          </w:p>
        </w:tc>
        <w:tc>
          <w:tcPr>
            <w:tcW w:w="900" w:type="dxa"/>
            <w:tcBorders/>
          </w:tcPr>
          <w:p>
            <w:pPr>
              <w:pStyle w:val="Normal"/>
              <w:ind w:end="-306"/>
              <w:rPr/>
            </w:pPr>
            <w:r>
              <w:rPr/>
              <w:t>MM</w:t>
            </w:r>
          </w:p>
        </w:tc>
      </w:tr>
    </w:tbl>
    <w:p>
      <w:pPr>
        <w:pStyle w:val="Normal"/>
        <w:rPr/>
      </w:pPr>
      <w:r>
        <w:rPr/>
        <w:t>(*1):  An additional cash promotion fee of $1.5 MM was paid to WCP in 06/98 upon signing of the original agreement.</w:t>
      </w:r>
    </w:p>
    <w:p>
      <w:pPr>
        <w:pStyle w:val="Heading1"/>
        <w:pBdr>
          <w:top w:val="single" w:sz="8" w:space="1" w:color="000000"/>
        </w:pBdr>
        <w:ind w:hanging="0" w:start="0" w:end="-36"/>
        <w:rPr/>
      </w:pPr>
      <w:r>
        <w:rPr/>
        <w:t>EXPOSURE SUMMARY</w:t>
      </w:r>
    </w:p>
    <w:p>
      <w:pPr>
        <w:pStyle w:val="Normal"/>
        <w:ind w:start="360" w:end="0"/>
        <w:rPr/>
      </w:pPr>
      <w:r>
        <w:rPr/>
        <w:t>This transaction:</w:t>
        <w:tab/>
        <w:tab/>
        <w:t>$ 73.4 MM</w:t>
      </w:r>
    </w:p>
    <w:p>
      <w:pPr>
        <w:pStyle w:val="Normal"/>
        <w:ind w:start="360" w:end="0"/>
        <w:rPr/>
      </w:pPr>
      <w:r>
        <w:rPr/>
        <w:t>Total</w:t>
        <w:tab/>
        <w:tab/>
        <w:tab/>
        <w:t>$ 74.9 MM</w:t>
      </w:r>
    </w:p>
    <w:p>
      <w:pPr>
        <w:pStyle w:val="Heading2"/>
        <w:widowControl/>
        <w:pBdr>
          <w:top w:val="single" w:sz="8" w:space="1" w:color="000000"/>
        </w:pBdr>
        <w:ind w:hanging="0" w:start="0" w:end="-36"/>
        <w:rPr>
          <w:i w:val="false"/>
          <w:i w:val="false"/>
        </w:rPr>
      </w:pPr>
      <w:r>
        <w:rPr>
          <w:i w:val="false"/>
        </w:rPr>
        <w:t>DEAL DESCRIPTION</w:t>
      </w:r>
    </w:p>
    <w:p>
      <w:pPr>
        <w:pStyle w:val="Normal"/>
        <w:numPr>
          <w:ilvl w:val="0"/>
          <w:numId w:val="8"/>
        </w:numPr>
        <w:rPr/>
      </w:pPr>
      <w:r>
        <w:rPr/>
        <w:t>EESO signed an energy outsourcing transaction with World Color Press (“WCP”) in 09/98.  WCP was acquired by Quebecor Printing, Inc. (“Quebecor”) in 10/99.  EESO had not implemented any of the identified DSM projects due to the pending merger.  This new agreement with QW and QP supercedes the original agreement with WCP.</w:t>
      </w:r>
    </w:p>
    <w:p>
      <w:pPr>
        <w:pStyle w:val="Normal"/>
        <w:numPr>
          <w:ilvl w:val="0"/>
          <w:numId w:val="8"/>
        </w:numPr>
        <w:rPr/>
      </w:pPr>
      <w:r>
        <w:rPr/>
        <w:t>Quebecor, the parent company of QW and QP, operates in three industry segments: publishing &amp; distribution, printing, and forest products and is rated BBB/Baa2 by S&amp;P and Moody’s, respectively. QW and QP’s performance obligation under the agreements are not guaranteed by Quebecor, however.</w:t>
      </w:r>
    </w:p>
    <w:p>
      <w:pPr>
        <w:pStyle w:val="Normal"/>
        <w:numPr>
          <w:ilvl w:val="0"/>
          <w:numId w:val="8"/>
        </w:numPr>
        <w:rPr/>
      </w:pPr>
      <w:r>
        <w:rPr/>
        <w:t>QW is rated BBB-/Baa3 by S&amp;P and Moody’s, respectively, and has an E-rating of 5.  QP is not publicly rated.  An implied E-rating of 5 is assigned by RAC Credit based on the ratings of Quebecor and QW.</w:t>
      </w:r>
    </w:p>
    <w:p>
      <w:pPr>
        <w:pStyle w:val="Normal"/>
        <w:numPr>
          <w:ilvl w:val="0"/>
          <w:numId w:val="8"/>
        </w:numPr>
        <w:rPr/>
      </w:pPr>
      <w:r>
        <w:rPr/>
        <w:t xml:space="preserve">The combined agreement will provide services to 66 Quebecor locations throughout the United States, with over 50% of the electricity consumption in California, Illinois, Georgia, Mississippi, Tennessee, and Virginia. </w:t>
      </w:r>
    </w:p>
    <w:p>
      <w:pPr>
        <w:pStyle w:val="Normal"/>
        <w:numPr>
          <w:ilvl w:val="0"/>
          <w:numId w:val="8"/>
        </w:numPr>
        <w:rPr/>
      </w:pPr>
      <w:r>
        <w:rPr/>
        <w:t>EESO will guarantee the customers a 6.6% discount off its annual baseline energy cost of $105 MM, allocated between electricity and gas costs.</w:t>
      </w:r>
    </w:p>
    <w:p>
      <w:pPr>
        <w:pStyle w:val="Normal"/>
        <w:numPr>
          <w:ilvl w:val="0"/>
          <w:numId w:val="8"/>
        </w:numPr>
        <w:rPr/>
      </w:pPr>
      <w:r>
        <w:rPr/>
        <w:t>EESO will have the option, but not the obligation, to implement DSM projects to achieve energy consumption savings.  It will be the sole beneficiary of the DSM projects’ stipulated and measurable energy consumption savings over the useful life of the projects. The savings extending beyond the agreement term will be paid to EESO upon termination.  Each facility operator will continue to be responsible for the maintenance and operation of its energy assets.</w:t>
      </w:r>
    </w:p>
    <w:p>
      <w:pPr>
        <w:pStyle w:val="Heading2"/>
        <w:widowControl/>
        <w:pBdr>
          <w:top w:val="single" w:sz="8" w:space="1" w:color="000000"/>
        </w:pBdr>
        <w:ind w:hanging="0" w:start="0" w:end="-36"/>
        <w:rPr>
          <w:i w:val="false"/>
          <w:i w:val="false"/>
        </w:rPr>
      </w:pPr>
      <w:r>
        <w:rPr>
          <w:i w:val="false"/>
        </w:rPr>
        <w:t xml:space="preserve">TRANSACTION SOURCES AND USES OF FUNDS </w:t>
      </w:r>
    </w:p>
    <w:p>
      <w:pPr>
        <w:pStyle w:val="Normal"/>
        <w:numPr>
          <w:ilvl w:val="0"/>
          <w:numId w:val="9"/>
        </w:numPr>
        <w:rPr>
          <w:i/>
          <w:i/>
        </w:rPr>
      </w:pPr>
      <w:r>
        <w:rPr/>
        <w:t>$5 MM promotion fees will be paid to QW and QP at closing.</w:t>
      </w:r>
    </w:p>
    <w:p>
      <w:pPr>
        <w:pStyle w:val="Heading2"/>
        <w:widowControl/>
        <w:pBdr>
          <w:top w:val="single" w:sz="8" w:space="1" w:color="000000"/>
        </w:pBdr>
        <w:ind w:hanging="0" w:start="0" w:end="-36"/>
        <w:rPr/>
      </w:pPr>
      <w:r>
        <w:rPr/>
        <w:t xml:space="preserve">RETURN SUMMARY – </w:t>
      </w:r>
      <w:r>
        <w:rPr>
          <w:i w:val="false"/>
        </w:rPr>
        <w:t>Based on EESO deterministic model</w:t>
      </w:r>
    </w:p>
    <w:tbl>
      <w:tblPr>
        <w:tblW w:w="10368" w:type="dxa"/>
        <w:jc w:val="start"/>
        <w:tblInd w:w="0" w:type="dxa"/>
        <w:tblLayout w:type="fixed"/>
        <w:tblCellMar>
          <w:top w:w="0" w:type="dxa"/>
          <w:start w:w="108" w:type="dxa"/>
          <w:bottom w:w="0" w:type="dxa"/>
          <w:end w:w="108" w:type="dxa"/>
        </w:tblCellMar>
      </w:tblPr>
      <w:tblGrid>
        <w:gridCol w:w="3708"/>
        <w:gridCol w:w="1350"/>
        <w:gridCol w:w="1170"/>
        <w:gridCol w:w="720"/>
        <w:gridCol w:w="2250"/>
        <w:gridCol w:w="1170"/>
      </w:tblGrid>
      <w:tr>
        <w:trPr/>
        <w:tc>
          <w:tcPr>
            <w:tcW w:w="3708" w:type="dxa"/>
            <w:tcBorders/>
          </w:tcPr>
          <w:p>
            <w:pPr>
              <w:pStyle w:val="Normal"/>
              <w:snapToGrid w:val="false"/>
              <w:jc w:val="center"/>
              <w:rPr>
                <w:sz w:val="16"/>
              </w:rPr>
            </w:pPr>
            <w:r>
              <w:rPr>
                <w:sz w:val="16"/>
              </w:rPr>
            </w:r>
          </w:p>
        </w:tc>
        <w:tc>
          <w:tcPr>
            <w:tcW w:w="1350" w:type="dxa"/>
            <w:tcBorders/>
          </w:tcPr>
          <w:p>
            <w:pPr>
              <w:pStyle w:val="Normal"/>
              <w:snapToGrid w:val="false"/>
              <w:jc w:val="center"/>
              <w:rPr>
                <w:sz w:val="16"/>
                <w:u w:val="single"/>
              </w:rPr>
            </w:pPr>
            <w:r>
              <w:rPr>
                <w:sz w:val="16"/>
                <w:u w:val="single"/>
              </w:rPr>
            </w:r>
          </w:p>
          <w:p>
            <w:pPr>
              <w:pStyle w:val="Normal"/>
              <w:jc w:val="center"/>
              <w:rPr>
                <w:sz w:val="16"/>
                <w:u w:val="single"/>
              </w:rPr>
            </w:pPr>
            <w:r>
              <w:rPr>
                <w:sz w:val="16"/>
                <w:u w:val="single"/>
              </w:rPr>
              <w:t>PV @ Capital Price</w:t>
            </w:r>
          </w:p>
        </w:tc>
        <w:tc>
          <w:tcPr>
            <w:tcW w:w="1170" w:type="dxa"/>
            <w:tcBorders/>
          </w:tcPr>
          <w:p>
            <w:pPr>
              <w:pStyle w:val="Normal"/>
              <w:jc w:val="center"/>
              <w:rPr>
                <w:sz w:val="16"/>
                <w:u w:val="single"/>
              </w:rPr>
            </w:pPr>
            <w:r>
              <w:rPr>
                <w:sz w:val="16"/>
                <w:u w:val="single"/>
              </w:rPr>
              <w:t>% of Gross Transaction Value</w:t>
            </w:r>
          </w:p>
        </w:tc>
        <w:tc>
          <w:tcPr>
            <w:tcW w:w="720" w:type="dxa"/>
            <w:tcBorders/>
          </w:tcPr>
          <w:p>
            <w:pPr>
              <w:pStyle w:val="Normal"/>
              <w:snapToGrid w:val="false"/>
              <w:jc w:val="center"/>
              <w:rPr>
                <w:sz w:val="16"/>
                <w:u w:val="single"/>
              </w:rPr>
            </w:pPr>
            <w:r>
              <w:rPr>
                <w:sz w:val="16"/>
                <w:u w:val="single"/>
              </w:rPr>
            </w:r>
          </w:p>
        </w:tc>
        <w:tc>
          <w:tcPr>
            <w:tcW w:w="2250" w:type="dxa"/>
            <w:tcBorders/>
          </w:tcPr>
          <w:p>
            <w:pPr>
              <w:pStyle w:val="Normal"/>
              <w:snapToGrid w:val="false"/>
              <w:jc w:val="center"/>
              <w:rPr>
                <w:sz w:val="16"/>
                <w:u w:val="single"/>
              </w:rPr>
            </w:pPr>
            <w:r>
              <w:rPr>
                <w:sz w:val="16"/>
                <w:u w:val="single"/>
              </w:rPr>
            </w:r>
          </w:p>
          <w:p>
            <w:pPr>
              <w:pStyle w:val="Normal"/>
              <w:rPr>
                <w:u w:val="single"/>
              </w:rPr>
            </w:pPr>
            <w:r>
              <w:rPr>
                <w:u w:val="single"/>
              </w:rPr>
              <w:t>Capital Price components</w:t>
            </w:r>
          </w:p>
        </w:tc>
        <w:tc>
          <w:tcPr>
            <w:tcW w:w="1170" w:type="dxa"/>
            <w:tcBorders/>
          </w:tcPr>
          <w:p>
            <w:pPr>
              <w:pStyle w:val="Normal"/>
              <w:snapToGrid w:val="false"/>
              <w:jc w:val="center"/>
              <w:rPr>
                <w:sz w:val="16"/>
              </w:rPr>
            </w:pPr>
            <w:r>
              <w:rPr>
                <w:sz w:val="16"/>
              </w:rPr>
            </w:r>
          </w:p>
        </w:tc>
      </w:tr>
      <w:tr>
        <w:trPr/>
        <w:tc>
          <w:tcPr>
            <w:tcW w:w="3708" w:type="dxa"/>
            <w:tcBorders/>
          </w:tcPr>
          <w:p>
            <w:pPr>
              <w:pStyle w:val="Normal"/>
              <w:rPr/>
            </w:pPr>
            <w:r>
              <w:rPr/>
              <w:t>Commodity Margin  (*2)</w:t>
            </w:r>
          </w:p>
        </w:tc>
        <w:tc>
          <w:tcPr>
            <w:tcW w:w="1350" w:type="dxa"/>
            <w:tcBorders/>
          </w:tcPr>
          <w:p>
            <w:pPr>
              <w:pStyle w:val="Normal"/>
              <w:snapToGrid w:val="false"/>
              <w:jc w:val="end"/>
              <w:rPr/>
            </w:pPr>
            <w:r>
              <w:rPr/>
            </w:r>
          </w:p>
        </w:tc>
        <w:tc>
          <w:tcPr>
            <w:tcW w:w="1170" w:type="dxa"/>
            <w:tcBorders/>
          </w:tcPr>
          <w:p>
            <w:pPr>
              <w:pStyle w:val="Normal"/>
              <w:snapToGrid w:val="false"/>
              <w:jc w:val="end"/>
              <w:rPr>
                <w:sz w:val="16"/>
              </w:rPr>
            </w:pPr>
            <w:r>
              <w:rPr>
                <w:sz w:val="16"/>
              </w:rPr>
            </w:r>
          </w:p>
        </w:tc>
        <w:tc>
          <w:tcPr>
            <w:tcW w:w="720" w:type="dxa"/>
            <w:tcBorders/>
          </w:tcPr>
          <w:p>
            <w:pPr>
              <w:pStyle w:val="Normal"/>
              <w:snapToGrid w:val="false"/>
              <w:jc w:val="end"/>
              <w:rPr>
                <w:sz w:val="16"/>
              </w:rPr>
            </w:pPr>
            <w:r>
              <w:rPr>
                <w:sz w:val="16"/>
              </w:rPr>
            </w:r>
          </w:p>
        </w:tc>
        <w:tc>
          <w:tcPr>
            <w:tcW w:w="2250" w:type="dxa"/>
            <w:tcBorders/>
          </w:tcPr>
          <w:p>
            <w:pPr>
              <w:pStyle w:val="Normal"/>
              <w:snapToGrid w:val="false"/>
              <w:jc w:val="end"/>
              <w:rPr>
                <w:sz w:val="16"/>
              </w:rPr>
            </w:pPr>
            <w:r>
              <w:rPr>
                <w:sz w:val="16"/>
              </w:rPr>
            </w:r>
          </w:p>
        </w:tc>
        <w:tc>
          <w:tcPr>
            <w:tcW w:w="1170" w:type="dxa"/>
            <w:tcBorders/>
          </w:tcPr>
          <w:p>
            <w:pPr>
              <w:pStyle w:val="Normal"/>
              <w:snapToGrid w:val="false"/>
              <w:jc w:val="end"/>
              <w:rPr>
                <w:sz w:val="16"/>
              </w:rPr>
            </w:pPr>
            <w:r>
              <w:rPr>
                <w:sz w:val="16"/>
              </w:rPr>
            </w:r>
          </w:p>
        </w:tc>
      </w:tr>
      <w:tr>
        <w:trPr/>
        <w:tc>
          <w:tcPr>
            <w:tcW w:w="3708" w:type="dxa"/>
            <w:tcBorders/>
          </w:tcPr>
          <w:p>
            <w:pPr>
              <w:pStyle w:val="Header"/>
              <w:widowControl/>
              <w:tabs>
                <w:tab w:val="clear" w:pos="4320"/>
                <w:tab w:val="clear" w:pos="8640"/>
              </w:tabs>
              <w:rPr/>
            </w:pPr>
            <w:r>
              <w:rPr/>
              <w:t xml:space="preserve">    </w:t>
            </w:r>
            <w:r>
              <w:rPr/>
              <w:t xml:space="preserve">Electricity </w:t>
            </w:r>
          </w:p>
        </w:tc>
        <w:tc>
          <w:tcPr>
            <w:tcW w:w="1350" w:type="dxa"/>
            <w:tcBorders/>
          </w:tcPr>
          <w:p>
            <w:pPr>
              <w:pStyle w:val="Normal"/>
              <w:jc w:val="end"/>
              <w:rPr/>
            </w:pPr>
            <w:r>
              <w:rPr/>
              <w:t xml:space="preserve">$   </w:t>
            </w:r>
            <w:r>
              <w:rPr>
                <w:color w:val="000000"/>
                <w:lang w:eastAsia="en-US"/>
              </w:rPr>
              <w:t>21,728</w:t>
            </w:r>
          </w:p>
        </w:tc>
        <w:tc>
          <w:tcPr>
            <w:tcW w:w="1170" w:type="dxa"/>
            <w:tcBorders/>
          </w:tcPr>
          <w:p>
            <w:pPr>
              <w:pStyle w:val="Normal"/>
              <w:jc w:val="end"/>
              <w:rPr/>
            </w:pPr>
            <w:r>
              <w:rPr/>
              <w:t>47 %</w:t>
            </w:r>
          </w:p>
        </w:tc>
        <w:tc>
          <w:tcPr>
            <w:tcW w:w="720" w:type="dxa"/>
            <w:tcBorders/>
          </w:tcPr>
          <w:p>
            <w:pPr>
              <w:pStyle w:val="Normal"/>
              <w:snapToGrid w:val="false"/>
              <w:jc w:val="end"/>
              <w:rPr/>
            </w:pPr>
            <w:r>
              <w:rPr/>
            </w:r>
          </w:p>
        </w:tc>
        <w:tc>
          <w:tcPr>
            <w:tcW w:w="2250" w:type="dxa"/>
            <w:tcBorders/>
          </w:tcPr>
          <w:p>
            <w:pPr>
              <w:pStyle w:val="Header"/>
              <w:widowControl/>
              <w:tabs>
                <w:tab w:val="clear" w:pos="4320"/>
                <w:tab w:val="clear" w:pos="8640"/>
              </w:tabs>
              <w:rPr/>
            </w:pPr>
            <w:r>
              <w:rPr/>
              <w:t>Risk free rate</w:t>
            </w:r>
          </w:p>
        </w:tc>
        <w:tc>
          <w:tcPr>
            <w:tcW w:w="1170" w:type="dxa"/>
            <w:tcBorders/>
          </w:tcPr>
          <w:p>
            <w:pPr>
              <w:pStyle w:val="Normal"/>
              <w:jc w:val="end"/>
              <w:rPr/>
            </w:pPr>
            <w:r>
              <w:rPr/>
              <w:t>6.39%</w:t>
            </w:r>
          </w:p>
        </w:tc>
      </w:tr>
      <w:tr>
        <w:trPr/>
        <w:tc>
          <w:tcPr>
            <w:tcW w:w="3708" w:type="dxa"/>
            <w:tcBorders/>
          </w:tcPr>
          <w:p>
            <w:pPr>
              <w:pStyle w:val="Header"/>
              <w:widowControl/>
              <w:tabs>
                <w:tab w:val="clear" w:pos="4320"/>
                <w:tab w:val="clear" w:pos="8640"/>
              </w:tabs>
              <w:rPr/>
            </w:pPr>
            <w:r>
              <w:rPr/>
              <w:t xml:space="preserve">    </w:t>
            </w:r>
            <w:r>
              <w:rPr/>
              <w:t xml:space="preserve">Gas </w:t>
            </w:r>
          </w:p>
        </w:tc>
        <w:tc>
          <w:tcPr>
            <w:tcW w:w="1350" w:type="dxa"/>
            <w:tcBorders/>
          </w:tcPr>
          <w:p>
            <w:pPr>
              <w:pStyle w:val="Normal"/>
              <w:jc w:val="end"/>
              <w:rPr/>
            </w:pPr>
            <w:r>
              <w:rPr/>
              <w:t xml:space="preserve">     </w:t>
            </w:r>
            <w:r>
              <w:rPr/>
              <w:t xml:space="preserve">1,117   </w:t>
            </w:r>
          </w:p>
        </w:tc>
        <w:tc>
          <w:tcPr>
            <w:tcW w:w="1170" w:type="dxa"/>
            <w:tcBorders/>
          </w:tcPr>
          <w:p>
            <w:pPr>
              <w:pStyle w:val="Normal"/>
              <w:jc w:val="end"/>
              <w:rPr/>
            </w:pPr>
            <w:r>
              <w:rPr/>
              <w:t>2 %</w:t>
            </w:r>
          </w:p>
        </w:tc>
        <w:tc>
          <w:tcPr>
            <w:tcW w:w="720" w:type="dxa"/>
            <w:tcBorders/>
          </w:tcPr>
          <w:p>
            <w:pPr>
              <w:pStyle w:val="Normal"/>
              <w:snapToGrid w:val="false"/>
              <w:jc w:val="end"/>
              <w:rPr/>
            </w:pPr>
            <w:r>
              <w:rPr/>
            </w:r>
          </w:p>
        </w:tc>
        <w:tc>
          <w:tcPr>
            <w:tcW w:w="2250" w:type="dxa"/>
            <w:tcBorders/>
          </w:tcPr>
          <w:p>
            <w:pPr>
              <w:pStyle w:val="Header"/>
              <w:widowControl/>
              <w:tabs>
                <w:tab w:val="clear" w:pos="4320"/>
                <w:tab w:val="clear" w:pos="8640"/>
              </w:tabs>
              <w:rPr/>
            </w:pPr>
            <w:r>
              <w:rPr/>
              <w:t>Credit premium</w:t>
            </w:r>
          </w:p>
        </w:tc>
        <w:tc>
          <w:tcPr>
            <w:tcW w:w="1170" w:type="dxa"/>
            <w:tcBorders/>
          </w:tcPr>
          <w:p>
            <w:pPr>
              <w:pStyle w:val="Normal"/>
              <w:jc w:val="end"/>
              <w:rPr/>
            </w:pPr>
            <w:r>
              <w:rPr/>
              <w:t>2.20%</w:t>
            </w:r>
          </w:p>
        </w:tc>
      </w:tr>
      <w:tr>
        <w:trPr/>
        <w:tc>
          <w:tcPr>
            <w:tcW w:w="3708" w:type="dxa"/>
            <w:tcBorders/>
          </w:tcPr>
          <w:p>
            <w:pPr>
              <w:pStyle w:val="Header"/>
              <w:widowControl/>
              <w:tabs>
                <w:tab w:val="clear" w:pos="4320"/>
                <w:tab w:val="clear" w:pos="8640"/>
              </w:tabs>
              <w:rPr/>
            </w:pPr>
            <w:r>
              <w:rPr/>
              <w:t>DSM Savings</w:t>
            </w:r>
          </w:p>
        </w:tc>
        <w:tc>
          <w:tcPr>
            <w:tcW w:w="1350" w:type="dxa"/>
            <w:tcBorders/>
          </w:tcPr>
          <w:p>
            <w:pPr>
              <w:pStyle w:val="Normal"/>
              <w:snapToGrid w:val="false"/>
              <w:jc w:val="end"/>
              <w:rPr/>
            </w:pPr>
            <w:r>
              <w:rPr/>
            </w:r>
          </w:p>
        </w:tc>
        <w:tc>
          <w:tcPr>
            <w:tcW w:w="1170" w:type="dxa"/>
            <w:tcBorders/>
          </w:tcPr>
          <w:p>
            <w:pPr>
              <w:pStyle w:val="Normal"/>
              <w:snapToGrid w:val="false"/>
              <w:jc w:val="end"/>
              <w:rPr/>
            </w:pPr>
            <w:r>
              <w:rPr/>
            </w:r>
          </w:p>
        </w:tc>
        <w:tc>
          <w:tcPr>
            <w:tcW w:w="720" w:type="dxa"/>
            <w:tcBorders/>
          </w:tcPr>
          <w:p>
            <w:pPr>
              <w:pStyle w:val="Normal"/>
              <w:snapToGrid w:val="false"/>
              <w:jc w:val="end"/>
              <w:rPr/>
            </w:pPr>
            <w:r>
              <w:rPr/>
            </w:r>
          </w:p>
        </w:tc>
        <w:tc>
          <w:tcPr>
            <w:tcW w:w="2250" w:type="dxa"/>
            <w:tcBorders/>
          </w:tcPr>
          <w:p>
            <w:pPr>
              <w:pStyle w:val="Header"/>
              <w:widowControl/>
              <w:tabs>
                <w:tab w:val="clear" w:pos="4320"/>
                <w:tab w:val="clear" w:pos="8640"/>
              </w:tabs>
              <w:rPr/>
            </w:pPr>
            <w:r>
              <w:rPr/>
              <w:t xml:space="preserve">Execution Risks </w:t>
            </w:r>
          </w:p>
        </w:tc>
        <w:tc>
          <w:tcPr>
            <w:tcW w:w="1170" w:type="dxa"/>
            <w:tcBorders/>
          </w:tcPr>
          <w:p>
            <w:pPr>
              <w:pStyle w:val="Normal"/>
              <w:jc w:val="end"/>
              <w:rPr>
                <w:u w:val="single"/>
              </w:rPr>
            </w:pPr>
            <w:r>
              <w:rPr>
                <w:u w:val="single"/>
              </w:rPr>
              <w:t>4.00%</w:t>
            </w:r>
          </w:p>
        </w:tc>
      </w:tr>
      <w:tr>
        <w:trPr/>
        <w:tc>
          <w:tcPr>
            <w:tcW w:w="3708" w:type="dxa"/>
            <w:tcBorders/>
          </w:tcPr>
          <w:p>
            <w:pPr>
              <w:pStyle w:val="Header"/>
              <w:widowControl/>
              <w:tabs>
                <w:tab w:val="clear" w:pos="4320"/>
                <w:tab w:val="clear" w:pos="8640"/>
              </w:tabs>
              <w:rPr/>
            </w:pPr>
            <w:r>
              <w:rPr/>
              <w:t xml:space="preserve">    </w:t>
            </w:r>
            <w:r>
              <w:rPr/>
              <w:t>Expected Savings</w:t>
            </w:r>
          </w:p>
        </w:tc>
        <w:tc>
          <w:tcPr>
            <w:tcW w:w="1350" w:type="dxa"/>
            <w:tcBorders/>
          </w:tcPr>
          <w:p>
            <w:pPr>
              <w:pStyle w:val="Normal"/>
              <w:jc w:val="end"/>
              <w:rPr/>
            </w:pPr>
            <w:r>
              <w:rPr/>
              <w:t xml:space="preserve">   </w:t>
            </w:r>
            <w:r>
              <w:rPr/>
              <w:t>46,818</w:t>
            </w:r>
          </w:p>
        </w:tc>
        <w:tc>
          <w:tcPr>
            <w:tcW w:w="1170" w:type="dxa"/>
            <w:tcBorders/>
          </w:tcPr>
          <w:p>
            <w:pPr>
              <w:pStyle w:val="Normal"/>
              <w:jc w:val="end"/>
              <w:rPr/>
            </w:pPr>
            <w:r>
              <w:rPr/>
              <w:t>50 %</w:t>
            </w:r>
          </w:p>
        </w:tc>
        <w:tc>
          <w:tcPr>
            <w:tcW w:w="720" w:type="dxa"/>
            <w:tcBorders/>
          </w:tcPr>
          <w:p>
            <w:pPr>
              <w:pStyle w:val="Normal"/>
              <w:snapToGrid w:val="false"/>
              <w:jc w:val="end"/>
              <w:rPr/>
            </w:pPr>
            <w:r>
              <w:rPr/>
            </w:r>
          </w:p>
        </w:tc>
        <w:tc>
          <w:tcPr>
            <w:tcW w:w="2250" w:type="dxa"/>
            <w:tcBorders/>
          </w:tcPr>
          <w:p>
            <w:pPr>
              <w:pStyle w:val="Header"/>
              <w:widowControl/>
              <w:tabs>
                <w:tab w:val="clear" w:pos="4320"/>
                <w:tab w:val="clear" w:pos="8640"/>
              </w:tabs>
              <w:rPr/>
            </w:pPr>
            <w:r>
              <w:rPr/>
              <w:t>RAC CAPITAL PRICE</w:t>
            </w:r>
          </w:p>
        </w:tc>
        <w:tc>
          <w:tcPr>
            <w:tcW w:w="1170" w:type="dxa"/>
            <w:tcBorders/>
          </w:tcPr>
          <w:p>
            <w:pPr>
              <w:pStyle w:val="Normal"/>
              <w:jc w:val="end"/>
              <w:rPr>
                <w:u w:val="double"/>
              </w:rPr>
            </w:pPr>
            <w:r>
              <w:rPr>
                <w:u w:val="double"/>
              </w:rPr>
              <w:t>12.59%</w:t>
            </w:r>
          </w:p>
        </w:tc>
      </w:tr>
      <w:tr>
        <w:trPr/>
        <w:tc>
          <w:tcPr>
            <w:tcW w:w="3708" w:type="dxa"/>
            <w:tcBorders/>
          </w:tcPr>
          <w:p>
            <w:pPr>
              <w:pStyle w:val="Header"/>
              <w:widowControl/>
              <w:tabs>
                <w:tab w:val="clear" w:pos="4320"/>
                <w:tab w:val="clear" w:pos="8640"/>
              </w:tabs>
              <w:rPr/>
            </w:pPr>
            <w:r>
              <w:rPr/>
              <w:t xml:space="preserve">    </w:t>
            </w:r>
            <w:r>
              <w:rPr/>
              <w:t>Expected Capital Deployed</w:t>
            </w:r>
          </w:p>
        </w:tc>
        <w:tc>
          <w:tcPr>
            <w:tcW w:w="1350" w:type="dxa"/>
            <w:tcBorders/>
          </w:tcPr>
          <w:p>
            <w:pPr>
              <w:pStyle w:val="Normal"/>
              <w:jc w:val="end"/>
              <w:rPr>
                <w:u w:val="single"/>
              </w:rPr>
            </w:pPr>
            <w:r>
              <w:rPr>
                <w:u w:val="single"/>
              </w:rPr>
              <w:t>(23,597)</w:t>
            </w:r>
          </w:p>
        </w:tc>
        <w:tc>
          <w:tcPr>
            <w:tcW w:w="1170" w:type="dxa"/>
            <w:tcBorders/>
          </w:tcPr>
          <w:p>
            <w:pPr>
              <w:pStyle w:val="Normal"/>
              <w:snapToGrid w:val="false"/>
              <w:jc w:val="end"/>
              <w:rPr>
                <w:u w:val="single"/>
              </w:rPr>
            </w:pPr>
            <w:r>
              <w:rPr>
                <w:u w:val="single"/>
              </w:rPr>
            </w:r>
          </w:p>
        </w:tc>
        <w:tc>
          <w:tcPr>
            <w:tcW w:w="720" w:type="dxa"/>
            <w:tcBorders/>
          </w:tcPr>
          <w:p>
            <w:pPr>
              <w:pStyle w:val="Normal"/>
              <w:snapToGrid w:val="false"/>
              <w:jc w:val="end"/>
              <w:rPr/>
            </w:pPr>
            <w:r>
              <w:rPr/>
            </w:r>
          </w:p>
        </w:tc>
        <w:tc>
          <w:tcPr>
            <w:tcW w:w="2250" w:type="dxa"/>
            <w:tcBorders/>
          </w:tcPr>
          <w:p>
            <w:pPr>
              <w:pStyle w:val="Normal"/>
              <w:snapToGrid w:val="false"/>
              <w:jc w:val="end"/>
              <w:rPr/>
            </w:pPr>
            <w:r>
              <w:rPr/>
            </w:r>
          </w:p>
        </w:tc>
        <w:tc>
          <w:tcPr>
            <w:tcW w:w="1170" w:type="dxa"/>
            <w:tcBorders/>
          </w:tcPr>
          <w:p>
            <w:pPr>
              <w:pStyle w:val="Normal"/>
              <w:snapToGrid w:val="false"/>
              <w:jc w:val="end"/>
              <w:rPr/>
            </w:pPr>
            <w:r>
              <w:rPr/>
            </w:r>
          </w:p>
        </w:tc>
      </w:tr>
      <w:tr>
        <w:trPr/>
        <w:tc>
          <w:tcPr>
            <w:tcW w:w="3708" w:type="dxa"/>
            <w:tcBorders/>
          </w:tcPr>
          <w:p>
            <w:pPr>
              <w:pStyle w:val="Header"/>
              <w:widowControl/>
              <w:tabs>
                <w:tab w:val="clear" w:pos="4320"/>
                <w:tab w:val="clear" w:pos="8640"/>
              </w:tabs>
              <w:jc w:val="end"/>
              <w:rPr>
                <w:b/>
              </w:rPr>
            </w:pPr>
            <w:r>
              <w:rPr>
                <w:b/>
              </w:rPr>
              <w:t>Gross Transaction Value</w:t>
            </w:r>
          </w:p>
        </w:tc>
        <w:tc>
          <w:tcPr>
            <w:tcW w:w="1350" w:type="dxa"/>
            <w:tcBorders/>
          </w:tcPr>
          <w:p>
            <w:pPr>
              <w:pStyle w:val="Normal"/>
              <w:jc w:val="end"/>
              <w:rPr/>
            </w:pPr>
            <w:r>
              <w:rPr/>
              <w:t xml:space="preserve">   </w:t>
            </w:r>
            <w:r>
              <w:rPr/>
              <w:t>46,067</w:t>
            </w:r>
          </w:p>
        </w:tc>
        <w:tc>
          <w:tcPr>
            <w:tcW w:w="1170" w:type="dxa"/>
            <w:tcBorders/>
          </w:tcPr>
          <w:p>
            <w:pPr>
              <w:pStyle w:val="Normal"/>
              <w:jc w:val="end"/>
              <w:rPr/>
            </w:pPr>
            <w:r>
              <w:rPr/>
              <w:t>100 %</w:t>
            </w:r>
          </w:p>
        </w:tc>
        <w:tc>
          <w:tcPr>
            <w:tcW w:w="720" w:type="dxa"/>
            <w:tcBorders/>
          </w:tcPr>
          <w:p>
            <w:pPr>
              <w:pStyle w:val="Normal"/>
              <w:snapToGrid w:val="false"/>
              <w:jc w:val="end"/>
              <w:rPr/>
            </w:pPr>
            <w:r>
              <w:rPr/>
            </w:r>
          </w:p>
        </w:tc>
        <w:tc>
          <w:tcPr>
            <w:tcW w:w="2250" w:type="dxa"/>
            <w:tcBorders/>
          </w:tcPr>
          <w:p>
            <w:pPr>
              <w:pStyle w:val="Normal"/>
              <w:snapToGrid w:val="false"/>
              <w:jc w:val="end"/>
              <w:rPr/>
            </w:pPr>
            <w:r>
              <w:rPr/>
            </w:r>
          </w:p>
        </w:tc>
        <w:tc>
          <w:tcPr>
            <w:tcW w:w="1170" w:type="dxa"/>
            <w:tcBorders/>
          </w:tcPr>
          <w:p>
            <w:pPr>
              <w:pStyle w:val="Normal"/>
              <w:snapToGrid w:val="false"/>
              <w:jc w:val="end"/>
              <w:rPr/>
            </w:pPr>
            <w:r>
              <w:rPr/>
            </w:r>
          </w:p>
        </w:tc>
      </w:tr>
      <w:tr>
        <w:trPr/>
        <w:tc>
          <w:tcPr>
            <w:tcW w:w="3708" w:type="dxa"/>
            <w:tcBorders/>
          </w:tcPr>
          <w:p>
            <w:pPr>
              <w:pStyle w:val="Header"/>
              <w:widowControl/>
              <w:tabs>
                <w:tab w:val="clear" w:pos="4320"/>
                <w:tab w:val="clear" w:pos="8640"/>
              </w:tabs>
              <w:rPr/>
            </w:pPr>
            <w:r>
              <w:rPr/>
              <w:t>Guaranteed Savings to the Customer</w:t>
            </w:r>
          </w:p>
        </w:tc>
        <w:tc>
          <w:tcPr>
            <w:tcW w:w="1350" w:type="dxa"/>
            <w:tcBorders/>
          </w:tcPr>
          <w:p>
            <w:pPr>
              <w:pStyle w:val="Normal"/>
              <w:jc w:val="end"/>
              <w:rPr/>
            </w:pPr>
            <w:r>
              <w:rPr/>
              <w:t>(31,315)</w:t>
            </w:r>
          </w:p>
        </w:tc>
        <w:tc>
          <w:tcPr>
            <w:tcW w:w="1170" w:type="dxa"/>
            <w:tcBorders/>
          </w:tcPr>
          <w:p>
            <w:pPr>
              <w:pStyle w:val="Normal"/>
              <w:jc w:val="end"/>
              <w:rPr/>
            </w:pPr>
            <w:r>
              <w:rPr/>
              <w:t>82 %</w:t>
            </w:r>
          </w:p>
        </w:tc>
        <w:tc>
          <w:tcPr>
            <w:tcW w:w="720" w:type="dxa"/>
            <w:tcBorders/>
          </w:tcPr>
          <w:p>
            <w:pPr>
              <w:pStyle w:val="Normal"/>
              <w:snapToGrid w:val="false"/>
              <w:jc w:val="end"/>
              <w:rPr/>
            </w:pPr>
            <w:r>
              <w:rPr/>
            </w:r>
          </w:p>
        </w:tc>
        <w:tc>
          <w:tcPr>
            <w:tcW w:w="2250" w:type="dxa"/>
            <w:tcBorders/>
          </w:tcPr>
          <w:p>
            <w:pPr>
              <w:pStyle w:val="Normal"/>
              <w:snapToGrid w:val="false"/>
              <w:jc w:val="end"/>
              <w:rPr/>
            </w:pPr>
            <w:r>
              <w:rPr/>
            </w:r>
          </w:p>
        </w:tc>
        <w:tc>
          <w:tcPr>
            <w:tcW w:w="1170" w:type="dxa"/>
            <w:tcBorders/>
          </w:tcPr>
          <w:p>
            <w:pPr>
              <w:pStyle w:val="Normal"/>
              <w:snapToGrid w:val="false"/>
              <w:jc w:val="end"/>
              <w:rPr/>
            </w:pPr>
            <w:r>
              <w:rPr/>
            </w:r>
          </w:p>
        </w:tc>
      </w:tr>
      <w:tr>
        <w:trPr/>
        <w:tc>
          <w:tcPr>
            <w:tcW w:w="3708" w:type="dxa"/>
            <w:tcBorders/>
          </w:tcPr>
          <w:p>
            <w:pPr>
              <w:pStyle w:val="Header"/>
              <w:widowControl/>
              <w:tabs>
                <w:tab w:val="clear" w:pos="4320"/>
                <w:tab w:val="clear" w:pos="8640"/>
              </w:tabs>
              <w:rPr/>
            </w:pPr>
            <w:r>
              <w:rPr/>
              <w:t>Cash Promotion Fees paid</w:t>
            </w:r>
          </w:p>
        </w:tc>
        <w:tc>
          <w:tcPr>
            <w:tcW w:w="1350" w:type="dxa"/>
            <w:tcBorders/>
          </w:tcPr>
          <w:p>
            <w:pPr>
              <w:pStyle w:val="Normal"/>
              <w:jc w:val="end"/>
              <w:rPr>
                <w:u w:val="single"/>
              </w:rPr>
            </w:pPr>
            <w:r>
              <w:rPr>
                <w:u w:val="single"/>
              </w:rPr>
              <w:t>(6,581)</w:t>
            </w:r>
          </w:p>
        </w:tc>
        <w:tc>
          <w:tcPr>
            <w:tcW w:w="1170" w:type="dxa"/>
            <w:tcBorders/>
          </w:tcPr>
          <w:p>
            <w:pPr>
              <w:pStyle w:val="Normal"/>
              <w:snapToGrid w:val="false"/>
              <w:jc w:val="end"/>
              <w:rPr>
                <w:u w:val="single"/>
              </w:rPr>
            </w:pPr>
            <w:r>
              <w:rPr>
                <w:u w:val="single"/>
              </w:rPr>
            </w:r>
          </w:p>
        </w:tc>
        <w:tc>
          <w:tcPr>
            <w:tcW w:w="720" w:type="dxa"/>
            <w:tcBorders/>
          </w:tcPr>
          <w:p>
            <w:pPr>
              <w:pStyle w:val="Normal"/>
              <w:snapToGrid w:val="false"/>
              <w:jc w:val="end"/>
              <w:rPr/>
            </w:pPr>
            <w:r>
              <w:rPr/>
            </w:r>
          </w:p>
        </w:tc>
        <w:tc>
          <w:tcPr>
            <w:tcW w:w="2250" w:type="dxa"/>
            <w:tcBorders/>
          </w:tcPr>
          <w:p>
            <w:pPr>
              <w:pStyle w:val="Normal"/>
              <w:snapToGrid w:val="false"/>
              <w:jc w:val="end"/>
              <w:rPr/>
            </w:pPr>
            <w:r>
              <w:rPr/>
            </w:r>
          </w:p>
        </w:tc>
        <w:tc>
          <w:tcPr>
            <w:tcW w:w="1170" w:type="dxa"/>
            <w:tcBorders/>
          </w:tcPr>
          <w:p>
            <w:pPr>
              <w:pStyle w:val="Normal"/>
              <w:snapToGrid w:val="false"/>
              <w:jc w:val="end"/>
              <w:rPr/>
            </w:pPr>
            <w:r>
              <w:rPr/>
            </w:r>
          </w:p>
        </w:tc>
      </w:tr>
      <w:tr>
        <w:trPr/>
        <w:tc>
          <w:tcPr>
            <w:tcW w:w="3708" w:type="dxa"/>
            <w:tcBorders/>
          </w:tcPr>
          <w:p>
            <w:pPr>
              <w:pStyle w:val="Header"/>
              <w:widowControl/>
              <w:tabs>
                <w:tab w:val="clear" w:pos="4320"/>
                <w:tab w:val="clear" w:pos="8640"/>
              </w:tabs>
              <w:jc w:val="end"/>
              <w:rPr>
                <w:b/>
              </w:rPr>
            </w:pPr>
            <w:r>
              <w:rPr>
                <w:b/>
              </w:rPr>
              <w:t>EESO Economic Value</w:t>
            </w:r>
          </w:p>
        </w:tc>
        <w:tc>
          <w:tcPr>
            <w:tcW w:w="1350" w:type="dxa"/>
            <w:tcBorders/>
          </w:tcPr>
          <w:p>
            <w:pPr>
              <w:pStyle w:val="Normal"/>
              <w:jc w:val="end"/>
              <w:rPr>
                <w:u w:val="double"/>
              </w:rPr>
            </w:pPr>
            <w:r>
              <w:rPr>
                <w:u w:val="double"/>
              </w:rPr>
              <w:t>$ 8,171</w:t>
            </w:r>
          </w:p>
        </w:tc>
        <w:tc>
          <w:tcPr>
            <w:tcW w:w="1170" w:type="dxa"/>
            <w:tcBorders/>
          </w:tcPr>
          <w:p>
            <w:pPr>
              <w:pStyle w:val="Normal"/>
              <w:jc w:val="end"/>
              <w:rPr/>
            </w:pPr>
            <w:r>
              <w:rPr/>
              <w:t>18 %</w:t>
            </w:r>
          </w:p>
        </w:tc>
        <w:tc>
          <w:tcPr>
            <w:tcW w:w="720" w:type="dxa"/>
            <w:tcBorders/>
          </w:tcPr>
          <w:p>
            <w:pPr>
              <w:pStyle w:val="Normal"/>
              <w:snapToGrid w:val="false"/>
              <w:jc w:val="end"/>
              <w:rPr/>
            </w:pPr>
            <w:r>
              <w:rPr/>
            </w:r>
          </w:p>
        </w:tc>
        <w:tc>
          <w:tcPr>
            <w:tcW w:w="2250" w:type="dxa"/>
            <w:tcBorders/>
          </w:tcPr>
          <w:p>
            <w:pPr>
              <w:pStyle w:val="Normal"/>
              <w:snapToGrid w:val="false"/>
              <w:jc w:val="end"/>
              <w:rPr/>
            </w:pPr>
            <w:r>
              <w:rPr/>
            </w:r>
          </w:p>
        </w:tc>
        <w:tc>
          <w:tcPr>
            <w:tcW w:w="1170" w:type="dxa"/>
            <w:tcBorders/>
          </w:tcPr>
          <w:p>
            <w:pPr>
              <w:pStyle w:val="Normal"/>
              <w:snapToGrid w:val="false"/>
              <w:jc w:val="end"/>
              <w:rPr/>
            </w:pPr>
            <w:r>
              <w:rPr/>
            </w:r>
          </w:p>
        </w:tc>
      </w:tr>
      <w:tr>
        <w:trPr/>
        <w:tc>
          <w:tcPr>
            <w:tcW w:w="3708" w:type="dxa"/>
            <w:tcBorders/>
          </w:tcPr>
          <w:p>
            <w:pPr>
              <w:pStyle w:val="Header"/>
              <w:widowControl/>
              <w:tabs>
                <w:tab w:val="clear" w:pos="4320"/>
                <w:tab w:val="clear" w:pos="8640"/>
              </w:tabs>
              <w:snapToGrid w:val="false"/>
              <w:rPr/>
            </w:pPr>
            <w:r>
              <w:rPr/>
            </w:r>
          </w:p>
        </w:tc>
        <w:tc>
          <w:tcPr>
            <w:tcW w:w="1350" w:type="dxa"/>
            <w:tcBorders/>
          </w:tcPr>
          <w:p>
            <w:pPr>
              <w:pStyle w:val="Normal"/>
              <w:snapToGrid w:val="false"/>
              <w:jc w:val="end"/>
              <w:rPr>
                <w:u w:val="single"/>
              </w:rPr>
            </w:pPr>
            <w:r>
              <w:rPr>
                <w:u w:val="single"/>
              </w:rPr>
            </w:r>
          </w:p>
        </w:tc>
        <w:tc>
          <w:tcPr>
            <w:tcW w:w="1170" w:type="dxa"/>
            <w:tcBorders/>
          </w:tcPr>
          <w:p>
            <w:pPr>
              <w:pStyle w:val="Normal"/>
              <w:snapToGrid w:val="false"/>
              <w:jc w:val="end"/>
              <w:rPr>
                <w:u w:val="single"/>
              </w:rPr>
            </w:pPr>
            <w:r>
              <w:rPr>
                <w:u w:val="single"/>
              </w:rPr>
            </w:r>
          </w:p>
        </w:tc>
        <w:tc>
          <w:tcPr>
            <w:tcW w:w="720" w:type="dxa"/>
            <w:tcBorders/>
          </w:tcPr>
          <w:p>
            <w:pPr>
              <w:pStyle w:val="Normal"/>
              <w:snapToGrid w:val="false"/>
              <w:jc w:val="end"/>
              <w:rPr/>
            </w:pPr>
            <w:r>
              <w:rPr/>
            </w:r>
          </w:p>
        </w:tc>
        <w:tc>
          <w:tcPr>
            <w:tcW w:w="2250" w:type="dxa"/>
            <w:tcBorders/>
          </w:tcPr>
          <w:p>
            <w:pPr>
              <w:pStyle w:val="Normal"/>
              <w:snapToGrid w:val="false"/>
              <w:jc w:val="end"/>
              <w:rPr/>
            </w:pPr>
            <w:r>
              <w:rPr/>
            </w:r>
          </w:p>
        </w:tc>
        <w:tc>
          <w:tcPr>
            <w:tcW w:w="1170" w:type="dxa"/>
            <w:tcBorders/>
          </w:tcPr>
          <w:p>
            <w:pPr>
              <w:pStyle w:val="Normal"/>
              <w:snapToGrid w:val="false"/>
              <w:jc w:val="end"/>
              <w:rPr/>
            </w:pPr>
            <w:r>
              <w:rPr/>
            </w:r>
          </w:p>
        </w:tc>
      </w:tr>
    </w:tbl>
    <w:p>
      <w:pPr>
        <w:pStyle w:val="Normal"/>
        <w:tabs>
          <w:tab w:val="clear" w:pos="720"/>
          <w:tab w:val="left" w:pos="3708" w:leader="none"/>
          <w:tab w:val="left" w:pos="5058" w:leader="none"/>
          <w:tab w:val="left" w:pos="6228" w:leader="none"/>
          <w:tab w:val="left" w:pos="6948" w:leader="none"/>
          <w:tab w:val="left" w:pos="9198" w:leader="none"/>
          <w:tab w:val="left" w:pos="10368" w:leader="none"/>
        </w:tabs>
        <w:rPr/>
      </w:pPr>
      <w:r>
        <w:rPr>
          <w:b/>
        </w:rPr>
        <w:t>(*2):  Deregulation assumptions were not reviewed by Government Affairs.</w:t>
        <w:tab/>
      </w:r>
      <w:r>
        <w:rPr/>
        <w:tab/>
        <w:tab/>
        <w:tab/>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ind w:end="-36"/>
        <w:rPr>
          <w:b/>
          <w:i/>
          <w:i/>
        </w:rPr>
      </w:pPr>
      <w:r>
        <w:rPr>
          <w:b/>
          <w:i/>
        </w:rPr>
      </w:r>
    </w:p>
    <w:p>
      <w:pPr>
        <w:pStyle w:val="Normal"/>
        <w:pBdr>
          <w:top w:val="single" w:sz="8" w:space="1" w:color="000000"/>
        </w:pBdr>
        <w:ind w:end="-36"/>
        <w:rPr/>
      </w:pPr>
      <w:r>
        <w:rPr>
          <w:b/>
        </w:rPr>
        <w:t>EXIT STRATEGY</w:t>
      </w:r>
      <w:r>
        <w:rPr/>
        <w:t xml:space="preserve">  - N/A</w:t>
      </w:r>
    </w:p>
    <w:p>
      <w:pPr>
        <w:pStyle w:val="Normal"/>
        <w:rPr/>
      </w:pPr>
      <w:r>
        <w:rPr/>
      </w:r>
    </w:p>
    <w:p>
      <w:pPr>
        <w:pStyle w:val="Heading2"/>
        <w:widowControl/>
        <w:pBdr>
          <w:top w:val="single" w:sz="8" w:space="1" w:color="000000"/>
        </w:pBdr>
        <w:ind w:hanging="0" w:start="0" w:end="-36"/>
        <w:rPr>
          <w:b w:val="false"/>
          <w:i w:val="false"/>
          <w:i w:val="false"/>
        </w:rPr>
      </w:pPr>
      <w:r>
        <w:rPr>
          <w:i w:val="false"/>
        </w:rPr>
        <w:t xml:space="preserve">RISK MATRIX </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590"/>
        <w:gridCol w:w="5400"/>
      </w:tblGrid>
      <w:tr>
        <w:trPr/>
        <w:tc>
          <w:tcPr>
            <w:tcW w:w="459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40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rPr/>
            </w:pPr>
            <w:r>
              <w:rPr/>
              <w:t>Regulatory Risk</w:t>
            </w:r>
          </w:p>
          <w:p>
            <w:pPr>
              <w:pStyle w:val="Normal"/>
              <w:numPr>
                <w:ilvl w:val="0"/>
                <w:numId w:val="5"/>
              </w:numPr>
              <w:rPr/>
            </w:pPr>
            <w:r>
              <w:rPr/>
              <w:t>The expected commodity margin is derived from the difference between the fixed rate charged to the customer and the actual costs EESO incurs to source and deliver the energy commodity to the customer once deregulation occurs.</w:t>
            </w:r>
          </w:p>
          <w:p>
            <w:pPr>
              <w:pStyle w:val="Normal"/>
              <w:numPr>
                <w:ilvl w:val="0"/>
                <w:numId w:val="2"/>
              </w:numPr>
              <w:rPr/>
            </w:pPr>
            <w:r>
              <w:rPr/>
              <w:t>Assumption errors in forecasting the timing and mechanism of the market deregulation can cause the expected project value to decrease.</w:t>
            </w:r>
          </w:p>
          <w:p>
            <w:pPr>
              <w:pStyle w:val="Normal"/>
              <w:numPr>
                <w:ilvl w:val="0"/>
                <w:numId w:val="2"/>
              </w:numPr>
              <w:rPr/>
            </w:pPr>
            <w:r>
              <w:rPr/>
              <w:t>ENE Government Affairs has not reviewed the underlying deregulation assumptions.</w:t>
            </w:r>
          </w:p>
          <w:p>
            <w:pPr>
              <w:pStyle w:val="Normal"/>
              <w:numPr>
                <w:ilvl w:val="0"/>
                <w:numId w:val="2"/>
              </w:numPr>
              <w:rPr/>
            </w:pPr>
            <w:r>
              <w:rPr/>
              <w:t>A $1/MWh increase in the regulated position of 1,421,847 MWh/yr, which represents a 3% increase of the estimated T&amp;D tariff, will cause a $7 MM decrease in the project NPV.</w:t>
            </w:r>
          </w:p>
        </w:tc>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jc w:val="both"/>
              <w:rPr/>
            </w:pPr>
            <w:r>
              <w:rPr/>
            </w:r>
          </w:p>
          <w:p>
            <w:pPr>
              <w:pStyle w:val="Normal"/>
              <w:numPr>
                <w:ilvl w:val="0"/>
                <w:numId w:val="12"/>
              </w:numPr>
              <w:rPr/>
            </w:pPr>
            <w:r>
              <w:rPr/>
              <w:t>Active and effective participation in the regulatory/legislative process in North Carolina, South Carolina and Georgia should increase the probability of achieving EESO’ deregulation assumptions.</w:t>
            </w:r>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rPr/>
            </w:pPr>
            <w:r>
              <w:rPr/>
              <w:t>DSM Savings Estimation Risks</w:t>
            </w:r>
          </w:p>
          <w:p>
            <w:pPr>
              <w:pStyle w:val="Normal"/>
              <w:numPr>
                <w:ilvl w:val="0"/>
                <w:numId w:val="6"/>
              </w:numPr>
              <w:rPr/>
            </w:pPr>
            <w:r>
              <w:rPr/>
              <w:t xml:space="preserve">DSM volume savings are presented for customer approval prior to the proposed project implementation.  If the savings amount agreed upon by both parties, (or the actual measured savings amount in the event that both parties do not agree on an estimate), is less than the savings forecasted in the valuation model, the project NPV will be adversely impacted.  </w:t>
            </w:r>
          </w:p>
          <w:p>
            <w:pPr>
              <w:pStyle w:val="Normal"/>
              <w:numPr>
                <w:ilvl w:val="0"/>
                <w:numId w:val="6"/>
              </w:numPr>
              <w:rPr/>
            </w:pPr>
            <w:r>
              <w:rPr/>
              <w:t>Since EESO has not implemented any projects from the original agreement, it’s difficult to predict how the customers’ approval approach may be.  To the extent that the annual DSM savings are 10% less than the forecasted amounts in the valuation model due to potential adjustments made during the approval process or adjustments made to reflect the differences between QP and QW’s project opportunities, the project NPV will reduce by about $4 MM.</w:t>
            </w:r>
          </w:p>
        </w:tc>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10"/>
              </w:numPr>
              <w:jc w:val="both"/>
              <w:rPr/>
            </w:pPr>
            <w:r>
              <w:rPr/>
              <w:t>The implementation of the identified DSM projects at the QW facilities was held off due to the pending merger between QW and QP.  EESO intends to implement all the identified projects on the QW facilities soon after closing.  Any undue delay or non-permitted rejections by QW or QP will give EESO the right to claim damages.</w:t>
            </w:r>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rPr/>
            </w:pPr>
            <w:r>
              <w:rPr/>
              <w:t>Counterparty Credit Risks</w:t>
            </w:r>
          </w:p>
          <w:p>
            <w:pPr>
              <w:pStyle w:val="Normal"/>
              <w:numPr>
                <w:ilvl w:val="0"/>
                <w:numId w:val="4"/>
              </w:numPr>
              <w:rPr/>
            </w:pPr>
            <w:r>
              <w:rPr/>
              <w:t>About $7.5 MM of the project NPV represents the expected balloon payment from the customers upon expiration of the agreement for the stipulated DSM savings over the remaining useful life of certain projects implemented during years 2000 through 2001 and the market value of the assets.   Any material and adverse changes in the customers’ credit strength in the next 10 years will create exposure to this termination payment.</w:t>
            </w:r>
          </w:p>
        </w:tc>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3"/>
              </w:numPr>
              <w:rPr/>
            </w:pPr>
            <w:r>
              <w:rPr/>
              <w:t>QW is rated BBB-/Baa3 by S&amp;P and Moody’s, respectively and has an E-rating of 5.</w:t>
            </w:r>
          </w:p>
          <w:p>
            <w:pPr>
              <w:pStyle w:val="Normal"/>
              <w:numPr>
                <w:ilvl w:val="0"/>
                <w:numId w:val="7"/>
              </w:numPr>
              <w:rPr/>
            </w:pPr>
            <w:r>
              <w:rPr/>
              <w:t>QP is not rated, and the company does not have audited financial statements available for review. Based on information provided by EESO, RAC Credit assigned an E-rating of 5 to QP.</w:t>
            </w:r>
          </w:p>
        </w:tc>
      </w:tr>
    </w:tbl>
    <w:p>
      <w:pPr>
        <w:pStyle w:val="Header"/>
        <w:widowControl/>
        <w:tabs>
          <w:tab w:val="clear" w:pos="4320"/>
          <w:tab w:val="clear" w:pos="8640"/>
        </w:tabs>
        <w:rPr/>
      </w:pPr>
      <w:r>
        <w:rPr/>
      </w:r>
      <w:r>
        <w:br w:type="page"/>
      </w:r>
    </w:p>
    <w:p>
      <w:pPr>
        <w:pStyle w:val="Header"/>
        <w:widowControl/>
        <w:tabs>
          <w:tab w:val="clear" w:pos="4320"/>
          <w:tab w:val="clear" w:pos="8640"/>
        </w:tabs>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780"/>
        <w:gridCol w:w="1260"/>
        <w:gridCol w:w="1260"/>
        <w:gridCol w:w="1350"/>
        <w:gridCol w:w="1260"/>
        <w:gridCol w:w="1080"/>
      </w:tblGrid>
      <w:tr>
        <w:trPr/>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Poor</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Fair</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Good</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Very Good</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Excellent</w:t>
            </w:r>
          </w:p>
        </w:tc>
      </w:tr>
      <w:tr>
        <w:trPr/>
        <w:tc>
          <w:tcPr>
            <w:tcW w:w="37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 xml:space="preserve">Management               </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N/A</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pBdr>
          <w:top w:val="single" w:sz="8" w:space="1" w:color="000000"/>
        </w:pBdr>
        <w:rPr>
          <w:b/>
        </w:rPr>
      </w:pPr>
      <w:r>
        <w:rPr>
          <w:b/>
        </w:rPr>
      </w:r>
    </w:p>
    <w:p>
      <w:pPr>
        <w:pStyle w:val="Normal"/>
        <w:rPr>
          <w:b/>
        </w:rPr>
      </w:pPr>
      <w:r>
        <w:rPr>
          <w:b/>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Heading6"/>
              <w:ind w:hanging="0" w:start="0"/>
              <w:rPr/>
            </w:pPr>
            <w:r>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Heading6"/>
              <w:ind w:hanging="0" w:start="0"/>
              <w:rPr/>
            </w:pPr>
            <w:r>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Heading6"/>
              <w:ind w:hanging="0" w:start="0"/>
              <w:rPr/>
            </w:pPr>
            <w:r>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Lou Pai</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Vicki Sharp</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Government Affairs</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Steven Kean / James Steffes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 / 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Andy Fastow / Jeff McMahon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Joe Sutton</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/mnt/main-storage/datasets/enron-docs/doc/DASH_0420.doc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Quebecor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b/>
      <w:u w:val="single"/>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pBdr>
        <w:top w:val="single" w:sz="4" w:space="1" w:color="000000"/>
      </w:pBdr>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Lucida Console" w:hAnsi="Lucida Console" w:cs="CG Omega"/>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2000-04-20T17:08:00Z</dcterms:created>
  <dc:creator>mruane</dc:creator>
  <dc:description/>
  <dc:language>en-CA</dc:language>
  <cp:lastModifiedBy>kbarbou</cp:lastModifiedBy>
  <cp:lastPrinted>2000-04-20T17:28:00Z</cp:lastPrinted>
  <dcterms:modified xsi:type="dcterms:W3CDTF">2000-04-20T19:58:00Z</dcterms:modified>
  <cp:revision>14</cp:revision>
  <dc:subject/>
  <dc:title>ENRON RISK ASSESSMENT AND CONTROL</dc:title>
</cp:coreProperties>
</file>