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Project Webmodal</w:t>
            </w:r>
          </w:p>
          <w:p>
            <w:pPr>
              <w:pStyle w:val="Normal"/>
              <w:ind w:end="792"/>
              <w:rPr/>
            </w:pPr>
            <w:r>
              <w:rPr/>
              <w:t>Counterparty:  Webmodal</w:t>
            </w:r>
          </w:p>
          <w:p>
            <w:pPr>
              <w:pStyle w:val="Normal"/>
              <w:rPr/>
            </w:pPr>
            <w:r>
              <w:rPr/>
              <w:t>Business Unit:  Enron Global Markets</w:t>
            </w:r>
          </w:p>
          <w:p>
            <w:pPr>
              <w:pStyle w:val="Normal"/>
              <w:rPr/>
            </w:pPr>
            <w:r>
              <w:rPr/>
              <w:t>Business Unit Originator:  Dan Reck</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Analyst/Underwriter:  Randy Petersen</w:t>
            </w:r>
          </w:p>
          <w:p>
            <w:pPr>
              <w:pStyle w:val="Normal"/>
              <w:ind w:firstLine="90" w:start="-198" w:end="-738"/>
              <w:rPr/>
            </w:pPr>
            <w:r>
              <w:rPr/>
              <w:t>Investment Type:  Strategic Acquisition</w:t>
            </w:r>
          </w:p>
          <w:p>
            <w:pPr>
              <w:pStyle w:val="Normal"/>
              <w:ind w:firstLine="90" w:start="-198" w:end="-738"/>
              <w:rPr/>
            </w:pPr>
            <w:r>
              <w:rPr/>
              <w:t xml:space="preserve">Capital Funding Source(s):  </w:t>
            </w:r>
          </w:p>
          <w:p>
            <w:pPr>
              <w:pStyle w:val="Normal"/>
              <w:ind w:firstLine="90" w:start="-198" w:end="-738"/>
              <w:rPr/>
            </w:pPr>
            <w:r>
              <w:rPr/>
              <w:t>Expected Closing Date:  2/28/00</w:t>
            </w:r>
          </w:p>
          <w:p>
            <w:pPr>
              <w:pStyle w:val="Normal"/>
              <w:ind w:firstLine="90" w:start="-198" w:end="-738"/>
              <w:rPr/>
            </w:pPr>
            <w:r>
              <w:rPr/>
              <w:t>Expected Funding Date:  2/28/00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$21,246,585</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tbl>
      <w:tblPr>
        <w:tblW w:w="5130" w:type="dxa"/>
        <w:jc w:val="start"/>
        <w:tblInd w:w="378" w:type="dxa"/>
        <w:tblLayout w:type="fixed"/>
        <w:tblCellMar>
          <w:top w:w="0" w:type="dxa"/>
          <w:start w:w="108" w:type="dxa"/>
          <w:bottom w:w="0" w:type="dxa"/>
          <w:end w:w="108" w:type="dxa"/>
        </w:tblCellMar>
      </w:tblPr>
      <w:tblGrid>
        <w:gridCol w:w="3330"/>
        <w:gridCol w:w="1800"/>
      </w:tblGrid>
      <w:tr>
        <w:trPr/>
        <w:tc>
          <w:tcPr>
            <w:tcW w:w="3330" w:type="dxa"/>
            <w:tcBorders/>
          </w:tcPr>
          <w:p>
            <w:pPr>
              <w:pStyle w:val="Normal"/>
              <w:rPr/>
            </w:pPr>
            <w:r>
              <w:rPr/>
              <w:t>Equity</w:t>
            </w:r>
          </w:p>
        </w:tc>
        <w:tc>
          <w:tcPr>
            <w:tcW w:w="1800" w:type="dxa"/>
            <w:tcBorders/>
          </w:tcPr>
          <w:p>
            <w:pPr>
              <w:pStyle w:val="Normal"/>
              <w:jc w:val="end"/>
              <w:rPr/>
            </w:pPr>
            <w:r>
              <w:rPr/>
              <w:t>$12,000,000</w:t>
            </w:r>
          </w:p>
        </w:tc>
      </w:tr>
      <w:tr>
        <w:trPr/>
        <w:tc>
          <w:tcPr>
            <w:tcW w:w="3330" w:type="dxa"/>
            <w:tcBorders/>
          </w:tcPr>
          <w:p>
            <w:pPr>
              <w:pStyle w:val="Header"/>
              <w:widowControl/>
              <w:tabs>
                <w:tab w:val="clear" w:pos="4320"/>
                <w:tab w:val="clear" w:pos="8640"/>
              </w:tabs>
              <w:rPr/>
            </w:pPr>
            <w:r>
              <w:rPr/>
              <w:t>Options (1)</w:t>
            </w:r>
          </w:p>
        </w:tc>
        <w:tc>
          <w:tcPr>
            <w:tcW w:w="1800" w:type="dxa"/>
            <w:tcBorders/>
          </w:tcPr>
          <w:p>
            <w:pPr>
              <w:pStyle w:val="Normal"/>
              <w:jc w:val="end"/>
              <w:rPr/>
            </w:pPr>
            <w:r>
              <w:rPr/>
              <w:t>146,585</w:t>
            </w:r>
          </w:p>
        </w:tc>
      </w:tr>
      <w:tr>
        <w:trPr/>
        <w:tc>
          <w:tcPr>
            <w:tcW w:w="3330" w:type="dxa"/>
            <w:tcBorders/>
          </w:tcPr>
          <w:p>
            <w:pPr>
              <w:pStyle w:val="Header"/>
              <w:widowControl/>
              <w:tabs>
                <w:tab w:val="clear" w:pos="4320"/>
                <w:tab w:val="clear" w:pos="8640"/>
              </w:tabs>
              <w:rPr/>
            </w:pPr>
            <w:r>
              <w:rPr/>
              <w:t>Debt (2)</w:t>
            </w:r>
          </w:p>
        </w:tc>
        <w:tc>
          <w:tcPr>
            <w:tcW w:w="1800" w:type="dxa"/>
            <w:tcBorders/>
          </w:tcPr>
          <w:p>
            <w:pPr>
              <w:pStyle w:val="Normal"/>
              <w:jc w:val="end"/>
              <w:rPr/>
            </w:pPr>
            <w:r>
              <w:rPr/>
              <w:t>1,000,000</w:t>
            </w:r>
          </w:p>
        </w:tc>
      </w:tr>
      <w:tr>
        <w:trPr/>
        <w:tc>
          <w:tcPr>
            <w:tcW w:w="3330" w:type="dxa"/>
            <w:tcBorders/>
          </w:tcPr>
          <w:p>
            <w:pPr>
              <w:pStyle w:val="Normal"/>
              <w:rPr/>
            </w:pPr>
            <w:r>
              <w:rPr/>
              <w:t xml:space="preserve">Total Initial Consideration </w:t>
            </w:r>
          </w:p>
        </w:tc>
        <w:tc>
          <w:tcPr>
            <w:tcW w:w="1800" w:type="dxa"/>
            <w:tcBorders>
              <w:top w:val="single" w:sz="6" w:space="0" w:color="000000"/>
            </w:tcBorders>
          </w:tcPr>
          <w:p>
            <w:pPr>
              <w:pStyle w:val="Normal"/>
              <w:jc w:val="end"/>
              <w:rPr/>
            </w:pPr>
            <w:r>
              <w:rPr/>
              <w:t>$13,146,585</w:t>
            </w:r>
          </w:p>
        </w:tc>
      </w:tr>
      <w:tr>
        <w:trPr/>
        <w:tc>
          <w:tcPr>
            <w:tcW w:w="3330" w:type="dxa"/>
            <w:tcBorders/>
          </w:tcPr>
          <w:p>
            <w:pPr>
              <w:pStyle w:val="Normal"/>
              <w:rPr/>
            </w:pPr>
            <w:r>
              <w:rPr/>
              <w:t>2001 Cash Flow Needs</w:t>
            </w:r>
          </w:p>
          <w:p>
            <w:pPr>
              <w:pStyle w:val="Normal"/>
              <w:rPr/>
            </w:pPr>
            <w:r>
              <w:rPr/>
              <w:t>Potential Severance</w:t>
            </w:r>
          </w:p>
        </w:tc>
        <w:tc>
          <w:tcPr>
            <w:tcW w:w="1800" w:type="dxa"/>
            <w:tcBorders/>
          </w:tcPr>
          <w:p>
            <w:pPr>
              <w:pStyle w:val="Normal"/>
              <w:jc w:val="end"/>
              <w:rPr/>
            </w:pPr>
            <w:r>
              <w:rPr/>
              <w:t>7,800,000</w:t>
            </w:r>
          </w:p>
          <w:p>
            <w:pPr>
              <w:pStyle w:val="Normal"/>
              <w:jc w:val="end"/>
              <w:rPr/>
            </w:pPr>
            <w:r>
              <w:rPr/>
              <w:t>300,000</w:t>
            </w:r>
          </w:p>
        </w:tc>
      </w:tr>
      <w:tr>
        <w:trPr/>
        <w:tc>
          <w:tcPr>
            <w:tcW w:w="3330" w:type="dxa"/>
            <w:tcBorders/>
          </w:tcPr>
          <w:p>
            <w:pPr>
              <w:pStyle w:val="Normal"/>
              <w:rPr/>
            </w:pPr>
            <w:r>
              <w:rPr/>
              <w:t>Total to be Approved</w:t>
            </w:r>
          </w:p>
        </w:tc>
        <w:tc>
          <w:tcPr>
            <w:tcW w:w="1800" w:type="dxa"/>
            <w:tcBorders>
              <w:top w:val="single" w:sz="4" w:space="0" w:color="000000"/>
              <w:bottom w:val="single" w:sz="4" w:space="0" w:color="000000"/>
            </w:tcBorders>
          </w:tcPr>
          <w:p>
            <w:pPr>
              <w:pStyle w:val="Normal"/>
              <w:jc w:val="end"/>
              <w:rPr>
                <w:highlight w:val="yellow"/>
              </w:rPr>
            </w:pPr>
            <w:r>
              <w:rPr/>
              <w:t>$21,246,585</w:t>
            </w:r>
          </w:p>
        </w:tc>
      </w:tr>
      <w:tr>
        <w:trPr/>
        <w:tc>
          <w:tcPr>
            <w:tcW w:w="3330" w:type="dxa"/>
            <w:tcBorders/>
          </w:tcPr>
          <w:p>
            <w:pPr>
              <w:pStyle w:val="Normal"/>
              <w:snapToGrid w:val="false"/>
              <w:rPr>
                <w:highlight w:val="yellow"/>
              </w:rPr>
            </w:pPr>
            <w:r>
              <w:rPr>
                <w:highlight w:val="yellow"/>
              </w:rPr>
            </w:r>
          </w:p>
        </w:tc>
        <w:tc>
          <w:tcPr>
            <w:tcW w:w="1800" w:type="dxa"/>
            <w:tcBorders/>
          </w:tcPr>
          <w:p>
            <w:pPr>
              <w:pStyle w:val="Normal"/>
              <w:snapToGrid w:val="false"/>
              <w:jc w:val="end"/>
              <w:rPr/>
            </w:pPr>
            <w:r>
              <w:rPr/>
            </w:r>
          </w:p>
        </w:tc>
      </w:tr>
    </w:tbl>
    <w:p>
      <w:pPr>
        <w:pStyle w:val="Normal"/>
        <w:numPr>
          <w:ilvl w:val="0"/>
          <w:numId w:val="11"/>
        </w:numPr>
        <w:ind w:hanging="360" w:start="360" w:end="-36"/>
        <w:rPr/>
      </w:pPr>
      <w:r>
        <w:rPr/>
        <w:t>To be paid to employee option-holders if they do not become Enron employees</w:t>
      </w:r>
    </w:p>
    <w:p>
      <w:pPr>
        <w:pStyle w:val="Normal"/>
        <w:numPr>
          <w:ilvl w:val="0"/>
          <w:numId w:val="11"/>
        </w:numPr>
        <w:ind w:hanging="360" w:start="360" w:end="-36"/>
        <w:rPr/>
      </w:pPr>
      <w:r>
        <w:rPr/>
        <w:t xml:space="preserve">Consists of $500,000 existing debt and $500,000 of anticipated debt to fund current operations through February 28th. </w:t>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 xml:space="preserve">Enron Global Markets (EGM) requests approval to acquire a 100% ownership stake in privately held Webmodal, Inc.  This is a strategic transaction that will provide EGM entrance to a $500 plus billion ground freight transportation industry, and serve as a platform for its transportation trading business.  The deal will reduce the time needed to enter the transportation business, leverage existing data/relationships and provide access to critical mass of domain expertise.   </w:t>
      </w:r>
    </w:p>
    <w:p>
      <w:pPr>
        <w:pStyle w:val="Normal"/>
        <w:rPr/>
      </w:pPr>
      <w:r>
        <w:rPr/>
      </w:r>
    </w:p>
    <w:p>
      <w:pPr>
        <w:pStyle w:val="Normal"/>
        <w:rPr>
          <w:b/>
        </w:rPr>
      </w:pPr>
      <w:r>
        <w:rPr>
          <w:b/>
        </w:rPr>
        <w:t>Key Deal Points:</w:t>
      </w:r>
    </w:p>
    <w:p>
      <w:pPr>
        <w:pStyle w:val="Normal"/>
        <w:numPr>
          <w:ilvl w:val="0"/>
          <w:numId w:val="4"/>
        </w:numPr>
        <w:rPr/>
      </w:pPr>
      <w:r>
        <w:rPr/>
        <w:t xml:space="preserve">Cash is being paid to all existing Webmodal principal investors </w:t>
      </w:r>
    </w:p>
    <w:p>
      <w:pPr>
        <w:pStyle w:val="Normal"/>
        <w:numPr>
          <w:ilvl w:val="0"/>
          <w:numId w:val="4"/>
        </w:numPr>
        <w:rPr/>
      </w:pPr>
      <w:r>
        <w:rPr/>
        <w:t>Chris Kravas, the CEO and Founder to be paid $3.2MM.  $2MM is in the form of Enron stock and will vest 1/3 each of the next three years.  He forfeits unvested stock if he resigns or is terminated for cause.  The remainder of the consideration to be in cash</w:t>
      </w:r>
    </w:p>
    <w:p>
      <w:pPr>
        <w:pStyle w:val="Normal"/>
        <w:numPr>
          <w:ilvl w:val="0"/>
          <w:numId w:val="4"/>
        </w:numPr>
        <w:rPr/>
      </w:pPr>
      <w:r>
        <w:rPr/>
        <w:t>Enron must pay-off existing $500,000 debt and any debt incurred between signing and closing to Stonepath Group, current Webmodal shareholder owning 36% of stock, at the closing.  Webmodal will need to seek Enron approval for additional borrowings between signing and closing</w:t>
      </w:r>
    </w:p>
    <w:p>
      <w:pPr>
        <w:pStyle w:val="Normal"/>
        <w:numPr>
          <w:ilvl w:val="0"/>
          <w:numId w:val="4"/>
        </w:numPr>
        <w:rPr/>
      </w:pPr>
      <w:r>
        <w:rPr/>
        <w:t xml:space="preserve">Chris Kravas – CEO and Founder, Ken Crane – Chief Technology Officer, and Dan Burke – Chief Operating officer must sign three-year employment agreements with Enron before signing.  Three others must either sign three-year employment agreements or 6-12 month transition agreements </w:t>
      </w:r>
    </w:p>
    <w:p>
      <w:pPr>
        <w:pStyle w:val="Normal"/>
        <w:numPr>
          <w:ilvl w:val="0"/>
          <w:numId w:val="4"/>
        </w:numPr>
        <w:rPr/>
      </w:pPr>
      <w:r>
        <w:rPr/>
        <w:t>If two vested, in-the-money, employee option holders do not become Enron employees, the net consideration will be increased as follows:  Dale Pound  - $95,983, Todd Lesser - $50,647</w:t>
      </w:r>
    </w:p>
    <w:p>
      <w:pPr>
        <w:pStyle w:val="Normal"/>
        <w:rPr/>
      </w:pPr>
      <w:r>
        <w:rPr/>
      </w:r>
    </w:p>
    <w:p>
      <w:pPr>
        <w:pStyle w:val="Normal"/>
        <w:rPr>
          <w:b/>
        </w:rPr>
      </w:pPr>
      <w:r>
        <w:rPr>
          <w:b/>
        </w:rPr>
        <w:t>Webmodal Business:</w:t>
      </w:r>
    </w:p>
    <w:p>
      <w:pPr>
        <w:pStyle w:val="Normal"/>
        <w:rPr/>
      </w:pPr>
      <w:r>
        <w:rPr/>
        <w:t xml:space="preserve">Webmodal is building a business-to-business e-commerce enterprise that dramatically improves intermodal freight transportation procurement.  The company has developed a web-based platform that makes identification and purchase of domestic full-truckload intermodal transportation simple and efficient. As a result, shippers and third party logistics providers are able to input their specific transportation needs, view intermodal alternatives, and purchase the selected services within minutes.  </w:t>
      </w:r>
    </w:p>
    <w:p>
      <w:pPr>
        <w:pStyle w:val="Normal"/>
        <w:rPr/>
      </w:pPr>
      <w:r>
        <w:rPr/>
      </w:r>
    </w:p>
    <w:p>
      <w:pPr>
        <w:pStyle w:val="Normal"/>
        <w:rPr/>
      </w:pPr>
      <w:r>
        <w:rPr/>
        <w:t xml:space="preserve">This business model is an improvement over the current process of intermodal marketing companies that relies upon traditional telephone communication, opaque pricing, and a day+ lag in confirmation of an order.  </w:t>
      </w:r>
    </w:p>
    <w:p>
      <w:pPr>
        <w:pStyle w:val="Normal"/>
        <w:rPr/>
      </w:pPr>
      <w:r>
        <w:rPr/>
      </w:r>
    </w:p>
    <w:p>
      <w:pPr>
        <w:pStyle w:val="Normal"/>
        <w:rPr/>
      </w:pPr>
      <w:r>
        <w:rPr/>
        <w:t xml:space="preserve">Webmodal’s website has been live and operational since June of 2000.  It has a customer list that includes over 50 retail shippers such as Frito-Lay, Igloo Products, Mattel, and Culligan International.  It also includes over 50 brokers and third party logistics companies such as Ryder Logistics, CRST Logistics, and UPS Logistics.    </w:t>
      </w:r>
    </w:p>
    <w:p>
      <w:pPr>
        <w:pStyle w:val="Normal"/>
        <w:rPr/>
      </w:pPr>
      <w:r>
        <w:rPr/>
      </w:r>
    </w:p>
    <w:p>
      <w:pPr>
        <w:pStyle w:val="Normal"/>
        <w:rPr/>
      </w:pPr>
      <w:r>
        <w:rPr/>
        <w:t xml:space="preserve">Webmodal has created an extensive intermodal carrier network that includes 45 drayage (short-medium haul trucking) companies and 12 rail providers including; Burlington Northern Santa Fe, Union Pacific, Norfolk Southern, Canadian National, CSX and Union Pacific.  Drayage and rail services have never been integrated into a catalogue-like tool, so shippers cannot efficiently identify and evaluate alternative services without the Webmodal platform.  </w:t>
      </w:r>
    </w:p>
    <w:p>
      <w:pPr>
        <w:pStyle w:val="Normal"/>
        <w:rPr/>
      </w:pPr>
      <w:r>
        <w:rPr/>
      </w:r>
    </w:p>
    <w:p>
      <w:pPr>
        <w:pStyle w:val="Normal"/>
        <w:rPr/>
      </w:pPr>
      <w:r>
        <w:rPr/>
        <w:t xml:space="preserve">Webmodal’s management team has extensive intermodal transportation domain expertise averaging over ten years of industry experience per person. </w:t>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 (millions)</w:t>
      </w:r>
    </w:p>
    <w:p>
      <w:pPr>
        <w:pStyle w:val="Normal"/>
        <w:rPr>
          <w:i/>
          <w:i/>
        </w:rPr>
      </w:pPr>
      <w:r>
        <w:rPr>
          <w:i/>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Cash</w:t>
            </w:r>
          </w:p>
        </w:tc>
        <w:tc>
          <w:tcPr>
            <w:tcW w:w="1260" w:type="dxa"/>
            <w:tcBorders/>
          </w:tcPr>
          <w:p>
            <w:pPr>
              <w:pStyle w:val="Normal"/>
              <w:jc w:val="end"/>
              <w:rPr/>
            </w:pPr>
            <w:r>
              <w:rPr/>
              <w:t>$19,246,585</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Initial Consideration</w:t>
            </w:r>
          </w:p>
        </w:tc>
        <w:tc>
          <w:tcPr>
            <w:tcW w:w="1260" w:type="dxa"/>
            <w:tcBorders/>
          </w:tcPr>
          <w:p>
            <w:pPr>
              <w:pStyle w:val="Normal"/>
              <w:jc w:val="end"/>
              <w:rPr/>
            </w:pPr>
            <w:r>
              <w:rPr/>
              <w:t>$13,146,585</w:t>
            </w:r>
          </w:p>
        </w:tc>
      </w:tr>
      <w:tr>
        <w:trPr/>
        <w:tc>
          <w:tcPr>
            <w:tcW w:w="2160" w:type="dxa"/>
            <w:tcBorders/>
          </w:tcPr>
          <w:p>
            <w:pPr>
              <w:pStyle w:val="Header"/>
              <w:widowControl/>
              <w:tabs>
                <w:tab w:val="clear" w:pos="4320"/>
                <w:tab w:val="clear" w:pos="8640"/>
              </w:tabs>
              <w:rPr/>
            </w:pPr>
            <w:r>
              <w:rPr/>
              <w:t>Enron Stock</w:t>
            </w:r>
          </w:p>
        </w:tc>
        <w:tc>
          <w:tcPr>
            <w:tcW w:w="1260" w:type="dxa"/>
            <w:tcBorders/>
          </w:tcPr>
          <w:p>
            <w:pPr>
              <w:pStyle w:val="Normal"/>
              <w:jc w:val="end"/>
              <w:rPr/>
            </w:pPr>
            <w:r>
              <w:rPr/>
              <w:t>2,000,000</w:t>
            </w:r>
          </w:p>
        </w:tc>
        <w:tc>
          <w:tcPr>
            <w:tcW w:w="1710" w:type="dxa"/>
            <w:tcBorders/>
          </w:tcPr>
          <w:p>
            <w:pPr>
              <w:pStyle w:val="Normal"/>
              <w:snapToGrid w:val="false"/>
              <w:jc w:val="end"/>
              <w:rPr/>
            </w:pPr>
            <w:r>
              <w:rPr/>
            </w:r>
          </w:p>
        </w:tc>
        <w:tc>
          <w:tcPr>
            <w:tcW w:w="2790" w:type="dxa"/>
            <w:tcBorders/>
          </w:tcPr>
          <w:p>
            <w:pPr>
              <w:pStyle w:val="Normal"/>
              <w:rPr/>
            </w:pPr>
            <w:r>
              <w:rPr/>
              <w:t>Potential Severance</w:t>
            </w:r>
          </w:p>
          <w:p>
            <w:pPr>
              <w:pStyle w:val="Normal"/>
              <w:rPr/>
            </w:pPr>
            <w:r>
              <w:rPr/>
              <w:t xml:space="preserve">Budgeted Cash Flow Needs </w:t>
            </w:r>
          </w:p>
        </w:tc>
        <w:tc>
          <w:tcPr>
            <w:tcW w:w="1260" w:type="dxa"/>
            <w:tcBorders/>
          </w:tcPr>
          <w:p>
            <w:pPr>
              <w:pStyle w:val="Normal"/>
              <w:jc w:val="end"/>
              <w:rPr/>
            </w:pPr>
            <w:r>
              <w:rPr/>
              <w:t>300,000</w:t>
            </w:r>
          </w:p>
          <w:p>
            <w:pPr>
              <w:pStyle w:val="Normal"/>
              <w:jc w:val="end"/>
              <w:rPr/>
            </w:pPr>
            <w:r>
              <w:rPr/>
              <w:t>7,800,000</w:t>
            </w:r>
          </w:p>
        </w:tc>
      </w:tr>
      <w:tr>
        <w:trPr/>
        <w:tc>
          <w:tcPr>
            <w:tcW w:w="2160" w:type="dxa"/>
            <w:tcBorders/>
          </w:tcPr>
          <w:p>
            <w:pPr>
              <w:pStyle w:val="Normal"/>
              <w:rPr/>
            </w:pPr>
            <w:r>
              <w:rPr/>
              <w:t>Total to be Approved</w:t>
            </w:r>
          </w:p>
        </w:tc>
        <w:tc>
          <w:tcPr>
            <w:tcW w:w="1260" w:type="dxa"/>
            <w:tcBorders>
              <w:top w:val="single" w:sz="4" w:space="0" w:color="000000"/>
              <w:bottom w:val="double" w:sz="4" w:space="0" w:color="000000"/>
            </w:tcBorders>
          </w:tcPr>
          <w:p>
            <w:pPr>
              <w:pStyle w:val="Normal"/>
              <w:jc w:val="end"/>
              <w:rPr/>
            </w:pPr>
            <w:r>
              <w:rPr/>
              <w:t>$21,246,585</w:t>
            </w:r>
          </w:p>
        </w:tc>
        <w:tc>
          <w:tcPr>
            <w:tcW w:w="1710" w:type="dxa"/>
            <w:tcBorders/>
          </w:tcPr>
          <w:p>
            <w:pPr>
              <w:pStyle w:val="Normal"/>
              <w:snapToGrid w:val="false"/>
              <w:jc w:val="end"/>
              <w:rPr/>
            </w:pPr>
            <w:r>
              <w:rPr/>
            </w:r>
          </w:p>
        </w:tc>
        <w:tc>
          <w:tcPr>
            <w:tcW w:w="2790" w:type="dxa"/>
            <w:tcBorders/>
          </w:tcPr>
          <w:p>
            <w:pPr>
              <w:pStyle w:val="Normal"/>
              <w:jc w:val="end"/>
              <w:rPr/>
            </w:pPr>
            <w:r>
              <w:rPr/>
              <w:t xml:space="preserve"> </w:t>
            </w:r>
          </w:p>
        </w:tc>
        <w:tc>
          <w:tcPr>
            <w:tcW w:w="1260" w:type="dxa"/>
            <w:tcBorders>
              <w:top w:val="single" w:sz="4" w:space="0" w:color="000000"/>
              <w:bottom w:val="double" w:sz="4" w:space="0" w:color="000000"/>
            </w:tcBorders>
          </w:tcPr>
          <w:p>
            <w:pPr>
              <w:pStyle w:val="Normal"/>
              <w:jc w:val="end"/>
              <w:rPr/>
            </w:pPr>
            <w:r>
              <w:rPr/>
              <w:t>$21,246,585</w:t>
            </w:r>
          </w:p>
        </w:tc>
      </w:tr>
      <w:tr>
        <w:trPr/>
        <w:tc>
          <w:tcPr>
            <w:tcW w:w="2160" w:type="dxa"/>
            <w:tcBorders/>
          </w:tcPr>
          <w:p>
            <w:pPr>
              <w:pStyle w:val="Normal"/>
              <w:snapToGrid w:val="false"/>
              <w:rPr/>
            </w:pPr>
            <w:r>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cPr>
          <w:p>
            <w:pPr>
              <w:pStyle w:val="Normal"/>
              <w:snapToGrid w:val="false"/>
              <w:jc w:val="end"/>
              <w:rPr/>
            </w:pPr>
            <w:r>
              <w:rPr/>
            </w:r>
          </w:p>
        </w:tc>
      </w:tr>
    </w:tbl>
    <w:p>
      <w:pPr>
        <w:pStyle w:val="Normal"/>
        <w:rPr/>
      </w:pPr>
      <w:r>
        <w:rPr/>
        <w:tab/>
        <w:tab/>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end"/>
              <w:rPr/>
            </w:pPr>
            <w:r>
              <w:rPr/>
              <w:t>%</w:t>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snapToGrid w:val="false"/>
              <w:jc w:val="end"/>
              <w:rPr>
                <w:b/>
              </w:rPr>
            </w:pPr>
            <w:r>
              <w:rPr>
                <w:b/>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w:t>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jc w:val="end"/>
              <w:rPr/>
            </w:pPr>
            <w:r>
              <w:rPr/>
              <w:t xml:space="preserve"> </w:t>
            </w:r>
          </w:p>
        </w:tc>
      </w:tr>
    </w:tbl>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pPr>
      <w:r>
        <w:rPr/>
        <w:t xml:space="preserve">Provides Enron with a critical mass of domain expertise, customer and supplier relationships, a front-end web-based customer interface, and information technology development plans that should serve as a platform for the building of a freight trading business within Enron.  </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t>N/A</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Technology Risk  </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5"/>
              </w:numPr>
              <w:jc w:val="both"/>
              <w:rPr/>
            </w:pPr>
            <w:r>
              <w:rPr/>
              <w:t xml:space="preserve">Webmodal has developed a web-based customer interface for the transaction process, but it is still working on automating many of the back-end components (i.e. confirmation, scheduling and tracking).  </w:t>
            </w:r>
          </w:p>
          <w:p>
            <w:pPr>
              <w:pStyle w:val="Normal"/>
              <w:numPr>
                <w:ilvl w:val="0"/>
                <w:numId w:val="5"/>
              </w:numPr>
              <w:jc w:val="both"/>
              <w:rPr/>
            </w:pPr>
            <w:r>
              <w:rPr/>
              <w:t>Enron should be able to utilize its existing capability in many of these back-end components, so a combined Webmodal/Enron entity would have a capability at most every component of the process.</w:t>
            </w:r>
          </w:p>
          <w:p>
            <w:pPr>
              <w:pStyle w:val="Normal"/>
              <w:numPr>
                <w:ilvl w:val="0"/>
                <w:numId w:val="5"/>
              </w:numPr>
              <w:jc w:val="both"/>
              <w:rPr/>
            </w:pPr>
            <w:r>
              <w:rPr/>
              <w:t>Enron also can explore the opportunity to outsource some of the back-office processes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 xml:space="preserve">Scalability </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The economics of Webmodal are contingent upon having many automated and electronically communicated processes and procedures</w:t>
            </w:r>
          </w:p>
          <w:p>
            <w:pPr>
              <w:pStyle w:val="Normal"/>
              <w:numPr>
                <w:ilvl w:val="0"/>
                <w:numId w:val="2"/>
              </w:numPr>
              <w:jc w:val="both"/>
              <w:rPr/>
            </w:pPr>
            <w:r>
              <w:rPr/>
              <w:t xml:space="preserve">Enron engaged Diamond Technologies to review the scalability of the Webmodal processes and systems and their analysis indicated that the processes and procedures can be scaled through the application of additional technology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Market Acceptance/Market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There is a risk that the market will not accept the Webmodal product and pay an economically reasonable fee for the service</w:t>
            </w:r>
          </w:p>
          <w:p>
            <w:pPr>
              <w:pStyle w:val="Normal"/>
              <w:numPr>
                <w:ilvl w:val="0"/>
                <w:numId w:val="2"/>
              </w:numPr>
              <w:jc w:val="both"/>
              <w:rPr/>
            </w:pPr>
            <w:r>
              <w:rPr/>
              <w:t>Webmodal’s system has been live and operational since June 2000 and has completed over 1000 transactions to date</w:t>
            </w:r>
          </w:p>
          <w:p>
            <w:pPr>
              <w:pStyle w:val="Normal"/>
              <w:numPr>
                <w:ilvl w:val="0"/>
                <w:numId w:val="2"/>
              </w:numPr>
              <w:jc w:val="both"/>
              <w:rPr/>
            </w:pPr>
            <w:r>
              <w:rPr/>
              <w:t>Transactions have grown to average 200 per week (10,400 annualized)</w:t>
            </w:r>
          </w:p>
          <w:p>
            <w:pPr>
              <w:pStyle w:val="Normal"/>
              <w:numPr>
                <w:ilvl w:val="0"/>
                <w:numId w:val="2"/>
              </w:numPr>
              <w:jc w:val="both"/>
              <w:rPr/>
            </w:pPr>
            <w:r>
              <w:rPr/>
              <w:t>Growing customer list that includes Frito-Lay, UPS Logistics, Igloo Products, Culligan Int’l, Ryder Logistics, and Mattel</w:t>
            </w:r>
          </w:p>
          <w:p>
            <w:pPr>
              <w:pStyle w:val="Normal"/>
              <w:numPr>
                <w:ilvl w:val="0"/>
                <w:numId w:val="2"/>
              </w:numPr>
              <w:jc w:val="both"/>
              <w:rPr/>
            </w:pPr>
            <w:r>
              <w:rPr/>
              <w:t>Webmodal’s price is currently averaging $50 per transaction, while current intermediaries charge between $75-200 per transaction.  There is a reasonable opportunity to raise prices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Credit</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jc w:val="both"/>
              <w:rPr/>
            </w:pPr>
            <w:r>
              <w:rPr/>
              <w:t>Although many of the Webmodal counterparties are well-known, creditworthy counterparties, many are smaller counterparties which are unknown to Enron and not rated by credit rating agencies</w:t>
            </w:r>
          </w:p>
          <w:p>
            <w:pPr>
              <w:pStyle w:val="Normal"/>
              <w:numPr>
                <w:ilvl w:val="0"/>
                <w:numId w:val="13"/>
              </w:numPr>
              <w:jc w:val="both"/>
              <w:rPr/>
            </w:pPr>
            <w:r>
              <w:rPr/>
              <w:t>At the current time, Webmodal credit exposure is limited to lack of repayment due to performance issues</w:t>
            </w:r>
          </w:p>
          <w:p>
            <w:pPr>
              <w:pStyle w:val="Normal"/>
              <w:numPr>
                <w:ilvl w:val="0"/>
                <w:numId w:val="13"/>
              </w:numPr>
              <w:jc w:val="both"/>
              <w:rPr/>
            </w:pPr>
            <w:r>
              <w:rPr/>
              <w:t xml:space="preserve">Webmodal uses GE Capital to factor its receivables and GE handles up-front approval for Webmodal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Employee Retention</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jc w:val="both"/>
              <w:rPr/>
            </w:pPr>
            <w:r>
              <w:rPr/>
              <w:t xml:space="preserve">Six members of the management team will sign three-year employee contracts or transition agreements  </w:t>
            </w:r>
          </w:p>
          <w:p>
            <w:pPr>
              <w:pStyle w:val="Normal"/>
              <w:numPr>
                <w:ilvl w:val="0"/>
                <w:numId w:val="13"/>
              </w:numPr>
              <w:jc w:val="both"/>
              <w:rPr/>
            </w:pPr>
            <w:r>
              <w:rPr/>
              <w:t xml:space="preserve">Chris Kravas – The CEO and Founder will receive $2MM in restricted stock consideration that will vest over a three-year period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Stephen Douglas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6"/>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10"/>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10"/>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10"/>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10"/>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7"/>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12"/>
        </w:numPr>
        <w:tabs>
          <w:tab w:val="clear" w:pos="360"/>
        </w:tabs>
        <w:rPr/>
      </w:pPr>
      <w:r>
        <w:rPr/>
        <w:t>Intended Enron hold period:</w:t>
        <w:br/>
        <w:br/>
      </w:r>
    </w:p>
    <w:p>
      <w:pPr>
        <w:pStyle w:val="Normal"/>
        <w:numPr>
          <w:ilvl w:val="0"/>
          <w:numId w:val="3"/>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5577840</wp:posOffset>
                </wp:positionH>
                <wp:positionV relativeFrom="paragraph">
                  <wp:posOffset>25400</wp:posOffset>
                </wp:positionV>
                <wp:extent cx="1005840" cy="0"/>
                <wp:effectExtent l="0" t="5080" r="0" b="508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8"/>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9"/>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88265</wp:posOffset>
                </wp:positionV>
                <wp:extent cx="962025" cy="2540"/>
                <wp:effectExtent l="5715" t="5080" r="5080" b="5715"/>
                <wp:wrapNone/>
                <wp:docPr id="6"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Jordan Mintz</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6">
                <wp:simplePos x="0" y="0"/>
                <wp:positionH relativeFrom="column">
                  <wp:posOffset>2026920</wp:posOffset>
                </wp:positionH>
                <wp:positionV relativeFrom="paragraph">
                  <wp:posOffset>-3810</wp:posOffset>
                </wp:positionV>
                <wp:extent cx="1724025" cy="635"/>
                <wp:effectExtent l="5715" t="5080" r="5080" b="4445"/>
                <wp:wrapNone/>
                <wp:docPr id="7"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3846195</wp:posOffset>
                </wp:positionH>
                <wp:positionV relativeFrom="paragraph">
                  <wp:posOffset>-3810</wp:posOffset>
                </wp:positionV>
                <wp:extent cx="1724025" cy="635"/>
                <wp:effectExtent l="5715" t="5080" r="5080" b="4445"/>
                <wp:wrapNone/>
                <wp:docPr id="8"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5760720</wp:posOffset>
                </wp:positionH>
                <wp:positionV relativeFrom="paragraph">
                  <wp:posOffset>-3810</wp:posOffset>
                </wp:positionV>
                <wp:extent cx="952500" cy="635"/>
                <wp:effectExtent l="5080" t="5080" r="5715" b="4445"/>
                <wp:wrapNone/>
                <wp:docPr id="9"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/mnt/main-storage/datasets/enron-docs/doc/DASH0118.doc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Webmodal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6"/>
      <w:numFmt w:val="decimal"/>
      <w:lvlText w:val="%1a."/>
      <w:lvlJc w:val="start"/>
      <w:pPr>
        <w:tabs>
          <w:tab w:val="num" w:pos="360"/>
        </w:tabs>
        <w:ind w:start="360" w:hanging="360"/>
      </w:pPr>
    </w:lvl>
  </w:abstractNum>
  <w:abstractNum w:abstractNumId="8">
    <w:lvl w:ilvl="0">
      <w:start w:val="6"/>
      <w:numFmt w:val="decimal"/>
      <w:lvlText w:val="%1d."/>
      <w:lvlJc w:val="start"/>
      <w:pPr>
        <w:tabs>
          <w:tab w:val="num" w:pos="360"/>
        </w:tabs>
        <w:ind w:start="360" w:hanging="360"/>
      </w:pPr>
    </w:lvl>
  </w:abstractNum>
  <w:abstractNum w:abstractNumId="9">
    <w:lvl w:ilvl="0">
      <w:start w:val="7"/>
      <w:numFmt w:val="decimal"/>
      <w:lvlText w:val="%1."/>
      <w:lvlJc w:val="start"/>
      <w:pPr>
        <w:tabs>
          <w:tab w:val="num" w:pos="360"/>
        </w:tabs>
        <w:ind w:start="360" w:hanging="360"/>
      </w:pPr>
    </w:lvl>
  </w:abstractNum>
  <w:abstractNum w:abstractNumId="10">
    <w:lvl w:ilvl="0">
      <w:start w:val="2"/>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rPr/>
    </w:lvl>
  </w:abstractNum>
  <w:abstractNum w:abstractNumId="12">
    <w:lvl w:ilvl="0">
      <w:start w:val="6"/>
      <w:numFmt w:val="decimal"/>
      <w:lvlText w:val="%1b."/>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3z0">
    <w:name w:val="WW8Num3z0"/>
    <w:qFormat/>
    <w:rPr>
      <w:b w:val="false"/>
      <w:i w:val="false"/>
    </w:rPr>
  </w:style>
  <w:style w:type="character" w:styleId="WW8Num4z0">
    <w:name w:val="WW8Num4z0"/>
    <w:qFormat/>
    <w:rPr>
      <w:b w:val="false"/>
      <w:i w:val="false"/>
    </w:rPr>
  </w:style>
  <w:style w:type="character" w:styleId="WW8Num5z0">
    <w:name w:val="WW8Num5z0"/>
    <w:qFormat/>
    <w:rPr>
      <w:rFonts w:ascii="Symbol" w:hAnsi="Symbol" w:cs="Symbol"/>
      <w:color w:val="auto"/>
    </w:rPr>
  </w:style>
  <w:style w:type="character" w:styleId="WW8Num6z0">
    <w:name w:val="WW8Num6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2001-01-18T13:24:00Z</dcterms:created>
  <dc:creator>mruane</dc:creator>
  <dc:description>MR: 9-20-99 added tax signoff 11-7-00 Changed signatory</dc:description>
  <dc:language>en-CA</dc:language>
  <cp:lastModifiedBy>pconne1</cp:lastModifiedBy>
  <cp:lastPrinted>2001-01-18T09:55:00Z</cp:lastPrinted>
  <dcterms:modified xsi:type="dcterms:W3CDTF">2001-01-18T15:32:00Z</dcterms:modified>
  <cp:revision>6</cp:revision>
  <dc:subject/>
  <dc:title>ENRON RISK ASSESSMENT AND CONTROL</dc:title>
</cp:coreProperties>
</file>