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sz w:val="20"/>
        </w:rPr>
      </w:pPr>
      <w:r>
        <w:rPr>
          <w:sz w:val="20"/>
        </w:rPr>
      </w:r>
    </w:p>
    <w:p>
      <w:pPr>
        <w:pStyle w:val="Header"/>
        <w:tabs>
          <w:tab w:val="clear" w:pos="4320"/>
          <w:tab w:val="clear" w:pos="8640"/>
        </w:tabs>
        <w:rPr>
          <w:sz w:val="20"/>
        </w:rPr>
      </w:pPr>
      <w:r>
        <w:rPr>
          <w:sz w:val="20"/>
        </w:rPr>
      </w:r>
    </w:p>
    <w:p>
      <w:pPr>
        <w:pStyle w:val="Heading2"/>
        <w:ind w:hanging="0" w:start="0"/>
        <w:rPr>
          <w:sz w:val="20"/>
        </w:rPr>
      </w:pPr>
      <w:r>
        <w:rPr>
          <w:sz w:val="20"/>
        </w:rPr>
      </w:r>
    </w:p>
    <w:p>
      <w:pPr>
        <w:pStyle w:val="Heading2"/>
        <w:ind w:hanging="0" w:start="0"/>
        <w:rPr/>
      </w:pPr>
      <w:r>
        <w:rPr/>
        <w:t>DATE:</w:t>
        <w:tab/>
        <w:tab/>
      </w:r>
    </w:p>
    <w:p>
      <w:pPr>
        <w:pStyle w:val="Normal"/>
        <w:rPr/>
      </w:pPr>
      <w:r>
        <w:rPr>
          <w:b/>
        </w:rPr>
        <w:t>TO:</w:t>
      </w:r>
      <w:r>
        <w:rPr/>
        <w:tab/>
        <w:tab/>
        <w:t>NRG Power Marketing, Inc.</w:t>
      </w:r>
    </w:p>
    <w:p>
      <w:pPr>
        <w:pStyle w:val="Normal"/>
        <w:rPr/>
      </w:pPr>
      <w:r>
        <w:rPr/>
      </w:r>
    </w:p>
    <w:p>
      <w:pPr>
        <w:pStyle w:val="Normal"/>
        <w:rPr/>
      </w:pPr>
      <w:r>
        <w:rPr>
          <w:b/>
        </w:rPr>
        <w:t>ATTN:</w:t>
        <w:tab/>
        <w:tab/>
      </w:r>
      <w:r>
        <w:rPr/>
        <w:t>Confirmations</w:t>
      </w:r>
    </w:p>
    <w:p>
      <w:pPr>
        <w:pStyle w:val="Normal"/>
        <w:rPr/>
      </w:pPr>
      <w:r>
        <w:rPr/>
      </w:r>
    </w:p>
    <w:p>
      <w:pPr>
        <w:pStyle w:val="Normal"/>
        <w:rPr/>
      </w:pPr>
      <w:r>
        <w:rPr>
          <w:b/>
        </w:rPr>
        <w:t>FROM:</w:t>
        <w:tab/>
        <w:tab/>
      </w:r>
      <w:r>
        <w:rPr/>
        <w:tab/>
        <w:tab/>
      </w:r>
    </w:p>
    <w:p>
      <w:pPr>
        <w:pStyle w:val="Normal"/>
        <w:rPr/>
      </w:pPr>
      <w:r>
        <w:rPr>
          <w:b/>
        </w:rPr>
        <w:t>RE:</w:t>
      </w:r>
      <w:r>
        <w:rPr/>
        <w:tab/>
        <w:tab/>
        <w:t xml:space="preserve">Commodity Swap – Cash Settled </w:t>
      </w:r>
    </w:p>
    <w:p>
      <w:pPr>
        <w:pStyle w:val="Normal"/>
        <w:rPr/>
      </w:pPr>
      <w:r>
        <w:rPr/>
      </w:r>
    </w:p>
    <w:p>
      <w:pPr>
        <w:pStyle w:val="Normal"/>
        <w:rPr>
          <w:b/>
        </w:rPr>
      </w:pPr>
      <w:r>
        <w:rPr>
          <w:b/>
        </w:rPr>
        <w:t>REFERENCE NUMBER: _______________</w:t>
      </w:r>
    </w:p>
    <w:p>
      <w:pPr>
        <w:pStyle w:val="Header"/>
        <w:tabs>
          <w:tab w:val="clear" w:pos="4320"/>
          <w:tab w:val="clear" w:pos="8640"/>
        </w:tabs>
        <w:rPr>
          <w:b/>
        </w:rPr>
      </w:pPr>
      <w:r>
        <w:rPr>
          <w:b/>
        </w:rPr>
      </w:r>
    </w:p>
    <w:p>
      <w:pPr>
        <w:pStyle w:val="BodyText2"/>
        <w:rPr>
          <w:rFonts w:ascii="Times New Roman" w:hAnsi="Times New Roman" w:cs="Times New Roman"/>
          <w:sz w:val="20"/>
        </w:rPr>
      </w:pPr>
      <w:r>
        <w:rPr>
          <w:rFonts w:cs="Times New Roman" w:ascii="Times New Roman" w:hAnsi="Times New Roman"/>
          <w:sz w:val="20"/>
        </w:rPr>
        <w:t>Dear Sir/Madam:</w:t>
      </w:r>
    </w:p>
    <w:p>
      <w:pPr>
        <w:pStyle w:val="Normal"/>
        <w:rPr>
          <w:rFonts w:ascii="Times New Roman" w:hAnsi="Times New Roman" w:cs="Times New Roman"/>
          <w:sz w:val="20"/>
        </w:rPr>
      </w:pPr>
      <w:r>
        <w:rPr>
          <w:rFonts w:cs="Times New Roman"/>
          <w:sz w:val="20"/>
        </w:rPr>
      </w:r>
    </w:p>
    <w:p>
      <w:pPr>
        <w:pStyle w:val="Normal"/>
        <w:rPr/>
      </w:pPr>
      <w:r>
        <w:rPr/>
        <w:t xml:space="preserve">The purpose of this letter (“Confirmation”) is to confirm the Transaction entered into on the Trade Date specified below (the “Transaction”) between NRG Power Marketing, Inc. (“NRG”) and XXXXXXXXXX, Inc. on the terms and conditions set forth below.  NRG and XXX may also hereinafter be referred to individually as “Party” or collectively as “Parties.” </w:t>
      </w:r>
    </w:p>
    <w:p>
      <w:pPr>
        <w:pStyle w:val="Normal"/>
        <w:rPr/>
      </w:pPr>
      <w:r>
        <w:rPr/>
      </w:r>
    </w:p>
    <w:p>
      <w:pPr>
        <w:pStyle w:val="Normal"/>
        <w:rPr/>
      </w:pPr>
      <w:r>
        <w:rPr>
          <w:b/>
        </w:rPr>
        <w:t>1.</w:t>
        <w:tab/>
      </w:r>
      <w:r>
        <w:rPr>
          <w:b/>
          <w:u w:val="single"/>
        </w:rPr>
        <w:t>Master Agreement</w:t>
      </w:r>
      <w:r>
        <w:rPr>
          <w:b/>
        </w:rPr>
        <w:t>.</w:t>
      </w:r>
      <w:r>
        <w:rPr>
          <w:b/>
          <w:u w:val="single"/>
        </w:rPr>
        <w:t xml:space="preserve"> </w:t>
      </w:r>
    </w:p>
    <w:p>
      <w:pPr>
        <w:pStyle w:val="Header"/>
        <w:tabs>
          <w:tab w:val="clear" w:pos="4320"/>
          <w:tab w:val="clear" w:pos="8640"/>
        </w:tabs>
        <w:rPr>
          <w:b/>
          <w:u w:val="single"/>
        </w:rPr>
      </w:pPr>
      <w:r>
        <w:rPr>
          <w:b/>
          <w:u w:val="single"/>
        </w:rPr>
      </w:r>
    </w:p>
    <w:p>
      <w:pPr>
        <w:pStyle w:val="BodyText3"/>
        <w:rPr/>
      </w:pPr>
      <w:r>
        <w:rPr/>
        <w:t xml:space="preserve">If there is no existing ISDA Master Swap Agreement in place between the Parties, the Parties agree to negotiate in good faith a master agreement (“Master Agreement”).  Upon execution of the Master Agreement, this Confirmation shall supplement, form a part of, and be subject to, the Master Agreement, as amended and supplemented from time to time (the “Agreement”), which Agreement will then govern this Confirmation except as modified below.  Until the execution of a Master Agreement, this Confirmation will serve as the binding agreement between the Parties. </w:t>
      </w:r>
    </w:p>
    <w:p>
      <w:pPr>
        <w:pStyle w:val="Normal"/>
        <w:rPr/>
      </w:pPr>
      <w:r>
        <w:rPr/>
      </w:r>
    </w:p>
    <w:p>
      <w:pPr>
        <w:pStyle w:val="Normal"/>
        <w:rPr/>
      </w:pPr>
      <w:r>
        <w:rPr>
          <w:b/>
        </w:rPr>
        <w:t>2.</w:t>
        <w:tab/>
      </w:r>
      <w:r>
        <w:rPr>
          <w:b/>
          <w:u w:val="single"/>
        </w:rPr>
        <w:t>Terms of Transaction</w:t>
      </w:r>
      <w:r>
        <w:rPr>
          <w:b/>
        </w:rPr>
        <w:t>.</w:t>
      </w:r>
    </w:p>
    <w:p>
      <w:pPr>
        <w:pStyle w:val="Normal"/>
        <w:rPr>
          <w:b/>
        </w:rPr>
      </w:pPr>
      <w:r>
        <w:rPr>
          <w:b/>
        </w:rPr>
      </w:r>
    </w:p>
    <w:p>
      <w:pPr>
        <w:pStyle w:val="Normal"/>
        <w:rPr/>
      </w:pPr>
      <w:r>
        <w:rPr/>
        <w:t>The Terms of the Transaction to which this Confirmation relates are as follows:</w:t>
      </w:r>
    </w:p>
    <w:p>
      <w:pPr>
        <w:pStyle w:val="Normal"/>
        <w:rPr/>
      </w:pPr>
      <w:r>
        <w:rPr/>
      </w:r>
    </w:p>
    <w:p>
      <w:pPr>
        <w:pStyle w:val="Normal"/>
        <w:rPr/>
      </w:pPr>
      <w:r>
        <w:rPr>
          <w:b/>
        </w:rPr>
        <w:t>Trade Date:</w:t>
      </w:r>
      <w:r>
        <w:rPr/>
        <w:tab/>
        <w:tab/>
        <w:tab/>
      </w:r>
    </w:p>
    <w:p>
      <w:pPr>
        <w:pStyle w:val="Normal"/>
        <w:ind w:hanging="2880" w:start="2880" w:end="-360"/>
        <w:rPr/>
      </w:pPr>
      <w:r>
        <w:rPr/>
      </w:r>
    </w:p>
    <w:p>
      <w:pPr>
        <w:pStyle w:val="Normal"/>
        <w:rPr/>
      </w:pPr>
      <w:r>
        <w:rPr>
          <w:b/>
        </w:rPr>
        <w:t>Commodity:</w:t>
      </w:r>
      <w:r>
        <w:rPr/>
        <w:tab/>
        <w:tab/>
        <w:tab/>
        <w:t>Electric Energy</w:t>
      </w:r>
    </w:p>
    <w:p>
      <w:pPr>
        <w:pStyle w:val="Header"/>
        <w:tabs>
          <w:tab w:val="clear" w:pos="4320"/>
          <w:tab w:val="clear" w:pos="8640"/>
        </w:tabs>
        <w:rPr/>
      </w:pPr>
      <w:r>
        <w:rPr/>
      </w:r>
    </w:p>
    <w:p>
      <w:pPr>
        <w:pStyle w:val="Normal"/>
        <w:ind w:hanging="2880" w:start="2880" w:end="0"/>
        <w:rPr/>
      </w:pPr>
      <w:r>
        <w:rPr>
          <w:b/>
        </w:rPr>
        <w:t>Calculation Period:</w:t>
      </w:r>
      <w:r>
        <w:rPr/>
        <w:tab/>
        <w:t>Each On-Peak Hour of each On-Peak Day from and including the Effective Date through and including the Termination Date</w:t>
      </w:r>
    </w:p>
    <w:p>
      <w:pPr>
        <w:pStyle w:val="Header"/>
        <w:tabs>
          <w:tab w:val="clear" w:pos="4320"/>
          <w:tab w:val="clear" w:pos="8640"/>
        </w:tabs>
        <w:rPr/>
      </w:pPr>
      <w:r>
        <w:rPr/>
      </w:r>
    </w:p>
    <w:p>
      <w:pPr>
        <w:pStyle w:val="Normal"/>
        <w:ind w:hanging="2880" w:start="2880" w:end="-360"/>
        <w:rPr/>
      </w:pPr>
      <w:r>
        <w:rPr>
          <w:b/>
        </w:rPr>
        <w:t>Effective Date:</w:t>
      </w:r>
      <w:r>
        <w:rPr/>
        <w:tab/>
      </w:r>
    </w:p>
    <w:p>
      <w:pPr>
        <w:pStyle w:val="Normal"/>
        <w:ind w:end="-360"/>
        <w:rPr/>
      </w:pPr>
      <w:r>
        <w:rPr/>
      </w:r>
    </w:p>
    <w:p>
      <w:pPr>
        <w:pStyle w:val="Normal"/>
        <w:ind w:hanging="2880" w:start="2880" w:end="-360"/>
        <w:rPr/>
      </w:pPr>
      <w:r>
        <w:rPr>
          <w:b/>
        </w:rPr>
        <w:t>Termination Date:</w:t>
      </w:r>
      <w:r>
        <w:rPr/>
        <w:tab/>
      </w:r>
    </w:p>
    <w:p>
      <w:pPr>
        <w:pStyle w:val="Normal"/>
        <w:ind w:hanging="2880" w:start="2880" w:end="-360"/>
        <w:rPr/>
      </w:pPr>
      <w:r>
        <w:rPr/>
      </w:r>
    </w:p>
    <w:p>
      <w:pPr>
        <w:pStyle w:val="Normal"/>
        <w:rPr>
          <w:b/>
        </w:rPr>
      </w:pPr>
      <w:r>
        <w:rPr>
          <w:b/>
        </w:rPr>
        <w:t>Notional Quantity per</w:t>
      </w:r>
    </w:p>
    <w:p>
      <w:pPr>
        <w:pStyle w:val="Normal"/>
        <w:rPr/>
      </w:pPr>
      <w:r>
        <w:rPr>
          <w:b/>
        </w:rPr>
        <w:t>Calculation Period:</w:t>
      </w:r>
      <w:r>
        <w:rPr/>
        <w:tab/>
        <w:tab/>
        <w:t>0 to 100 MWh/Hour, as nominated by XXX pursuant to Section 4</w:t>
      </w:r>
    </w:p>
    <w:p>
      <w:pPr>
        <w:pStyle w:val="Normal"/>
        <w:rPr/>
      </w:pPr>
      <w:r>
        <w:rPr/>
      </w:r>
    </w:p>
    <w:p>
      <w:pPr>
        <w:pStyle w:val="Normal"/>
        <w:rPr>
          <w:b/>
        </w:rPr>
      </w:pPr>
      <w:r>
        <w:rPr>
          <w:b/>
        </w:rPr>
        <w:t xml:space="preserve">Scheduling Fee: </w:t>
        <w:tab/>
        <w:tab/>
        <w:tab/>
      </w:r>
    </w:p>
    <w:p>
      <w:pPr>
        <w:pStyle w:val="Normal"/>
        <w:ind w:firstLine="720" w:start="2160" w:end="0"/>
        <w:rPr>
          <w:rFonts w:ascii="Arial" w:hAnsi="Arial" w:cs="Arial"/>
          <w:color w:val="0000FF"/>
        </w:rPr>
      </w:pPr>
      <w:r>
        <w:rPr>
          <w:rFonts w:cs="Arial" w:ascii="Arial" w:hAnsi="Arial"/>
          <w:color w:val="0000FF"/>
        </w:rPr>
      </w:r>
    </w:p>
    <w:p>
      <w:pPr>
        <w:pStyle w:val="Normal"/>
        <w:ind w:start="2880" w:end="0"/>
        <w:jc w:val="both"/>
        <w:rPr/>
      </w:pPr>
      <w:r>
        <w:rPr/>
        <w:t>The Scheduling Fee shall be payable monthly by XXX to NRG pursuant to the payment terms set forth in Section 5 below.</w:t>
      </w:r>
    </w:p>
    <w:p>
      <w:pPr>
        <w:pStyle w:val="Normal"/>
        <w:rPr/>
      </w:pPr>
      <w:r>
        <w:rPr/>
      </w:r>
    </w:p>
    <w:p>
      <w:pPr>
        <w:pStyle w:val="Heading5"/>
        <w:ind w:hanging="0" w:start="0"/>
        <w:rPr>
          <w:rFonts w:ascii="Times New Roman" w:hAnsi="Times New Roman" w:cs="Times New Roman"/>
          <w:sz w:val="20"/>
        </w:rPr>
      </w:pPr>
      <w:r>
        <w:rPr>
          <w:rFonts w:cs="Times New Roman" w:ascii="Times New Roman" w:hAnsi="Times New Roman"/>
          <w:sz w:val="20"/>
        </w:rPr>
        <w:t>Floating Price A (DAM LBMP) Details</w:t>
      </w:r>
    </w:p>
    <w:p>
      <w:pPr>
        <w:pStyle w:val="Heading5"/>
        <w:ind w:hanging="0" w:start="0"/>
        <w:rPr>
          <w:rFonts w:ascii="Times New Roman" w:hAnsi="Times New Roman" w:cs="Times New Roman"/>
          <w:b w:val="false"/>
          <w:sz w:val="20"/>
          <w:u w:val="none"/>
        </w:rPr>
      </w:pPr>
      <w:r>
        <w:rPr>
          <w:rFonts w:cs="Times New Roman" w:ascii="Times New Roman" w:hAnsi="Times New Roman"/>
          <w:b w:val="false"/>
          <w:sz w:val="20"/>
          <w:u w:val="none"/>
        </w:rPr>
      </w:r>
    </w:p>
    <w:p>
      <w:pPr>
        <w:pStyle w:val="Normal"/>
        <w:rPr/>
      </w:pPr>
      <w:r>
        <w:rPr>
          <w:b/>
        </w:rPr>
        <w:t>Floating Price A Payor:</w:t>
        <w:tab/>
        <w:tab/>
      </w:r>
      <w:r>
        <w:rPr/>
        <w:t>XXX</w:t>
      </w:r>
    </w:p>
    <w:p>
      <w:pPr>
        <w:pStyle w:val="Header"/>
        <w:tabs>
          <w:tab w:val="clear" w:pos="4320"/>
          <w:tab w:val="clear" w:pos="8640"/>
        </w:tabs>
        <w:rPr/>
      </w:pPr>
      <w:r>
        <w:rPr/>
      </w:r>
    </w:p>
    <w:p>
      <w:pPr>
        <w:pStyle w:val="Heading2"/>
        <w:ind w:hanging="2880" w:start="2880" w:end="0"/>
        <w:jc w:val="both"/>
        <w:rPr>
          <w:sz w:val="20"/>
        </w:rPr>
      </w:pPr>
      <w:r>
        <w:rPr>
          <w:b/>
          <w:sz w:val="20"/>
        </w:rPr>
        <w:t>Commodity Reference Price:</w:t>
        <w:tab/>
      </w:r>
      <w:r>
        <w:rPr>
          <w:sz w:val="20"/>
        </w:rPr>
        <w:t xml:space="preserve">Day Ahead Market LBMP –Zonal for N.Y.C. (Ptid 61761), as published by the New York Independent System Operator (the “NYISO”) on its website currently located at http://mis.nyiso.com/public/, or any successor thereto, subject to corrections and revisions made from time to time in accordance with the rules of the NYISO.  This region is currently referred to as </w:t>
      </w:r>
      <w:r>
        <w:rPr>
          <w:b/>
          <w:sz w:val="20"/>
        </w:rPr>
        <w:t>“Zone J”</w:t>
      </w:r>
      <w:r>
        <w:rPr>
          <w:sz w:val="20"/>
        </w:rPr>
        <w:t xml:space="preserve"> by the NYISO. </w:t>
      </w:r>
    </w:p>
    <w:p>
      <w:pPr>
        <w:pStyle w:val="Heading2"/>
        <w:ind w:hanging="2880" w:start="2880" w:end="0"/>
        <w:rPr/>
      </w:pPr>
      <w:r>
        <w:rPr/>
        <w:t xml:space="preserve"> </w:t>
      </w:r>
    </w:p>
    <w:p>
      <w:pPr>
        <w:pStyle w:val="Heading5"/>
        <w:ind w:hanging="0" w:start="0"/>
        <w:rPr>
          <w:rFonts w:ascii="Times New Roman" w:hAnsi="Times New Roman" w:cs="Times New Roman"/>
          <w:sz w:val="20"/>
        </w:rPr>
      </w:pPr>
      <w:r>
        <w:rPr>
          <w:rFonts w:cs="Times New Roman" w:ascii="Times New Roman" w:hAnsi="Times New Roman"/>
          <w:sz w:val="20"/>
        </w:rPr>
        <w:t>Floating Amount B (ART LBMP) Details</w:t>
      </w:r>
    </w:p>
    <w:p>
      <w:pPr>
        <w:pStyle w:val="Header"/>
        <w:tabs>
          <w:tab w:val="clear" w:pos="4320"/>
          <w:tab w:val="clear" w:pos="8640"/>
        </w:tabs>
        <w:rPr>
          <w:rFonts w:ascii="Times New Roman" w:hAnsi="Times New Roman" w:cs="Times New Roman"/>
          <w:sz w:val="20"/>
        </w:rPr>
      </w:pPr>
      <w:r>
        <w:rPr>
          <w:rFonts w:cs="Times New Roman"/>
          <w:sz w:val="20"/>
        </w:rPr>
      </w:r>
    </w:p>
    <w:p>
      <w:pPr>
        <w:pStyle w:val="Normal"/>
        <w:rPr>
          <w:b/>
        </w:rPr>
      </w:pPr>
      <w:r>
        <w:rPr>
          <w:b/>
        </w:rPr>
        <w:t>Floating Price B Payor:</w:t>
        <w:tab/>
        <w:tab/>
      </w:r>
      <w:r>
        <w:rPr/>
        <w:t>NRG</w:t>
      </w:r>
    </w:p>
    <w:p>
      <w:pPr>
        <w:pStyle w:val="Heading9"/>
        <w:ind w:hanging="0" w:start="0"/>
        <w:rPr>
          <w:rFonts w:ascii="Times New Roman" w:hAnsi="Times New Roman" w:cs="Times New Roman"/>
          <w:b w:val="false"/>
          <w:sz w:val="20"/>
        </w:rPr>
      </w:pPr>
      <w:r>
        <w:rPr>
          <w:rFonts w:cs="Times New Roman" w:ascii="Times New Roman" w:hAnsi="Times New Roman"/>
          <w:b w:val="false"/>
          <w:sz w:val="20"/>
        </w:rPr>
      </w:r>
    </w:p>
    <w:p>
      <w:pPr>
        <w:pStyle w:val="Heading2"/>
        <w:ind w:hanging="2880" w:start="2880" w:end="0"/>
        <w:rPr>
          <w:sz w:val="20"/>
        </w:rPr>
      </w:pPr>
      <w:r>
        <w:rPr>
          <w:b/>
          <w:sz w:val="20"/>
        </w:rPr>
        <w:t>Commodity Reference Price:</w:t>
        <w:tab/>
      </w:r>
      <w:r>
        <w:rPr>
          <w:sz w:val="20"/>
        </w:rPr>
        <w:t xml:space="preserve">Real Time Market LBMP – Zonal for N.Y.C. (Ptid 61761), as published by the New York Independent System Operator (the “NYISO”) on its website currently located at http://mis.nyiso.com/public/, or any successor thereto, subject to corrections and revisions made from time to time in accordance with the rules of the NYISO.  This region is currently referred to as </w:t>
      </w:r>
      <w:r>
        <w:rPr>
          <w:b/>
          <w:sz w:val="20"/>
        </w:rPr>
        <w:t>“Zone J”</w:t>
      </w:r>
      <w:r>
        <w:rPr>
          <w:sz w:val="20"/>
        </w:rPr>
        <w:t xml:space="preserve"> by the NYISO. </w:t>
      </w:r>
    </w:p>
    <w:p>
      <w:pPr>
        <w:pStyle w:val="Normal"/>
        <w:ind w:hanging="2880" w:start="2880" w:end="0"/>
        <w:rPr>
          <w:sz w:val="20"/>
        </w:rPr>
      </w:pPr>
      <w:r>
        <w:rPr>
          <w:sz w:val="20"/>
        </w:rPr>
      </w:r>
    </w:p>
    <w:p>
      <w:pPr>
        <w:pStyle w:val="Heading2"/>
        <w:ind w:hanging="720" w:start="720" w:end="0"/>
        <w:rPr>
          <w:sz w:val="20"/>
        </w:rPr>
      </w:pPr>
      <w:r>
        <w:rPr>
          <w:sz w:val="20"/>
        </w:rPr>
      </w:r>
    </w:p>
    <w:p>
      <w:pPr>
        <w:pStyle w:val="BodyTextIndent2"/>
        <w:rPr/>
      </w:pPr>
      <w:r>
        <w:rPr>
          <w:rFonts w:cs="Times New Roman" w:ascii="Times New Roman" w:hAnsi="Times New Roman"/>
          <w:b/>
          <w:sz w:val="20"/>
          <w:u w:val="single"/>
        </w:rPr>
        <w:t>Market Disruption Event Details</w:t>
      </w:r>
      <w:r>
        <w:rPr>
          <w:rFonts w:cs="Times New Roman" w:ascii="Times New Roman" w:hAnsi="Times New Roman"/>
          <w:b/>
          <w:sz w:val="20"/>
        </w:rPr>
        <w:t>:</w:t>
      </w:r>
    </w:p>
    <w:p>
      <w:pPr>
        <w:pStyle w:val="BodyTextIndent2"/>
        <w:rPr>
          <w:rFonts w:ascii="Times New Roman" w:hAnsi="Times New Roman" w:cs="Times New Roman"/>
          <w:b/>
          <w:sz w:val="20"/>
        </w:rPr>
      </w:pPr>
      <w:r>
        <w:rPr>
          <w:rFonts w:cs="Times New Roman" w:ascii="Times New Roman" w:hAnsi="Times New Roman"/>
          <w:b/>
          <w:sz w:val="20"/>
        </w:rPr>
      </w:r>
    </w:p>
    <w:p>
      <w:pPr>
        <w:pStyle w:val="BodyTextIndent2"/>
        <w:rPr/>
      </w:pPr>
      <w:r>
        <w:rPr>
          <w:rFonts w:cs="Times New Roman" w:ascii="Times New Roman" w:hAnsi="Times New Roman"/>
          <w:b/>
          <w:sz w:val="20"/>
        </w:rPr>
        <w:t>Market Disruption Events:</w:t>
      </w:r>
      <w:r>
        <w:rPr>
          <w:rFonts w:cs="Times New Roman" w:ascii="Times New Roman" w:hAnsi="Times New Roman"/>
          <w:sz w:val="20"/>
        </w:rPr>
        <w:tab/>
        <w:t>Price Source Disruption; Trading Suspension; and Disappearance of Commodity Reference Price.</w:t>
      </w:r>
    </w:p>
    <w:p>
      <w:pPr>
        <w:pStyle w:val="Normal"/>
        <w:ind w:hanging="2880" w:start="2880" w:end="0"/>
        <w:rPr>
          <w:rFonts w:ascii="Times New Roman" w:hAnsi="Times New Roman" w:cs="Times New Roman"/>
          <w:sz w:val="20"/>
        </w:rPr>
      </w:pPr>
      <w:r>
        <w:rPr>
          <w:rFonts w:cs="Times New Roman"/>
          <w:sz w:val="20"/>
        </w:rPr>
      </w:r>
    </w:p>
    <w:p>
      <w:pPr>
        <w:pStyle w:val="Normal"/>
        <w:ind w:hanging="2880" w:start="2880" w:end="0"/>
        <w:jc w:val="both"/>
        <w:rPr>
          <w:b/>
        </w:rPr>
      </w:pPr>
      <w:r>
        <w:rPr>
          <w:b/>
        </w:rPr>
        <w:t>Disruption Fallbacks:</w:t>
      </w:r>
      <w:r>
        <w:rPr/>
        <w:tab/>
        <w:t>The definition of “Disruption Fallback” applicable to this Confirmation shall refer only to the Disruption Fallbacks, and in the following order as the same are described in the relevant portion of Section 7.5 of the ISDA Commodity Definitions: (1) Negotiated Fallback; (2) Postponement (with a Maximum Days of Disruption being five (5)); and (3) No Fault Termination.  In the event of No Fault Termination, the Parties elect Market Quotation and Second Method.</w:t>
      </w:r>
    </w:p>
    <w:p>
      <w:pPr>
        <w:pStyle w:val="Normal"/>
        <w:jc w:val="both"/>
        <w:rPr>
          <w:b/>
        </w:rPr>
      </w:pPr>
      <w:r>
        <w:rPr>
          <w:b/>
        </w:rPr>
      </w:r>
    </w:p>
    <w:p>
      <w:pPr>
        <w:pStyle w:val="Heading4"/>
        <w:rPr>
          <w:sz w:val="20"/>
        </w:rPr>
      </w:pPr>
      <w:r>
        <w:rPr>
          <w:sz w:val="20"/>
        </w:rPr>
        <w:t>Cash Settlement Terms</w:t>
      </w:r>
    </w:p>
    <w:p>
      <w:pPr>
        <w:pStyle w:val="Normal"/>
        <w:ind w:hanging="1440" w:start="1440" w:end="0"/>
        <w:rPr>
          <w:sz w:val="20"/>
        </w:rPr>
      </w:pPr>
      <w:r>
        <w:rPr>
          <w:sz w:val="20"/>
        </w:rPr>
      </w:r>
    </w:p>
    <w:p>
      <w:pPr>
        <w:pStyle w:val="Normal"/>
        <w:ind w:hanging="1440" w:start="1440" w:end="0"/>
        <w:rPr/>
      </w:pPr>
      <w:r>
        <w:rPr>
          <w:b/>
        </w:rPr>
        <w:t>Cash Settlement:</w:t>
      </w:r>
      <w:r>
        <w:rPr/>
        <w:tab/>
        <w:t>Applicable</w:t>
      </w:r>
    </w:p>
    <w:p>
      <w:pPr>
        <w:pStyle w:val="Normal"/>
        <w:ind w:hanging="1440" w:start="1440" w:end="0"/>
        <w:rPr/>
      </w:pPr>
      <w:r>
        <w:rPr/>
      </w:r>
    </w:p>
    <w:p>
      <w:pPr>
        <w:pStyle w:val="Normal"/>
        <w:ind w:hanging="2160" w:start="2160" w:end="0"/>
        <w:rPr/>
      </w:pPr>
      <w:r>
        <w:rPr>
          <w:b/>
        </w:rPr>
        <w:t>Calculation Agent:</w:t>
      </w:r>
      <w:r>
        <w:rPr/>
        <w:tab/>
        <w:t>XXX</w:t>
      </w:r>
    </w:p>
    <w:p>
      <w:pPr>
        <w:pStyle w:val="Normal"/>
        <w:ind w:hanging="2160" w:start="2160" w:end="0"/>
        <w:rPr/>
      </w:pPr>
      <w:r>
        <w:rPr/>
      </w:r>
    </w:p>
    <w:p>
      <w:pPr>
        <w:pStyle w:val="Normal"/>
        <w:ind w:hanging="2160" w:start="2160" w:end="0"/>
        <w:rPr/>
      </w:pPr>
      <w:r>
        <w:rPr>
          <w:b/>
        </w:rPr>
        <w:t>Payment Date(s):</w:t>
        <w:tab/>
      </w:r>
      <w:r>
        <w:rPr/>
        <w:t>The 20</w:t>
      </w:r>
      <w:r>
        <w:rPr>
          <w:vertAlign w:val="superscript"/>
        </w:rPr>
        <w:t>th</w:t>
      </w:r>
      <w:r>
        <w:rPr/>
        <w:t xml:space="preserve"> day of each month, except as otherwise provided in Section 5</w:t>
      </w:r>
    </w:p>
    <w:p>
      <w:pPr>
        <w:pStyle w:val="Normal"/>
        <w:ind w:hanging="2880" w:start="2880" w:end="0"/>
        <w:rPr/>
      </w:pPr>
      <w:r>
        <w:rPr/>
      </w:r>
    </w:p>
    <w:p>
      <w:pPr>
        <w:pStyle w:val="Normal"/>
        <w:ind w:hanging="2160" w:start="2160" w:end="0"/>
        <w:rPr/>
      </w:pPr>
      <w:r>
        <w:rPr>
          <w:b/>
        </w:rPr>
        <w:t>Business Day:</w:t>
      </w:r>
      <w:r>
        <w:rPr/>
        <w:tab/>
        <w:t>Any day on which Federal Reserve member banks in New York City are open for business.</w:t>
      </w:r>
    </w:p>
    <w:p>
      <w:pPr>
        <w:pStyle w:val="Normal"/>
        <w:ind w:hanging="2880" w:start="2880" w:end="0"/>
        <w:rPr/>
      </w:pPr>
      <w:r>
        <w:rPr/>
      </w:r>
    </w:p>
    <w:p>
      <w:pPr>
        <w:pStyle w:val="Normal"/>
        <w:keepNext w:val="true"/>
        <w:rPr/>
      </w:pPr>
      <w:r>
        <w:rPr>
          <w:b/>
        </w:rPr>
        <w:t>3.</w:t>
        <w:tab/>
      </w:r>
      <w:r>
        <w:rPr>
          <w:b/>
          <w:u w:val="single"/>
        </w:rPr>
        <w:t>Definitions</w:t>
      </w:r>
      <w:r>
        <w:rPr>
          <w:b/>
        </w:rPr>
        <w:t>.</w:t>
      </w:r>
    </w:p>
    <w:p>
      <w:pPr>
        <w:pStyle w:val="Normal"/>
        <w:keepNext w:val="true"/>
        <w:rPr/>
      </w:pPr>
      <w:r>
        <w:rPr/>
      </w:r>
    </w:p>
    <w:p>
      <w:pPr>
        <w:pStyle w:val="Normal"/>
        <w:keepNext w:val="true"/>
        <w:rPr/>
      </w:pPr>
      <w:r>
        <w:rPr/>
        <w:t>Except as otherwise provided herein, all terms used in this Confirmation but not defined herein shall have the meanings set forth in the 1991 ISDA Definitions and the 1993 ISDA Commodity Derivatives Definitions.</w:t>
      </w:r>
    </w:p>
    <w:p>
      <w:pPr>
        <w:pStyle w:val="Normal"/>
        <w:rPr/>
      </w:pPr>
      <w:r>
        <w:rPr/>
      </w:r>
    </w:p>
    <w:p>
      <w:pPr>
        <w:pStyle w:val="Normal"/>
        <w:rPr/>
      </w:pPr>
      <w:r>
        <w:rPr>
          <w:b/>
        </w:rPr>
        <w:t>4.</w:t>
        <w:tab/>
      </w:r>
      <w:r>
        <w:rPr>
          <w:b/>
          <w:u w:val="single"/>
        </w:rPr>
        <w:t>Nomination</w:t>
      </w:r>
      <w:r>
        <w:rPr>
          <w:b/>
        </w:rPr>
        <w:t xml:space="preserve">.  </w:t>
      </w:r>
    </w:p>
    <w:p>
      <w:pPr>
        <w:pStyle w:val="Normal"/>
        <w:rPr/>
      </w:pPr>
      <w:r>
        <w:rPr/>
      </w:r>
    </w:p>
    <w:p>
      <w:pPr>
        <w:pStyle w:val="Normal"/>
        <w:rPr/>
      </w:pPr>
      <w:r>
        <w:rPr/>
        <w:t>(a)</w:t>
        <w:tab/>
        <w:t xml:space="preserve">XXX may nominate any quantity from and including zero (0) MWh/Hour to and including 100 MWh/Hour for each Calculation Period of an On-Peak day by delivery of notice to NRG of such nomination on or before the applicable Nomination Deadline (as defined in Section 4(b)). </w:t>
      </w:r>
    </w:p>
    <w:p>
      <w:pPr>
        <w:pStyle w:val="Normal"/>
        <w:rPr/>
      </w:pPr>
      <w:r>
        <w:rPr/>
      </w:r>
    </w:p>
    <w:p>
      <w:pPr>
        <w:pStyle w:val="Normal"/>
        <w:rPr/>
      </w:pPr>
      <w:r>
        <w:rPr/>
        <w:t>(b)</w:t>
        <w:tab/>
        <w:t>For each Calculation Period of a calendar day, the “Nomination Deadline” shall be as follows:</w:t>
      </w:r>
    </w:p>
    <w:p>
      <w:pPr>
        <w:pStyle w:val="Normal"/>
        <w:rPr/>
      </w:pPr>
      <w:r>
        <w:rPr/>
      </w:r>
    </w:p>
    <w:p>
      <w:pPr>
        <w:pStyle w:val="Normal"/>
        <w:rPr/>
      </w:pPr>
      <w:r>
        <w:rPr/>
        <w:tab/>
        <w:tab/>
      </w:r>
      <w:r>
        <w:rPr>
          <w:u w:val="single"/>
        </w:rPr>
        <w:t>Calendar Day</w:t>
      </w:r>
      <w:r>
        <w:rPr/>
        <w:tab/>
        <w:tab/>
        <w:tab/>
        <w:tab/>
      </w:r>
      <w:r>
        <w:rPr>
          <w:u w:val="single"/>
        </w:rPr>
        <w:t>Nomination Deadline</w:t>
      </w:r>
    </w:p>
    <w:p>
      <w:pPr>
        <w:pStyle w:val="Normal"/>
        <w:rPr/>
      </w:pPr>
      <w:r>
        <w:rPr/>
        <w:tab/>
        <w:tab/>
        <w:t xml:space="preserve">Monday </w:t>
        <w:tab/>
        <w:tab/>
        <w:tab/>
        <w:tab/>
        <w:tab/>
        <w:t>Preceding Friday 1600 EPT</w:t>
      </w:r>
    </w:p>
    <w:p>
      <w:pPr>
        <w:pStyle w:val="Normal"/>
        <w:rPr/>
      </w:pPr>
      <w:r>
        <w:rPr/>
        <w:tab/>
        <w:tab/>
        <w:t>Tuesday</w:t>
        <w:tab/>
        <w:tab/>
        <w:tab/>
        <w:tab/>
        <w:tab/>
        <w:t>Preceding Friday 1600 EPT</w:t>
      </w:r>
    </w:p>
    <w:p>
      <w:pPr>
        <w:pStyle w:val="Normal"/>
        <w:rPr/>
      </w:pPr>
      <w:r>
        <w:rPr/>
        <w:tab/>
        <w:tab/>
        <w:t>Wednesday</w:t>
        <w:tab/>
        <w:tab/>
        <w:tab/>
        <w:tab/>
        <w:t>Preceding Monday 1600 EPT</w:t>
      </w:r>
    </w:p>
    <w:p>
      <w:pPr>
        <w:pStyle w:val="Normal"/>
        <w:rPr/>
      </w:pPr>
      <w:r>
        <w:rPr/>
        <w:tab/>
        <w:tab/>
        <w:t>Thursday</w:t>
        <w:tab/>
        <w:tab/>
        <w:tab/>
        <w:tab/>
        <w:t>Preceding Tuesday 1600 EPT</w:t>
      </w:r>
    </w:p>
    <w:p>
      <w:pPr>
        <w:pStyle w:val="Normal"/>
        <w:rPr/>
      </w:pPr>
      <w:r>
        <w:rPr/>
        <w:tab/>
        <w:tab/>
        <w:t>Friday</w:t>
        <w:tab/>
        <w:tab/>
        <w:tab/>
        <w:tab/>
        <w:tab/>
        <w:t>Preceding Wednesday 1600 EPT</w:t>
      </w:r>
    </w:p>
    <w:p>
      <w:pPr>
        <w:pStyle w:val="Header"/>
        <w:tabs>
          <w:tab w:val="clear" w:pos="4320"/>
          <w:tab w:val="clear" w:pos="8640"/>
        </w:tabs>
        <w:rPr/>
      </w:pPr>
      <w:r>
        <w:rPr/>
      </w:r>
    </w:p>
    <w:p>
      <w:pPr>
        <w:pStyle w:val="Header"/>
        <w:tabs>
          <w:tab w:val="clear" w:pos="4320"/>
          <w:tab w:val="clear" w:pos="8640"/>
        </w:tabs>
        <w:jc w:val="both"/>
        <w:rPr/>
      </w:pPr>
      <w:r>
        <w:rPr/>
        <w:t>(c)</w:t>
        <w:tab/>
        <w:t xml:space="preserve">If for any reason XXX fails to deliver a nomination notice to NRG on or before the applicable Nomination Deadline for each Calculation Period, then XXX shall be deemed to have nominated 0 MWh/Hour for each Calculation Period of such calendar day.  </w:t>
      </w:r>
    </w:p>
    <w:p>
      <w:pPr>
        <w:pStyle w:val="Normal"/>
        <w:rPr/>
      </w:pPr>
      <w:r>
        <w:rPr/>
      </w:r>
    </w:p>
    <w:p>
      <w:pPr>
        <w:pStyle w:val="Normal"/>
        <w:rPr/>
      </w:pPr>
      <w:r>
        <w:rPr>
          <w:b/>
        </w:rPr>
        <w:t>5.</w:t>
        <w:tab/>
      </w:r>
      <w:r>
        <w:rPr>
          <w:b/>
          <w:u w:val="single"/>
        </w:rPr>
        <w:t>Settlement and Payment</w:t>
      </w:r>
      <w:r>
        <w:rPr>
          <w:b/>
        </w:rPr>
        <w:t>.</w:t>
      </w:r>
    </w:p>
    <w:p>
      <w:pPr>
        <w:pStyle w:val="Normal"/>
        <w:rPr>
          <w:b/>
        </w:rPr>
      </w:pPr>
      <w:r>
        <w:rPr>
          <w:b/>
        </w:rPr>
      </w:r>
    </w:p>
    <w:p>
      <w:pPr>
        <w:pStyle w:val="BodyText3"/>
        <w:rPr/>
      </w:pPr>
      <w:r>
        <w:rPr/>
        <w:t>(a)</w:t>
        <w:tab/>
        <w:t>XXX shall calculate, for each day, the net amount owed by the Party with the greater payment obligation based on the difference between Floating Amount A and Floating Amount B for each Calculation Period during such day.  XXX shall net such amounts for each succeeding day during the calendar month and provide notices of each such calculation to NRG.  As soon as practicable after the end of each calendar month, XXX shall provide NRG with the final calculation for all Calculation Periods occurring during such month for such calendar month and a total net amount payable by one Party to the other.  No later than 12:00 noon EPT, on the 20</w:t>
      </w:r>
      <w:r>
        <w:rPr>
          <w:vertAlign w:val="superscript"/>
        </w:rPr>
        <w:t>th</w:t>
      </w:r>
      <w:r>
        <w:rPr/>
        <w:t xml:space="preserve"> day of the next succeeding month, the party owing the net amount for the preceding month shall pay such amount to the other Party.  Payment shall be made without offset, deduction, discount or counterclaim (except as provided in Sections 6 or 7 below or unless one Party has raised a dispute with respect to the calculation), in US dollars in immediately available funds to the bank account designated by the Party to which payment is due in an invoice or other written notice.  Any amount not paid when due shall accrue interest at the rate of two percent (2%) above the prime rate published by the Wall Street Journal, compounded annually from the due date, or the maximum rate allowed by law, if lower. </w:t>
      </w:r>
    </w:p>
    <w:p>
      <w:pPr>
        <w:pStyle w:val="BodyText3"/>
        <w:rPr/>
      </w:pPr>
      <w:r>
        <w:rPr/>
      </w:r>
    </w:p>
    <w:p>
      <w:pPr>
        <w:pStyle w:val="BodyText3"/>
        <w:rPr/>
      </w:pPr>
      <w:r>
        <w:rPr/>
        <w:t>(b)</w:t>
        <w:tab/>
        <w:t>If either Party, in good faith, disputes any part of an invoice or calculation, it shall provide a written explanation of the basis for the dispute and pay the undisputed portion of such amount no later than the due date.  If any amount disputed is determined to be due, it shall be paid within two (2) Business Days of such determination, along with any interest owing from the original due date until the date paid.  The existence of a dispute as to any statement or calculation shall not relieve either Party of compliance with any other provisions of this Confirmation.</w:t>
      </w:r>
    </w:p>
    <w:p>
      <w:pPr>
        <w:pStyle w:val="BodyText3"/>
        <w:rPr/>
      </w:pPr>
      <w:r>
        <w:rPr/>
      </w:r>
    </w:p>
    <w:p>
      <w:pPr>
        <w:pStyle w:val="BodyText3"/>
        <w:rPr/>
      </w:pPr>
      <w:r>
        <w:rPr>
          <w:b/>
        </w:rPr>
        <w:t>6.</w:t>
        <w:tab/>
      </w:r>
      <w:r>
        <w:rPr>
          <w:b/>
          <w:u w:val="single"/>
        </w:rPr>
        <w:t>Adjustments</w:t>
      </w:r>
      <w:r>
        <w:rPr>
          <w:b/>
        </w:rPr>
        <w:t>.</w:t>
      </w:r>
    </w:p>
    <w:p>
      <w:pPr>
        <w:pStyle w:val="BodyText3"/>
        <w:rPr>
          <w:b/>
        </w:rPr>
      </w:pPr>
      <w:r>
        <w:rPr>
          <w:b/>
        </w:rPr>
      </w:r>
    </w:p>
    <w:p>
      <w:pPr>
        <w:pStyle w:val="Header"/>
        <w:tabs>
          <w:tab w:val="clear" w:pos="4320"/>
          <w:tab w:val="clear" w:pos="8640"/>
        </w:tabs>
        <w:jc w:val="both"/>
        <w:rPr/>
      </w:pPr>
      <w:r>
        <w:rPr/>
        <w:t>All amounts calculated and paid hereunder shall be subject to adjustment to reflect revisions to the DAM LBMP or ART LBMP published by the NYISO.  Reconciliation adjustments shall be reflected in subsequent months invoices or payable within 20 days after receipt of an invoice therefor if reconciliations are required after the Termination Date.</w:t>
      </w:r>
    </w:p>
    <w:p>
      <w:pPr>
        <w:pStyle w:val="Header"/>
        <w:tabs>
          <w:tab w:val="clear" w:pos="4320"/>
          <w:tab w:val="clear" w:pos="8640"/>
        </w:tabs>
        <w:rPr/>
      </w:pPr>
      <w:r>
        <w:rPr/>
      </w:r>
    </w:p>
    <w:p>
      <w:pPr>
        <w:pStyle w:val="Normal"/>
        <w:jc w:val="both"/>
        <w:rPr/>
      </w:pPr>
      <w:r>
        <w:rPr>
          <w:b/>
        </w:rPr>
        <w:t xml:space="preserve">7.  </w:t>
        <w:tab/>
      </w:r>
      <w:r>
        <w:rPr>
          <w:b/>
          <w:u w:val="single"/>
        </w:rPr>
        <w:t>Non-Performance</w:t>
      </w:r>
      <w:r>
        <w:rPr>
          <w:b/>
        </w:rPr>
        <w:t>.</w:t>
      </w:r>
    </w:p>
    <w:p>
      <w:pPr>
        <w:pStyle w:val="Normal"/>
        <w:jc w:val="both"/>
        <w:rPr>
          <w:b/>
        </w:rPr>
      </w:pPr>
      <w:r>
        <w:rPr>
          <w:b/>
        </w:rPr>
      </w:r>
    </w:p>
    <w:p>
      <w:pPr>
        <w:pStyle w:val="Normal"/>
        <w:jc w:val="both"/>
        <w:rPr/>
      </w:pPr>
      <w:r>
        <w:rPr/>
        <w:t>(a)</w:t>
        <w:tab/>
        <w:t>The occurrence at any time with respect to either Party or, if the obligations of such Party hereunder are guaranteed by a third Party (its “Guarantor”), with respect to its Guarantor, of any of the following events constitutes an event of default (“Event of Default”) with respect to such Party (the “Defaulting Party”):</w:t>
      </w:r>
    </w:p>
    <w:p>
      <w:pPr>
        <w:pStyle w:val="Normal"/>
        <w:jc w:val="both"/>
        <w:rPr/>
      </w:pPr>
      <w:r>
        <w:rPr/>
      </w:r>
    </w:p>
    <w:p>
      <w:pPr>
        <w:pStyle w:val="Normal"/>
        <w:ind w:start="720" w:end="0"/>
        <w:jc w:val="both"/>
        <w:rPr/>
      </w:pPr>
      <w:r>
        <w:rPr/>
        <w:t>(i)</w:t>
        <w:tab/>
        <w:t>The Defaulting Party fails to pay or perform any obligation when due hereunder or under any other commodity swap, option, cap, floor, collar, forward or similar transaction between the Parties (“Other Commodity Transactions”), and such failure continues, after receipt of written notice thereof, for more than two (2) Business Days in the case of non-payment (including, without limitation, non-payment of collateral) and (5) Business Days in the case of any other such obligation under this Confirmation.  If the failure to perform such obligation is for Other Commodity Transactions and arises under a separate agreement for such Commodity Transactions, in which case the notice and termination period in such agreements shall govern.</w:t>
      </w:r>
    </w:p>
    <w:p>
      <w:pPr>
        <w:pStyle w:val="Normal"/>
        <w:jc w:val="both"/>
        <w:rPr/>
      </w:pPr>
      <w:r>
        <w:rPr/>
      </w:r>
    </w:p>
    <w:p>
      <w:pPr>
        <w:pStyle w:val="Normal"/>
        <w:ind w:start="720" w:end="0"/>
        <w:jc w:val="both"/>
        <w:rPr/>
      </w:pPr>
      <w:r>
        <w:rPr/>
        <w:t>(ii)</w:t>
        <w:tab/>
        <w:t>The Defaulting Party or its Guarantor repudiates its obligations hereunder or under the guarantee, as the case may be.</w:t>
      </w:r>
    </w:p>
    <w:p>
      <w:pPr>
        <w:pStyle w:val="Normal"/>
        <w:jc w:val="both"/>
        <w:rPr/>
      </w:pPr>
      <w:r>
        <w:rPr/>
      </w:r>
    </w:p>
    <w:p>
      <w:pPr>
        <w:pStyle w:val="Normal"/>
        <w:ind w:start="720" w:end="0"/>
        <w:jc w:val="both"/>
        <w:rPr/>
      </w:pPr>
      <w:r>
        <w:rPr/>
        <w:t>(iii)</w:t>
        <w:tab/>
        <w:t>Any representation or warranty made by the Defaulting Party hereunder, or by the Guarantor under the Guarantee, proves to have been false or misleading in any material respect as of the time it was a made.</w:t>
      </w:r>
    </w:p>
    <w:p>
      <w:pPr>
        <w:pStyle w:val="Normal"/>
        <w:jc w:val="both"/>
        <w:rPr/>
      </w:pPr>
      <w:r>
        <w:rPr/>
      </w:r>
    </w:p>
    <w:p>
      <w:pPr>
        <w:pStyle w:val="Normal"/>
        <w:ind w:start="720" w:end="0"/>
        <w:jc w:val="both"/>
        <w:rPr/>
      </w:pPr>
      <w:r>
        <w:rPr/>
        <w:t>(iv)</w:t>
        <w:tab/>
        <w:t>The Defaulting Party or its Guarantor becomes bankrupt or insolvent, however evidenced, or is unable (or admits in writing its inability) generally to pay its debts as they become due, or makes a general assignment for the benefits of its creditors.</w:t>
      </w:r>
    </w:p>
    <w:p>
      <w:pPr>
        <w:pStyle w:val="Normal"/>
        <w:jc w:val="both"/>
        <w:rPr/>
      </w:pPr>
      <w:r>
        <w:rPr/>
      </w:r>
    </w:p>
    <w:p>
      <w:pPr>
        <w:pStyle w:val="Normal"/>
        <w:ind w:start="720" w:end="0"/>
        <w:jc w:val="both"/>
        <w:rPr/>
      </w:pPr>
      <w:r>
        <w:rPr/>
        <w:t>(v)</w:t>
        <w:tab/>
        <w:t>The Defaulting Party or its Guarantor files or otherwise commences, or has filed or commenced against it, a proceeding under any bankruptcy, insolvency, reorganization or similar law for the protection of creditors, or the application for appointment of a receiver, custodian or similar person, or the passing of a resolution for winding up of liquidation by it or on its behalf.</w:t>
      </w:r>
    </w:p>
    <w:p>
      <w:pPr>
        <w:pStyle w:val="Normal"/>
        <w:jc w:val="both"/>
        <w:rPr/>
      </w:pPr>
      <w:r>
        <w:rPr/>
      </w:r>
    </w:p>
    <w:p>
      <w:pPr>
        <w:pStyle w:val="Normal"/>
        <w:jc w:val="both"/>
        <w:rPr/>
      </w:pPr>
      <w:r>
        <w:rPr/>
        <w:t>(b)</w:t>
        <w:tab/>
        <w:t>If any Event of Default shall have occurred and be continuing, then the other Party (the “Performing Party”) shall have the right to designate an Early Termination Date upon at least one (1) Business Day’s notice to the Defaulting Party (except in the case of an event under Clauses 7(a)(v) above, in which event an Early Termination Date shall be deemed to have occurred immediately prior to such event and no prior notice shall be required) and to liquidate this Transaction and all Other Commodity Transactions then outstanding by:</w:t>
      </w:r>
    </w:p>
    <w:p>
      <w:pPr>
        <w:pStyle w:val="Normal"/>
        <w:jc w:val="both"/>
        <w:rPr/>
      </w:pPr>
      <w:r>
        <w:rPr/>
      </w:r>
    </w:p>
    <w:p>
      <w:pPr>
        <w:pStyle w:val="Normal"/>
        <w:ind w:start="720" w:end="0"/>
        <w:jc w:val="both"/>
        <w:rPr/>
      </w:pPr>
      <w:r>
        <w:rPr/>
        <w:t>(i)</w:t>
        <w:tab/>
        <w:t>closing out and liquidating each such Transaction, so that each such Transaction is terminated, and calculating a Settlement Payment (as defined below) for each such Transaction payable to one Party from the other, as appropriate, and any Breakage Costs (as defined) below incurred by the Performing Party, and</w:t>
      </w:r>
    </w:p>
    <w:p>
      <w:pPr>
        <w:pStyle w:val="Normal"/>
        <w:jc w:val="both"/>
        <w:rPr/>
      </w:pPr>
      <w:r>
        <w:rPr/>
      </w:r>
    </w:p>
    <w:p>
      <w:pPr>
        <w:pStyle w:val="Normal"/>
        <w:ind w:start="720" w:end="0"/>
        <w:jc w:val="both"/>
        <w:rPr/>
      </w:pPr>
      <w:r>
        <w:rPr/>
        <w:t>(ii)</w:t>
        <w:tab/>
        <w:t>setting off (1) all such Settlement Payments owing to the Defaulting Party plus (at the Performing Party’s election) any or all other amounts due to the Defaulting Party under this Transaction or any Other Commodity Transaction; (2) all such Settlement Payments owing to the Performing Party plus any or all Breakage Costs, plus (at the Performing Party’s election) any or all other amounts due to the Performing Party under this Transaction or any Other Commodity Transaction; and (3) all collateral held by either Party to secure the obligations of the other Party, so that all such amounts shall be aggregated and/or netted to a single liquidated amount payable within one (1) Business Day by the Party owing the greater such amount to the other Party.</w:t>
      </w:r>
    </w:p>
    <w:p>
      <w:pPr>
        <w:pStyle w:val="Normal"/>
        <w:jc w:val="both"/>
        <w:rPr/>
      </w:pPr>
      <w:r>
        <w:rPr/>
      </w:r>
    </w:p>
    <w:p>
      <w:pPr>
        <w:pStyle w:val="Normal"/>
        <w:jc w:val="both"/>
        <w:rPr/>
      </w:pPr>
      <w:r>
        <w:rPr/>
        <w:t>(c)</w:t>
        <w:tab/>
        <w:t>For the purpose of this Section 7, “Settlement Payment” means with respect to this Transaction and any outstanding Other Commodity Transactions, an amount representing each such Commodity Transaction’s market value (in US dollars) to the Party entitled to receive compensation for the early termination thereof, determined as of, or about the time, such Transaction is liquidated by the Performing Party in any commercially reasonable manner, or with respect to an Other Commodity Transactions, the amount obtained by applying the liquidation provisions under said agreements.  “Breakage Costs” means all costs and losses which the Performing Party may incur as a result of its terminating and liquidating this Transaction under this non-performance clause, including without limitation, loss of bargain, costs and losses incurred in maintaining, terminating and/or re-establishing any hedge or related trading positions, except for amounts covered by the Settlement Payment for such Other Commodity Transaction.</w:t>
      </w:r>
    </w:p>
    <w:p>
      <w:pPr>
        <w:pStyle w:val="Normal"/>
        <w:jc w:val="both"/>
        <w:rPr/>
      </w:pPr>
      <w:r>
        <w:rPr/>
      </w:r>
    </w:p>
    <w:p>
      <w:pPr>
        <w:pStyle w:val="Normal"/>
        <w:jc w:val="both"/>
        <w:rPr/>
      </w:pPr>
      <w:r>
        <w:rPr/>
        <w:t>(d)</w:t>
        <w:tab/>
        <w:t>If the Performing Party owes any amount pursuant to Section 7(b), at its election, it may set off any or all of such amount against any or all amounts then due and owing by the Defaulting Party to the Performing Party under any other agreement or arrangement.</w:t>
      </w:r>
    </w:p>
    <w:p>
      <w:pPr>
        <w:pStyle w:val="Normal"/>
        <w:jc w:val="both"/>
        <w:rPr/>
      </w:pPr>
      <w:r>
        <w:rPr/>
      </w:r>
    </w:p>
    <w:p>
      <w:pPr>
        <w:pStyle w:val="BodyText"/>
        <w:jc w:val="both"/>
        <w:rPr>
          <w:sz w:val="20"/>
        </w:rPr>
      </w:pPr>
      <w:r>
        <w:rPr>
          <w:sz w:val="20"/>
        </w:rPr>
        <w:t>(e)</w:t>
        <w:tab/>
        <w:t>The Performing Party’s rights under this Section 7 shall be in addition to, and not in limitation or exclusion of, any other rights which the Performing Party may have (whether by agreement, operation of law, or otherwise).  This Confirmation constitutes a swap contract for the purposes of Section 560 of the US Bankruptcy Code.</w:t>
      </w:r>
    </w:p>
    <w:p>
      <w:pPr>
        <w:pStyle w:val="Normal"/>
        <w:jc w:val="both"/>
        <w:rPr>
          <w:sz w:val="20"/>
        </w:rPr>
      </w:pPr>
      <w:r>
        <w:rPr>
          <w:sz w:val="20"/>
        </w:rPr>
      </w:r>
    </w:p>
    <w:p>
      <w:pPr>
        <w:pStyle w:val="Normal"/>
        <w:rPr>
          <w:b/>
        </w:rPr>
      </w:pPr>
      <w:r>
        <w:rPr>
          <w:b/>
        </w:rPr>
        <w:t>8.</w:t>
        <w:tab/>
      </w:r>
      <w:r>
        <w:rPr>
          <w:b/>
          <w:u w:val="single"/>
        </w:rPr>
        <w:t>Representations and Warranties</w:t>
      </w:r>
    </w:p>
    <w:p>
      <w:pPr>
        <w:pStyle w:val="Normal"/>
        <w:rPr>
          <w:b/>
        </w:rPr>
      </w:pPr>
      <w:r>
        <w:rPr>
          <w:b/>
        </w:rPr>
      </w:r>
    </w:p>
    <w:p>
      <w:pPr>
        <w:pStyle w:val="Normal"/>
        <w:jc w:val="both"/>
        <w:rPr/>
      </w:pPr>
      <w:r>
        <w:rPr/>
        <w:t>Each Party represents and warrants to the other Party as of the date hereof that:</w:t>
      </w:r>
    </w:p>
    <w:p>
      <w:pPr>
        <w:pStyle w:val="Normal"/>
        <w:jc w:val="both"/>
        <w:rPr/>
      </w:pPr>
      <w:r>
        <w:rPr/>
      </w:r>
    </w:p>
    <w:p>
      <w:pPr>
        <w:pStyle w:val="BodyText3"/>
        <w:rPr/>
      </w:pPr>
      <w:r>
        <w:rPr/>
        <w:t>(a)</w:t>
        <w:tab/>
        <w:t>It is duly organized and existing under the laws of the jurisdiction of its organization and has full power and legal right to execute, deliver and perform this Confirmation.</w:t>
      </w:r>
    </w:p>
    <w:p>
      <w:pPr>
        <w:pStyle w:val="BodyText3"/>
        <w:rPr/>
      </w:pPr>
      <w:r>
        <w:rPr/>
      </w:r>
    </w:p>
    <w:p>
      <w:pPr>
        <w:pStyle w:val="BodyText3"/>
        <w:rPr/>
      </w:pPr>
      <w:r>
        <w:rPr/>
        <w:t>(b)</w:t>
        <w:tab/>
        <w:t>Its execution, delivery and performance of this Confirmation has been duly authorized by all necessary actions and do not contravene any legal or contractual restriction binding on or affecting it, and the person signing this confirmation is authorized and empowered to do so.</w:t>
      </w:r>
    </w:p>
    <w:p>
      <w:pPr>
        <w:pStyle w:val="BodyText3"/>
        <w:rPr/>
      </w:pPr>
      <w:r>
        <w:rPr/>
      </w:r>
    </w:p>
    <w:p>
      <w:pPr>
        <w:pStyle w:val="BodyText3"/>
        <w:rPr/>
      </w:pPr>
      <w:r>
        <w:rPr/>
        <w:t>(c)</w:t>
        <w:tab/>
        <w:t>It has obtained or submitted any authorization or approval or other action by, or notice to or filing with, any governmental authority or regulatory body that is required for the due execution, delivery and performance of this Confirmation.</w:t>
      </w:r>
    </w:p>
    <w:p>
      <w:pPr>
        <w:pStyle w:val="BodyText3"/>
        <w:rPr/>
      </w:pPr>
      <w:r>
        <w:rPr/>
      </w:r>
    </w:p>
    <w:p>
      <w:pPr>
        <w:pStyle w:val="BodyText3"/>
        <w:rPr/>
      </w:pPr>
      <w:r>
        <w:rPr/>
        <w:t>(d)</w:t>
        <w:tab/>
        <w:t>This Confirmation constitutes its valid and legally binding obligations enforceable against it in accordance with its terms, except as may be limited by bankruptcy, reorganization, moratorium or similar laws affecting creditors’ rights generally.</w:t>
      </w:r>
    </w:p>
    <w:p>
      <w:pPr>
        <w:pStyle w:val="BodyText3"/>
        <w:rPr/>
      </w:pPr>
      <w:r>
        <w:rPr/>
      </w:r>
    </w:p>
    <w:p>
      <w:pPr>
        <w:pStyle w:val="BodyText3"/>
        <w:rPr/>
      </w:pPr>
      <w:r>
        <w:rPr/>
        <w:t>(e)</w:t>
        <w:tab/>
        <w:t>No Event of Default (as defined in Section 7), or event which with notice and/or lapse of time would constitute an Event of Default, has occurred with respect to it.</w:t>
      </w:r>
    </w:p>
    <w:p>
      <w:pPr>
        <w:pStyle w:val="BodyText3"/>
        <w:rPr/>
      </w:pPr>
      <w:r>
        <w:rPr/>
      </w:r>
    </w:p>
    <w:p>
      <w:pPr>
        <w:pStyle w:val="BodyText3"/>
        <w:rPr/>
      </w:pPr>
      <w:r>
        <w:rPr/>
        <w:t>(f)</w:t>
        <w:tab/>
        <w:t>No litigation, arbitration or administrative proceeding is current or pending or, so far as it is aware, threatened against it which would, if adversely determined, have a material adverse effect on its financial condition or its ability to perform its obligations hereunder.</w:t>
      </w:r>
    </w:p>
    <w:p>
      <w:pPr>
        <w:pStyle w:val="BodyText3"/>
        <w:rPr/>
      </w:pPr>
      <w:r>
        <w:rPr/>
      </w:r>
    </w:p>
    <w:p>
      <w:pPr>
        <w:pStyle w:val="BodyText3"/>
        <w:rPr/>
      </w:pPr>
      <w:r>
        <w:rPr/>
        <w:t>(g)</w:t>
        <w:tab/>
        <w:t>It has entered into this Confirmation in connection with its line of business (including financial intermediation services) and the terms hereof have been individually tailored and negotiated at arms length between the Parties.</w:t>
      </w:r>
    </w:p>
    <w:p>
      <w:pPr>
        <w:pStyle w:val="BodyText3"/>
        <w:rPr/>
      </w:pPr>
      <w:r>
        <w:rPr/>
      </w:r>
    </w:p>
    <w:p>
      <w:pPr>
        <w:pStyle w:val="BodyText3"/>
        <w:rPr/>
      </w:pPr>
      <w:r>
        <w:rPr/>
        <w:t>(h)</w:t>
        <w:tab/>
        <w:t>It is an “Eligible Swap Participant” as defined in CFTC Rule 35.1</w:t>
      </w:r>
    </w:p>
    <w:p>
      <w:pPr>
        <w:pStyle w:val="BodyText3"/>
        <w:rPr/>
      </w:pPr>
      <w:r>
        <w:rPr/>
      </w:r>
    </w:p>
    <w:p>
      <w:pPr>
        <w:pStyle w:val="BodyText3"/>
        <w:rPr/>
      </w:pPr>
      <w:r>
        <w:rPr/>
        <w:t>(i)</w:t>
        <w:tab/>
        <w:t>It is not relying upon any representations of the other Party other than those expressly set forth herein or any written guarantee of the obligations hereof.</w:t>
      </w:r>
    </w:p>
    <w:p>
      <w:pPr>
        <w:pStyle w:val="Normal"/>
        <w:tabs>
          <w:tab w:val="clear" w:pos="720"/>
          <w:tab w:val="left" w:pos="360" w:leader="none"/>
        </w:tabs>
        <w:jc w:val="both"/>
        <w:rPr/>
      </w:pPr>
      <w:r>
        <w:rPr/>
      </w:r>
    </w:p>
    <w:p>
      <w:pPr>
        <w:pStyle w:val="Normal"/>
        <w:jc w:val="both"/>
        <w:rPr/>
      </w:pPr>
      <w:r>
        <w:rPr/>
        <w:t>(j)</w:t>
        <w:tab/>
        <w:t>It has entered into this Confirmation as principal (and not as agent or in any other capacity, fiduciary or otherwise).</w:t>
      </w:r>
    </w:p>
    <w:p>
      <w:pPr>
        <w:pStyle w:val="Normal"/>
        <w:tabs>
          <w:tab w:val="clear" w:pos="720"/>
          <w:tab w:val="left" w:pos="360" w:leader="none"/>
        </w:tabs>
        <w:jc w:val="both"/>
        <w:rPr/>
      </w:pPr>
      <w:r>
        <w:rPr/>
      </w:r>
    </w:p>
    <w:p>
      <w:pPr>
        <w:pStyle w:val="BodyText3"/>
        <w:rPr/>
      </w:pPr>
      <w:r>
        <w:rPr/>
        <w:t>(k)</w:t>
        <w:tab/>
        <w:t>It has entered into this Confirmation with a full understanding of the material terms and risks hereof, and it is capable of assuming those risks.</w:t>
      </w:r>
    </w:p>
    <w:p>
      <w:pPr>
        <w:pStyle w:val="Normal"/>
        <w:tabs>
          <w:tab w:val="clear" w:pos="720"/>
          <w:tab w:val="left" w:pos="360" w:leader="none"/>
        </w:tabs>
        <w:jc w:val="both"/>
        <w:rPr/>
      </w:pPr>
      <w:r>
        <w:rPr/>
      </w:r>
    </w:p>
    <w:p>
      <w:pPr>
        <w:pStyle w:val="BodyText3"/>
        <w:rPr/>
      </w:pPr>
      <w:r>
        <w:rPr/>
        <w:t>(l)</w:t>
        <w:tab/>
        <w:t>It has made its investment and trading decisions (including regarding the suitability hereof) based upon its own judgment and any advice from such advisors as it has deemed necessary, and not in reliance upon any view expressed by the other Party.</w:t>
      </w:r>
    </w:p>
    <w:p>
      <w:pPr>
        <w:pStyle w:val="BodyText3"/>
        <w:rPr/>
      </w:pPr>
      <w:r>
        <w:rPr/>
      </w:r>
    </w:p>
    <w:p>
      <w:pPr>
        <w:pStyle w:val="BodyText3"/>
        <w:rPr/>
      </w:pPr>
      <w:r>
        <w:rPr/>
        <w:t>(m)</w:t>
        <w:tab/>
        <w:t>The other Party is not acting as a fiduciary or an advisor for it, nor has given to it any assurance or guarantee as to the expected performance or result of this Confirmation.</w:t>
      </w:r>
    </w:p>
    <w:p>
      <w:pPr>
        <w:pStyle w:val="BodyText3"/>
        <w:rPr/>
      </w:pPr>
      <w:r>
        <w:rPr/>
      </w:r>
    </w:p>
    <w:p>
      <w:pPr>
        <w:pStyle w:val="BodyText3"/>
        <w:rPr/>
      </w:pPr>
      <w:r>
        <w:rPr/>
        <w:t>(n)</w:t>
        <w:tab/>
        <w:t>It is a producer, processor, merchant or commercial end user of the commodity that is the subject of this Transaction and is entering into it solely for purposes related to said business.</w:t>
      </w:r>
    </w:p>
    <w:p>
      <w:pPr>
        <w:pStyle w:val="Normal"/>
        <w:jc w:val="both"/>
        <w:rPr/>
      </w:pPr>
      <w:r>
        <w:rPr/>
      </w:r>
    </w:p>
    <w:p>
      <w:pPr>
        <w:pStyle w:val="Normal"/>
        <w:jc w:val="both"/>
        <w:rPr/>
      </w:pPr>
      <w:r>
        <w:rPr>
          <w:b/>
        </w:rPr>
        <w:t>9.</w:t>
        <w:tab/>
      </w:r>
      <w:r>
        <w:rPr>
          <w:b/>
          <w:u w:val="single"/>
        </w:rPr>
        <w:t>Miscellaneous</w:t>
      </w:r>
      <w:r>
        <w:rPr>
          <w:b/>
        </w:rPr>
        <w:t>.</w:t>
      </w:r>
    </w:p>
    <w:p>
      <w:pPr>
        <w:pStyle w:val="Normal"/>
        <w:jc w:val="both"/>
        <w:rPr>
          <w:b/>
        </w:rPr>
      </w:pPr>
      <w:r>
        <w:rPr>
          <w:b/>
        </w:rPr>
      </w:r>
    </w:p>
    <w:p>
      <w:pPr>
        <w:pStyle w:val="Normal"/>
        <w:tabs>
          <w:tab w:val="clear" w:pos="720"/>
          <w:tab w:val="left" w:pos="-720" w:leader="none"/>
        </w:tabs>
        <w:suppressAutoHyphens w:val="true"/>
        <w:jc w:val="both"/>
        <w:rPr/>
      </w:pPr>
      <w:r>
        <w:rPr/>
        <w:t>(a)</w:t>
        <w:tab/>
        <w:t xml:space="preserve">Neither Party may assign its rights or its obligations hereunder without the prior written consent of the other Party; </w:t>
      </w:r>
      <w:r>
        <w:rPr>
          <w:i/>
        </w:rPr>
        <w:t>provided, however</w:t>
      </w:r>
      <w:r>
        <w:rPr/>
        <w:t xml:space="preserve">, that </w:t>
      </w:r>
      <w:r>
        <w:rPr>
          <w:spacing w:val="-2"/>
        </w:rPr>
        <w:t xml:space="preserve">either Party may, without the consent of the other Party (and without relieving itself from liability hereunder), (i) transfer, sell, pledge, encumber or assign this Agreement or the accounts, revenues or proceeds hereof in connection with any financing or other financial arrangements, (ii) </w:t>
      </w:r>
      <w:r>
        <w:rPr/>
        <w:t>transfer or assign this Agreement to an affiliate of such Party which affiliate's creditworthiness is comparable to or higher than that of such Party</w:t>
      </w:r>
      <w:r>
        <w:rPr>
          <w:spacing w:val="-2"/>
        </w:rPr>
        <w:t xml:space="preserve">, or (iii) transfer or assign this Agreement to any person or entity succeeding to all or substantially all of the assets of such Party; </w:t>
      </w:r>
      <w:r>
        <w:rPr>
          <w:i/>
          <w:spacing w:val="-2"/>
        </w:rPr>
        <w:t>provided, further</w:t>
      </w:r>
      <w:r>
        <w:rPr>
          <w:spacing w:val="-2"/>
        </w:rPr>
        <w:t>, that in each such case, any such assignee shall agree to in writing be bound by the terms and conditions hereof.</w:t>
      </w:r>
    </w:p>
    <w:p>
      <w:pPr>
        <w:pStyle w:val="Normal"/>
        <w:jc w:val="both"/>
        <w:rPr>
          <w:spacing w:val="-2"/>
        </w:rPr>
      </w:pPr>
      <w:r>
        <w:rPr>
          <w:spacing w:val="-2"/>
        </w:rPr>
      </w:r>
    </w:p>
    <w:p>
      <w:pPr>
        <w:pStyle w:val="BodyText3"/>
        <w:rPr/>
      </w:pPr>
      <w:r>
        <w:rPr/>
        <w:t>(b)</w:t>
        <w:tab/>
        <w:t>Each Party consents to the recording of its representatives’ telephone conversations without any further notice.  All recordings and any other evidence may be introduced to prove any oral agreement between the Parties.</w:t>
      </w:r>
    </w:p>
    <w:p>
      <w:pPr>
        <w:pStyle w:val="Normal"/>
        <w:jc w:val="both"/>
        <w:rPr/>
      </w:pPr>
      <w:r>
        <w:rPr/>
      </w:r>
    </w:p>
    <w:p>
      <w:pPr>
        <w:pStyle w:val="Normal"/>
        <w:jc w:val="both"/>
        <w:rPr/>
      </w:pPr>
      <w:r>
        <w:rPr/>
        <w:t>(c)</w:t>
        <w:tab/>
        <w:t>Any notice or communication in connection with this Confirmation will be sufficiently given to a Party, if in writing and delivered in person, sent by registered or certified mail, in each case with return receipt requested, or by overnight courier, or given by telex of facsimile (in each case with answerback or other confirmation of its receipt received by the sender) at the address or telex number or facsimile number specified in this Confirmation.  A notice or communication will be effective (i) if delivered, (ii) if transmitted by telex or facsimile, at the time of successful transmission, or (iii) if sent by registered or certified mail return receipt requested, on the date of receipt.</w:t>
      </w:r>
    </w:p>
    <w:p>
      <w:pPr>
        <w:pStyle w:val="Normal"/>
        <w:jc w:val="both"/>
        <w:rPr/>
      </w:pPr>
      <w:r>
        <w:rPr/>
      </w:r>
    </w:p>
    <w:p>
      <w:pPr>
        <w:pStyle w:val="BodyText3"/>
        <w:rPr/>
      </w:pPr>
      <w:r>
        <w:rPr/>
        <w:t>(d)</w:t>
        <w:tab/>
        <w:t>The Parties agree not to contest or assert any defense to the validity or enforceability of telephonic confirmations under Laws relating to whether certain agreements are to be in writing or signed by the Party to be thereby bound, or the authority of any employee of such Party to make such communication.  Each Party consents to the recording of its representatives telephone conversations without any further notice.  All recordings or electronic communications may be introduced into evidence to prove oral agreements between the Parties.  The Parties further agree that this Confirmation and all Transactions entered into hereunder shall constitute a Qualified Financial Contract as defined in New York General Obligations Law, Section 5-701.</w:t>
      </w:r>
    </w:p>
    <w:p>
      <w:pPr>
        <w:pStyle w:val="BodyText3"/>
        <w:rPr/>
      </w:pPr>
      <w:r>
        <w:rPr/>
      </w:r>
    </w:p>
    <w:p>
      <w:pPr>
        <w:pStyle w:val="BodyText3"/>
        <w:rPr/>
      </w:pPr>
      <w:r>
        <w:rPr/>
        <w:t>(e)</w:t>
        <w:tab/>
        <w:t>The terms of this Confirmation are confidential and are not to be disclosed to any third party without the prior written consent of the non-disclosing Party; provided that the terms of this confirmation may be disclosed to governmental agencies with jurisdiction over this matter without prior written consent.</w:t>
      </w:r>
    </w:p>
    <w:p>
      <w:pPr>
        <w:pStyle w:val="BodyText3"/>
        <w:rPr/>
      </w:pPr>
      <w:r>
        <w:rPr/>
      </w:r>
    </w:p>
    <w:p>
      <w:pPr>
        <w:pStyle w:val="Normal"/>
        <w:keepNext w:val="true"/>
        <w:keepLines/>
        <w:jc w:val="both"/>
        <w:rPr/>
      </w:pPr>
      <w:r>
        <w:rPr>
          <w:b/>
        </w:rPr>
        <w:t>10.</w:t>
        <w:tab/>
      </w:r>
      <w:r>
        <w:rPr>
          <w:b/>
          <w:u w:val="single"/>
        </w:rPr>
        <w:t>Governing Law</w:t>
      </w:r>
      <w:r>
        <w:rPr>
          <w:b/>
        </w:rPr>
        <w:t>.</w:t>
      </w:r>
    </w:p>
    <w:p>
      <w:pPr>
        <w:pStyle w:val="Normal"/>
        <w:keepNext w:val="true"/>
        <w:keepLines/>
        <w:jc w:val="both"/>
        <w:rPr>
          <w:b/>
        </w:rPr>
      </w:pPr>
      <w:r>
        <w:rPr>
          <w:b/>
        </w:rPr>
      </w:r>
    </w:p>
    <w:p>
      <w:pPr>
        <w:pStyle w:val="Normal"/>
        <w:keepNext w:val="true"/>
        <w:keepLines/>
        <w:jc w:val="both"/>
        <w:rPr/>
      </w:pPr>
      <w:r>
        <w:rPr/>
        <w:t xml:space="preserve">This contract shall be governed by New York law.  Each Party expressly submits to the exclusive jurisdiction of the Federal and State Courts located in the State of New York.  </w:t>
      </w:r>
    </w:p>
    <w:p>
      <w:pPr>
        <w:pStyle w:val="Normal"/>
        <w:jc w:val="both"/>
        <w:rPr/>
      </w:pPr>
      <w:r>
        <w:rPr/>
      </w:r>
    </w:p>
    <w:p>
      <w:pPr>
        <w:pStyle w:val="Normal"/>
        <w:jc w:val="both"/>
        <w:rPr/>
      </w:pPr>
      <w:r>
        <w:rPr/>
        <w:t>Please confirm that the foregoing correctly sets forth the terms and conditions of our agreement by returning via facsimile an executed copy of this Confirmation within three (3) Business Days of your receipt of this Confirmation, to the above Operations Contact.</w:t>
      </w:r>
    </w:p>
    <w:p>
      <w:pPr>
        <w:pStyle w:val="Normal"/>
        <w:jc w:val="both"/>
        <w:rPr/>
      </w:pPr>
      <w:r>
        <w:rPr/>
      </w:r>
    </w:p>
    <w:p>
      <w:pPr>
        <w:pStyle w:val="Normal"/>
        <w:jc w:val="both"/>
        <w:rPr/>
      </w:pPr>
      <w:r>
        <w:rPr/>
        <w:t>Failure to respond within such period will not affect the validity or enforceability of this Transaction, and shall be deemed to be an affirmation of the terms and conditions contained herein, absent manifest error.</w:t>
      </w:r>
    </w:p>
    <w:p>
      <w:pPr>
        <w:pStyle w:val="Normal"/>
        <w:jc w:val="both"/>
        <w:rPr/>
      </w:pPr>
      <w:r>
        <w:rPr/>
      </w:r>
    </w:p>
    <w:p>
      <w:pPr>
        <w:pStyle w:val="Normal"/>
        <w:jc w:val="both"/>
        <w:rPr/>
      </w:pPr>
      <w:r>
        <w:rPr/>
        <w:t>We are pleased to have concluded this transaction with you and look forward to your confirmation of this Confirmation.</w:t>
      </w:r>
    </w:p>
    <w:p>
      <w:pPr>
        <w:pStyle w:val="Normal"/>
        <w:rPr/>
      </w:pPr>
      <w:r>
        <w:rPr/>
      </w:r>
    </w:p>
    <w:p>
      <w:pPr>
        <w:pStyle w:val="Normal"/>
        <w:rPr/>
      </w:pPr>
      <w:r>
        <w:rPr/>
      </w:r>
    </w:p>
    <w:p>
      <w:pPr>
        <w:pStyle w:val="Normal"/>
        <w:rPr>
          <w:b/>
        </w:rPr>
      </w:pPr>
      <w:r>
        <w:rPr>
          <w:b/>
        </w:rPr>
        <w:t>XXXXXXXXXXXXXXXXXXXXXXXXXXXXXXX</w:t>
      </w:r>
    </w:p>
    <w:p>
      <w:pPr>
        <w:pStyle w:val="Normal"/>
        <w:rPr>
          <w:b/>
        </w:rPr>
      </w:pPr>
      <w:r>
        <w:rPr>
          <w:b/>
        </w:rPr>
      </w:r>
    </w:p>
    <w:p>
      <w:pPr>
        <w:pStyle w:val="Normal"/>
        <w:rPr/>
      </w:pPr>
      <w:r>
        <w:rPr/>
      </w:r>
    </w:p>
    <w:p>
      <w:pPr>
        <w:pStyle w:val="Normal"/>
        <w:rPr/>
      </w:pPr>
      <w:r>
        <w:rPr/>
        <w:t>By:  ___________________________________</w:t>
      </w:r>
    </w:p>
    <w:p>
      <w:pPr>
        <w:pStyle w:val="Normal"/>
        <w:rPr/>
      </w:pPr>
      <w:r>
        <w:rPr/>
        <w:t xml:space="preserve">        </w:t>
      </w:r>
      <w:r>
        <w:rPr/>
        <w:t>Name:</w:t>
      </w:r>
    </w:p>
    <w:p>
      <w:pPr>
        <w:pStyle w:val="Normal"/>
        <w:rPr/>
      </w:pPr>
      <w:r>
        <w:rPr/>
        <w:t xml:space="preserve">        </w:t>
      </w:r>
      <w:r>
        <w:rPr/>
        <w:t>Title:</w:t>
      </w:r>
    </w:p>
    <w:p>
      <w:pPr>
        <w:pStyle w:val="Normal"/>
        <w:rPr/>
      </w:pPr>
      <w:r>
        <w:rPr/>
      </w:r>
    </w:p>
    <w:p>
      <w:pPr>
        <w:pStyle w:val="Normal"/>
        <w:rPr>
          <w:b/>
        </w:rPr>
      </w:pPr>
      <w:r>
        <w:rPr>
          <w:b/>
        </w:rPr>
        <w:t>ACKNOWLEDGED AND AGREED:</w:t>
      </w:r>
    </w:p>
    <w:p>
      <w:pPr>
        <w:pStyle w:val="Header"/>
        <w:tabs>
          <w:tab w:val="clear" w:pos="4320"/>
          <w:tab w:val="clear" w:pos="8640"/>
        </w:tabs>
        <w:rPr>
          <w:b/>
        </w:rPr>
      </w:pPr>
      <w:r>
        <w:rPr>
          <w:b/>
        </w:rPr>
      </w:r>
    </w:p>
    <w:p>
      <w:pPr>
        <w:pStyle w:val="Normal"/>
        <w:rPr>
          <w:b/>
        </w:rPr>
      </w:pPr>
      <w:r>
        <w:rPr>
          <w:b/>
        </w:rPr>
        <w:t>NRG POWER MARKETING, INC.</w:t>
      </w:r>
    </w:p>
    <w:p>
      <w:pPr>
        <w:pStyle w:val="Normal"/>
        <w:rPr>
          <w:b/>
        </w:rPr>
      </w:pPr>
      <w:r>
        <w:rPr>
          <w:b/>
        </w:rPr>
      </w:r>
    </w:p>
    <w:p>
      <w:pPr>
        <w:pStyle w:val="Normal"/>
        <w:rPr/>
      </w:pPr>
      <w:r>
        <w:rPr/>
      </w:r>
    </w:p>
    <w:p>
      <w:pPr>
        <w:pStyle w:val="Normal"/>
        <w:rPr/>
      </w:pPr>
      <w:r>
        <w:rPr/>
        <w:t>By:  ___________________________________</w:t>
      </w:r>
    </w:p>
    <w:p>
      <w:pPr>
        <w:pStyle w:val="Normal"/>
        <w:rPr/>
      </w:pPr>
      <w:r>
        <w:rPr/>
        <w:t xml:space="preserve">        </w:t>
      </w:r>
      <w:r>
        <w:rPr/>
        <w:t>Name:</w:t>
      </w:r>
    </w:p>
    <w:p>
      <w:pPr>
        <w:pStyle w:val="Normal"/>
        <w:rPr/>
      </w:pPr>
      <w:r>
        <w:rPr/>
        <w:t xml:space="preserve">        </w:t>
      </w:r>
      <w:r>
        <w:rPr/>
        <w:t>Title:</w:t>
      </w:r>
    </w:p>
    <w:p>
      <w:pPr>
        <w:pStyle w:val="Normal"/>
        <w:rPr/>
      </w:pPr>
      <w:r>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ind w:hanging="2880" w:start="2880" w:end="0"/>
      <w:outlineLvl w:val="2"/>
    </w:pPr>
    <w:rPr>
      <w:b/>
      <w:sz w:val="24"/>
      <w:u w:val="single"/>
    </w:rPr>
  </w:style>
  <w:style w:type="paragraph" w:styleId="Heading4">
    <w:name w:val="heading 4"/>
    <w:basedOn w:val="Normal"/>
    <w:next w:val="Normal"/>
    <w:qFormat/>
    <w:pPr>
      <w:keepNext w:val="true"/>
      <w:numPr>
        <w:ilvl w:val="3"/>
        <w:numId w:val="1"/>
      </w:numPr>
      <w:ind w:hanging="1440" w:start="1440" w:end="0"/>
      <w:outlineLvl w:val="3"/>
    </w:pPr>
    <w:rPr>
      <w:b/>
      <w:sz w:val="24"/>
      <w:u w:val="single"/>
    </w:rPr>
  </w:style>
  <w:style w:type="paragraph" w:styleId="Heading5">
    <w:name w:val="heading 5"/>
    <w:basedOn w:val="Normal"/>
    <w:next w:val="Normal"/>
    <w:qFormat/>
    <w:pPr>
      <w:keepNext w:val="true"/>
      <w:numPr>
        <w:ilvl w:val="4"/>
        <w:numId w:val="1"/>
      </w:numPr>
      <w:outlineLvl w:val="4"/>
    </w:pPr>
    <w:rPr>
      <w:rFonts w:ascii="Garamond" w:hAnsi="Garamond" w:cs="Garamond"/>
      <w:b/>
      <w:sz w:val="24"/>
      <w:u w:val="single"/>
    </w:rPr>
  </w:style>
  <w:style w:type="paragraph" w:styleId="Heading6">
    <w:name w:val="heading 6"/>
    <w:basedOn w:val="Normal"/>
    <w:next w:val="Normal"/>
    <w:qFormat/>
    <w:pPr>
      <w:keepNext w:val="true"/>
      <w:numPr>
        <w:ilvl w:val="5"/>
        <w:numId w:val="1"/>
      </w:numPr>
      <w:ind w:hanging="3600" w:start="3600" w:end="0"/>
      <w:outlineLvl w:val="5"/>
    </w:pPr>
    <w:rPr>
      <w:rFonts w:ascii="Garamond" w:hAnsi="Garamond" w:cs="Garamond"/>
      <w:b/>
      <w:sz w:val="24"/>
      <w:u w:val="single"/>
    </w:rPr>
  </w:style>
  <w:style w:type="paragraph" w:styleId="Heading7">
    <w:name w:val="heading 7"/>
    <w:basedOn w:val="Normal"/>
    <w:next w:val="Normal"/>
    <w:qFormat/>
    <w:pPr>
      <w:keepNext w:val="true"/>
      <w:numPr>
        <w:ilvl w:val="6"/>
        <w:numId w:val="1"/>
      </w:numPr>
      <w:ind w:hanging="3600" w:start="3600" w:end="0"/>
      <w:outlineLvl w:val="6"/>
    </w:pPr>
    <w:rPr>
      <w:rFonts w:ascii="Garamond" w:hAnsi="Garamond" w:cs="Garamond"/>
      <w:b/>
      <w:sz w:val="24"/>
    </w:rPr>
  </w:style>
  <w:style w:type="paragraph" w:styleId="Heading8">
    <w:name w:val="heading 8"/>
    <w:basedOn w:val="Normal"/>
    <w:next w:val="Normal"/>
    <w:qFormat/>
    <w:pPr>
      <w:keepNext w:val="true"/>
      <w:numPr>
        <w:ilvl w:val="7"/>
        <w:numId w:val="1"/>
      </w:numPr>
      <w:ind w:firstLine="720" w:start="720" w:end="0"/>
      <w:outlineLvl w:val="7"/>
    </w:pPr>
    <w:rPr>
      <w:rFonts w:ascii="Garamond" w:hAnsi="Garamond" w:cs="Garamond"/>
      <w:sz w:val="24"/>
    </w:rPr>
  </w:style>
  <w:style w:type="paragraph" w:styleId="Heading9">
    <w:name w:val="heading 9"/>
    <w:basedOn w:val="Normal"/>
    <w:next w:val="Normal"/>
    <w:qFormat/>
    <w:pPr>
      <w:keepNext w:val="true"/>
      <w:numPr>
        <w:ilvl w:val="8"/>
        <w:numId w:val="1"/>
      </w:numPr>
      <w:outlineLvl w:val="8"/>
    </w:pPr>
    <w:rPr>
      <w:rFonts w:ascii="Garamond" w:hAnsi="Garamond" w:cs="Garamond"/>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2880" w:start="2880" w:end="0"/>
    </w:pPr>
    <w:rPr>
      <w:rFonts w:ascii="Garamond" w:hAnsi="Garamond" w:cs="Garamond"/>
      <w:sz w:val="24"/>
    </w:rPr>
  </w:style>
  <w:style w:type="paragraph" w:styleId="BodyText2">
    <w:name w:val="Body Text 2"/>
    <w:basedOn w:val="Normal"/>
    <w:qFormat/>
    <w:pPr/>
    <w:rPr>
      <w:rFonts w:ascii="Garamond" w:hAnsi="Garamond" w:cs="Garamond"/>
      <w:sz w:val="24"/>
    </w:rPr>
  </w:style>
  <w:style w:type="paragraph" w:styleId="BodyTextIndent">
    <w:name w:val="Body Text Indent"/>
    <w:basedOn w:val="Normal"/>
    <w:pPr>
      <w:ind w:hanging="3600" w:start="3600" w:end="0"/>
    </w:pPr>
    <w:rPr>
      <w:rFonts w:ascii="Garamond" w:hAnsi="Garamond" w:cs="Garamond"/>
      <w:sz w:val="24"/>
    </w:rPr>
  </w:style>
  <w:style w:type="paragraph" w:styleId="BodyText3">
    <w:name w:val="Body Text 3"/>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2000-11-28T15:08:00Z</dcterms:created>
  <dc:creator>LimoneJ</dc:creator>
  <dc:description/>
  <cp:keywords>Form</cp:keywords>
  <dc:language>en-CA</dc:language>
  <cp:lastModifiedBy>NRG</cp:lastModifiedBy>
  <cp:lastPrinted>2000-05-17T16:49:00Z</cp:lastPrinted>
  <dcterms:modified xsi:type="dcterms:W3CDTF">2000-11-28T15:08:00Z</dcterms:modified>
  <cp:revision>2</cp:revision>
  <dc:subject>Non-ISDA swap confirmation form</dc:subject>
  <dc:title>Form</dc:title>
</cp:coreProperties>
</file>