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Prices</w:t>
      </w:r>
    </w:p>
    <w:p>
      <w:pPr>
        <w:pStyle w:val="Normal"/>
        <w:pBdr>
          <w:top w:val="double" w:sz="6" w:space="1" w:color="000000"/>
          <w:left w:val="double" w:sz="6" w:space="1" w:color="000000"/>
          <w:bottom w:val="double" w:sz="6" w:space="1" w:color="000000"/>
          <w:right w:val="double" w:sz="6" w:space="1" w:color="000000"/>
        </w:pBdr>
        <w:jc w:val="center"/>
        <w:rPr>
          <w:i/>
          <w:i/>
          <w:sz w:val="18"/>
        </w:rPr>
      </w:pPr>
      <w:r>
        <w:rPr>
          <w:i/>
          <w:sz w:val="18"/>
        </w:rPr>
        <w:t xml:space="preserve"> </w:t>
      </w:r>
      <w:r>
        <w:rPr>
          <w:i/>
          <w:sz w:val="18"/>
        </w:rPr>
        <w:t>for February 13th, 2002</w:t>
      </w:r>
    </w:p>
    <w:p>
      <w:pPr>
        <w:pStyle w:val="Normal"/>
        <w:pBdr>
          <w:top w:val="double" w:sz="6" w:space="1" w:color="000000"/>
          <w:left w:val="double" w:sz="6" w:space="1" w:color="000000"/>
          <w:bottom w:val="double" w:sz="6" w:space="1" w:color="000000"/>
          <w:right w:val="double" w:sz="6" w:space="1" w:color="000000"/>
        </w:pBdr>
        <w:jc w:val="center"/>
        <w:rPr>
          <w:b/>
          <w:i/>
          <w:i/>
          <w:sz w:val="18"/>
        </w:rPr>
      </w:pPr>
      <w:r>
        <w:rPr>
          <w:b/>
          <w:i/>
          <w:sz w:val="18"/>
        </w:rPr>
      </w:r>
    </w:p>
    <w:p>
      <w:pPr>
        <w:pStyle w:val="Normal"/>
        <w:pBdr>
          <w:top w:val="double" w:sz="6" w:space="1" w:color="000000"/>
          <w:left w:val="double" w:sz="6" w:space="1" w:color="000000"/>
          <w:bottom w:val="double" w:sz="6" w:space="1" w:color="000000"/>
          <w:right w:val="double" w:sz="6" w:space="1" w:color="000000"/>
        </w:pBdr>
        <w:rPr>
          <w:sz w:val="18"/>
        </w:rPr>
      </w:pPr>
      <w:r>
        <w:rPr>
          <w:b/>
          <w:sz w:val="18"/>
        </w:rPr>
        <w:t>HEATING OIL</w:t>
        <w:tab/>
        <w:tab/>
        <w:tab/>
        <w:tab/>
        <w:tab/>
        <w:tab/>
      </w:r>
      <w:r>
        <w:rPr>
          <w:i/>
          <w:sz w:val="18"/>
        </w:rPr>
        <w:tab/>
      </w:r>
      <w:r>
        <w:rPr>
          <w:b/>
          <w:sz w:val="18"/>
        </w:rPr>
        <w:t>CRUDE OIL</w:t>
      </w:r>
    </w:p>
    <w:p>
      <w:pPr>
        <w:pStyle w:val="Normal"/>
        <w:pBdr>
          <w:top w:val="double" w:sz="6" w:space="1" w:color="000000"/>
          <w:left w:val="double" w:sz="6" w:space="1" w:color="000000"/>
          <w:bottom w:val="double" w:sz="6" w:space="1" w:color="000000"/>
          <w:right w:val="double" w:sz="6" w:space="1" w:color="000000"/>
        </w:pBdr>
        <w:tabs>
          <w:tab w:val="clear" w:pos="648"/>
          <w:tab w:val="left" w:pos="900" w:leader="none"/>
          <w:tab w:val="left" w:pos="1800" w:leader="none"/>
          <w:tab w:val="left" w:pos="2700" w:leader="none"/>
          <w:tab w:val="left" w:pos="3510" w:leader="none"/>
          <w:tab w:val="left" w:pos="5130" w:leader="none"/>
          <w:tab w:val="left" w:pos="6210" w:leader="none"/>
          <w:tab w:val="left" w:pos="7020" w:leader="none"/>
          <w:tab w:val="left" w:pos="7740" w:leader="none"/>
          <w:tab w:val="left" w:pos="8640" w:leader="none"/>
        </w:tabs>
        <w:rPr/>
      </w:pPr>
      <w:r>
        <w:rPr>
          <w:sz w:val="18"/>
          <w:u w:val="single"/>
        </w:rPr>
        <w:t>MONTH</w:t>
        <w:tab/>
        <w:t>HIGH</w:t>
        <w:tab/>
        <w:t xml:space="preserve"> LOW</w:t>
        <w:tab/>
        <w:t>SETTLE</w:t>
        <w:tab/>
        <w:t>CHANGE</w:t>
      </w:r>
      <w:r>
        <w:rPr>
          <w:sz w:val="18"/>
        </w:rPr>
        <w:tab/>
      </w:r>
      <w:r>
        <w:rPr>
          <w:sz w:val="18"/>
          <w:u w:val="single"/>
        </w:rPr>
        <w:t>MONTH</w:t>
        <w:tab/>
        <w:t>HIGH</w:t>
        <w:tab/>
        <w:t>LOW</w:t>
        <w:tab/>
        <w:t>SETTLE</w:t>
        <w:tab/>
        <w:t>CHANGE</w:t>
      </w:r>
    </w:p>
    <w:p>
      <w:pPr>
        <w:pStyle w:val="Normal"/>
        <w:pBdr>
          <w:top w:val="double" w:sz="6" w:space="1" w:color="000000"/>
          <w:left w:val="double" w:sz="6" w:space="1" w:color="000000"/>
          <w:bottom w:val="double" w:sz="6" w:space="1" w:color="000000"/>
          <w:right w:val="double" w:sz="6" w:space="1" w:color="000000"/>
        </w:pBdr>
        <w:tabs>
          <w:tab w:val="clear" w:pos="648"/>
          <w:tab w:val="left" w:pos="900" w:leader="none"/>
          <w:tab w:val="decimal" w:pos="1080" w:leader="none"/>
          <w:tab w:val="left" w:pos="1800" w:leader="none"/>
          <w:tab w:val="decimal" w:pos="2520" w:leader="none"/>
          <w:tab w:val="left" w:pos="2700" w:leader="none"/>
          <w:tab w:val="left" w:pos="3510" w:leader="none"/>
          <w:tab w:val="decimal" w:pos="4050" w:leader="none"/>
          <w:tab w:val="left" w:pos="5220" w:leader="none"/>
          <w:tab w:val="left" w:pos="6210" w:leader="none"/>
          <w:tab w:val="left" w:pos="7020" w:leader="none"/>
          <w:tab w:val="left" w:pos="7740" w:leader="none"/>
          <w:tab w:val="left" w:pos="8640" w:leader="none"/>
        </w:tabs>
        <w:rPr>
          <w:sz w:val="18"/>
        </w:rPr>
      </w:pPr>
      <w:r>
        <w:rPr>
          <w:sz w:val="18"/>
        </w:rPr>
        <w:t>MAR</w:t>
        <w:tab/>
        <w:t>56.70</w:t>
        <w:tab/>
        <w:t>53.78</w:t>
        <w:tab/>
        <w:tab/>
        <w:t>55.40</w:t>
        <w:tab/>
        <w:tab/>
        <w:t>up 0.80</w:t>
        <w:tab/>
        <w:t>MAR</w:t>
        <w:tab/>
        <w:t>21.75</w:t>
        <w:tab/>
        <w:t>20.31</w:t>
        <w:tab/>
        <w:t>21.18</w:t>
        <w:tab/>
        <w:t>up 0.45</w:t>
      </w:r>
    </w:p>
    <w:p>
      <w:pPr>
        <w:pStyle w:val="Normal"/>
        <w:pBdr>
          <w:top w:val="double" w:sz="6" w:space="1" w:color="000000"/>
          <w:left w:val="double" w:sz="6" w:space="1" w:color="000000"/>
          <w:bottom w:val="double" w:sz="6" w:space="1" w:color="000000"/>
          <w:right w:val="double" w:sz="6" w:space="1" w:color="000000"/>
        </w:pBdr>
        <w:tabs>
          <w:tab w:val="clear" w:pos="648"/>
          <w:tab w:val="left" w:pos="900" w:leader="none"/>
          <w:tab w:val="decimal" w:pos="1530" w:leader="none"/>
          <w:tab w:val="left" w:pos="1800" w:leader="none"/>
          <w:tab w:val="left" w:pos="2700" w:leader="none"/>
          <w:tab w:val="decimal" w:pos="2790" w:leader="none"/>
          <w:tab w:val="left" w:pos="3510" w:leader="none"/>
          <w:tab w:val="decimal" w:pos="4050" w:leader="none"/>
          <w:tab w:val="left" w:pos="5220" w:leader="none"/>
          <w:tab w:val="left" w:pos="6210" w:leader="none"/>
          <w:tab w:val="left" w:pos="7020" w:leader="none"/>
          <w:tab w:val="left" w:pos="7740" w:leader="none"/>
          <w:tab w:val="left" w:pos="8640" w:leader="none"/>
        </w:tabs>
        <w:rPr>
          <w:sz w:val="18"/>
        </w:rPr>
      </w:pPr>
      <w:r>
        <w:rPr>
          <w:sz w:val="18"/>
        </w:rPr>
        <w:t>APR</w:t>
        <w:tab/>
        <w:t>57.00</w:t>
        <w:tab/>
        <w:tab/>
        <w:t>54.30</w:t>
        <w:tab/>
        <w:t>55.82</w:t>
        <w:tab/>
        <w:tab/>
        <w:t>up 0.83</w:t>
        <w:tab/>
        <w:t>APR</w:t>
        <w:tab/>
        <w:t>22.10</w:t>
        <w:tab/>
        <w:t>20.68</w:t>
        <w:tab/>
        <w:t>21.52</w:t>
        <w:tab/>
        <w:t>up 0.40</w:t>
      </w:r>
    </w:p>
    <w:p>
      <w:pPr>
        <w:pStyle w:val="Normal"/>
        <w:pBdr>
          <w:top w:val="double" w:sz="6" w:space="1" w:color="000000"/>
          <w:left w:val="double" w:sz="6" w:space="1" w:color="000000"/>
          <w:bottom w:val="double" w:sz="6" w:space="1" w:color="000000"/>
          <w:right w:val="double" w:sz="6" w:space="1" w:color="000000"/>
        </w:pBdr>
        <w:tabs>
          <w:tab w:val="clear" w:pos="648"/>
          <w:tab w:val="decimal" w:pos="-1530" w:leader="none"/>
          <w:tab w:val="left" w:pos="900" w:leader="none"/>
          <w:tab w:val="decimal" w:pos="1530" w:leader="none"/>
          <w:tab w:val="left" w:pos="1800" w:leader="none"/>
          <w:tab w:val="left" w:pos="2700" w:leader="none"/>
          <w:tab w:val="decimal" w:pos="2790" w:leader="none"/>
          <w:tab w:val="left" w:pos="3510" w:leader="none"/>
          <w:tab w:val="decimal" w:pos="4050" w:leader="none"/>
          <w:tab w:val="left" w:pos="5220" w:leader="none"/>
          <w:tab w:val="left" w:pos="6210" w:leader="none"/>
          <w:tab w:val="left" w:pos="7020" w:leader="none"/>
          <w:tab w:val="left" w:pos="7740" w:leader="none"/>
          <w:tab w:val="left" w:pos="8640" w:leader="none"/>
        </w:tabs>
        <w:rPr>
          <w:sz w:val="18"/>
        </w:rPr>
      </w:pPr>
      <w:r>
        <w:rPr>
          <w:sz w:val="18"/>
        </w:rPr>
        <w:t>MAY</w:t>
        <w:tab/>
        <w:t>56.95</w:t>
        <w:tab/>
        <w:tab/>
        <w:t>54.60</w:t>
        <w:tab/>
        <w:t>55.92</w:t>
        <w:tab/>
        <w:tab/>
        <w:t>up 0.78</w:t>
        <w:tab/>
        <w:t>MAY</w:t>
        <w:tab/>
        <w:t>22.15</w:t>
        <w:tab/>
        <w:t>20.85</w:t>
        <w:tab/>
        <w:t>21.62</w:t>
        <w:tab/>
        <w:t>up 0.36</w:t>
      </w:r>
    </w:p>
    <w:p>
      <w:pPr>
        <w:pStyle w:val="Normal"/>
        <w:pBdr>
          <w:top w:val="double" w:sz="6" w:space="1" w:color="000000"/>
          <w:left w:val="double" w:sz="6" w:space="1" w:color="000000"/>
          <w:bottom w:val="double" w:sz="6" w:space="1" w:color="000000"/>
          <w:right w:val="double" w:sz="6" w:space="1" w:color="000000"/>
        </w:pBdr>
        <w:tabs>
          <w:tab w:val="clear" w:pos="648"/>
          <w:tab w:val="decimal" w:pos="-540" w:leader="none"/>
          <w:tab w:val="left" w:pos="900" w:leader="none"/>
          <w:tab w:val="decimal" w:pos="1530" w:leader="none"/>
          <w:tab w:val="left" w:pos="1800" w:leader="none"/>
          <w:tab w:val="left" w:pos="2700" w:leader="none"/>
          <w:tab w:val="decimal" w:pos="2790" w:leader="none"/>
          <w:tab w:val="left" w:pos="3510" w:leader="none"/>
          <w:tab w:val="decimal" w:pos="4050" w:leader="none"/>
          <w:tab w:val="left" w:pos="5220" w:leader="none"/>
          <w:tab w:val="left" w:pos="6210" w:leader="none"/>
          <w:tab w:val="left" w:pos="7020" w:leader="none"/>
          <w:tab w:val="left" w:pos="7740" w:leader="none"/>
          <w:tab w:val="left" w:pos="8640" w:leader="none"/>
        </w:tabs>
        <w:rPr>
          <w:sz w:val="18"/>
        </w:rPr>
      </w:pPr>
      <w:r>
        <w:rPr>
          <w:sz w:val="18"/>
        </w:rPr>
        <w:t>JUN</w:t>
        <w:tab/>
        <w:t>57.25</w:t>
        <w:tab/>
        <w:tab/>
        <w:t>55.07</w:t>
        <w:tab/>
        <w:t>56.22</w:t>
        <w:tab/>
        <w:tab/>
        <w:t>up 0.73</w:t>
        <w:tab/>
        <w:t>JUN</w:t>
        <w:tab/>
        <w:t>22.05</w:t>
        <w:tab/>
        <w:t>21.01</w:t>
        <w:tab/>
        <w:t>21.62</w:t>
        <w:tab/>
        <w:t>up 0.35</w:t>
      </w:r>
    </w:p>
    <w:p>
      <w:pPr>
        <w:pStyle w:val="Normal"/>
        <w:pBdr>
          <w:top w:val="double" w:sz="6" w:space="1" w:color="000000"/>
          <w:left w:val="double" w:sz="6" w:space="1" w:color="000000"/>
          <w:bottom w:val="double" w:sz="6" w:space="1" w:color="000000"/>
          <w:right w:val="double" w:sz="6" w:space="1" w:color="000000"/>
        </w:pBdr>
        <w:tabs>
          <w:tab w:val="clear" w:pos="648"/>
          <w:tab w:val="decimal" w:pos="-180" w:leader="none"/>
          <w:tab w:val="left" w:pos="900" w:leader="none"/>
          <w:tab w:val="decimal" w:pos="1530" w:leader="none"/>
          <w:tab w:val="left" w:pos="1800" w:leader="none"/>
          <w:tab w:val="left" w:pos="2700" w:leader="none"/>
          <w:tab w:val="decimal" w:pos="2790" w:leader="none"/>
          <w:tab w:val="left" w:pos="3510" w:leader="none"/>
          <w:tab w:val="decimal" w:pos="4050" w:leader="none"/>
          <w:tab w:val="left" w:pos="5220" w:leader="none"/>
          <w:tab w:val="left" w:pos="6210" w:leader="none"/>
          <w:tab w:val="left" w:pos="7020" w:leader="none"/>
          <w:tab w:val="left" w:pos="7740" w:leader="none"/>
          <w:tab w:val="left" w:pos="8640" w:leader="none"/>
        </w:tabs>
        <w:rPr>
          <w:i/>
          <w:i/>
          <w:sz w:val="18"/>
        </w:rPr>
      </w:pPr>
      <w:r>
        <w:rPr>
          <w:sz w:val="18"/>
        </w:rPr>
        <w:t>JUL</w:t>
        <w:tab/>
        <w:t>56.55</w:t>
        <w:tab/>
        <w:tab/>
        <w:t>55.75</w:t>
        <w:tab/>
        <w:t>56.67</w:t>
        <w:tab/>
        <w:tab/>
        <w:t>up 0.68</w:t>
        <w:tab/>
        <w:t>JUL</w:t>
        <w:tab/>
        <w:t>21.90</w:t>
        <w:tab/>
        <w:t>21.08</w:t>
        <w:tab/>
        <w:t>21.58</w:t>
        <w:tab/>
        <w:t>up 0.34</w:t>
      </w:r>
    </w:p>
    <w:p>
      <w:pPr>
        <w:pStyle w:val="Normal"/>
        <w:pBdr>
          <w:top w:val="double" w:sz="6" w:space="1" w:color="000000"/>
          <w:left w:val="double" w:sz="6" w:space="1" w:color="000000"/>
          <w:bottom w:val="double" w:sz="6" w:space="1" w:color="000000"/>
          <w:right w:val="double" w:sz="6" w:space="1" w:color="000000"/>
        </w:pBdr>
        <w:tabs>
          <w:tab w:val="clear" w:pos="648"/>
          <w:tab w:val="decimal" w:pos="-630" w:leader="none"/>
          <w:tab w:val="left" w:pos="900" w:leader="none"/>
          <w:tab w:val="decimal" w:pos="1530" w:leader="none"/>
          <w:tab w:val="left" w:pos="1800" w:leader="none"/>
          <w:tab w:val="left" w:pos="2700" w:leader="none"/>
          <w:tab w:val="decimal" w:pos="2790" w:leader="none"/>
          <w:tab w:val="left" w:pos="3510" w:leader="none"/>
          <w:tab w:val="decimal" w:pos="4050" w:leader="none"/>
          <w:tab w:val="left" w:pos="5220" w:leader="none"/>
          <w:tab w:val="left" w:pos="6210" w:leader="none"/>
          <w:tab w:val="left" w:pos="7020" w:leader="none"/>
          <w:tab w:val="left" w:pos="7740" w:leader="none"/>
          <w:tab w:val="left" w:pos="8640" w:leader="none"/>
        </w:tabs>
        <w:jc w:val="both"/>
        <w:rPr>
          <w:sz w:val="18"/>
        </w:rPr>
      </w:pPr>
      <w:r>
        <w:rPr>
          <w:sz w:val="18"/>
        </w:rPr>
        <w:t>AUG</w:t>
        <w:tab/>
        <w:t>58.30</w:t>
        <w:tab/>
        <w:tab/>
        <w:t>56.30</w:t>
        <w:tab/>
        <w:t>57.37</w:t>
        <w:tab/>
        <w:tab/>
        <w:t>up 0.63</w:t>
        <w:tab/>
        <w:t>AUG</w:t>
        <w:tab/>
        <w:t>21.91</w:t>
        <w:tab/>
        <w:t>21.13</w:t>
        <w:tab/>
        <w:t>21.54</w:t>
        <w:tab/>
        <w:t>up 0.33</w:t>
      </w:r>
    </w:p>
    <w:p>
      <w:pPr>
        <w:pStyle w:val="Normal"/>
        <w:pBdr>
          <w:top w:val="double" w:sz="6" w:space="1" w:color="000000"/>
          <w:left w:val="double" w:sz="6" w:space="1" w:color="000000"/>
          <w:bottom w:val="double" w:sz="6" w:space="1" w:color="000000"/>
          <w:right w:val="double" w:sz="6" w:space="1" w:color="000000"/>
        </w:pBdr>
        <w:tabs>
          <w:tab w:val="clear" w:pos="648"/>
          <w:tab w:val="left" w:pos="900" w:leader="none"/>
          <w:tab w:val="decimal" w:pos="1530" w:leader="none"/>
          <w:tab w:val="left" w:pos="1800" w:leader="none"/>
          <w:tab w:val="left" w:pos="2700" w:leader="none"/>
          <w:tab w:val="decimal" w:pos="2790" w:leader="none"/>
          <w:tab w:val="left" w:pos="3510" w:leader="none"/>
          <w:tab w:val="decimal" w:pos="4050" w:leader="none"/>
          <w:tab w:val="left" w:pos="5220" w:leader="none"/>
          <w:tab w:val="decimal" w:pos="5490" w:leader="none"/>
          <w:tab w:val="left" w:pos="6210" w:leader="none"/>
        </w:tabs>
        <w:rPr>
          <w:sz w:val="18"/>
        </w:rPr>
      </w:pPr>
      <w:r>
        <w:rPr>
          <w:sz w:val="18"/>
        </w:rPr>
        <w:t>SEP</w:t>
        <w:tab/>
        <w:t>58.79</w:t>
        <w:tab/>
        <w:tab/>
        <w:t>57.30</w:t>
        <w:tab/>
        <w:t>58.22</w:t>
        <w:tab/>
        <w:tab/>
        <w:t>up 0.63</w:t>
        <w:tab/>
      </w:r>
      <w:r>
        <w:rPr>
          <w:i/>
          <w:sz w:val="18"/>
        </w:rPr>
        <w:t>Estimated Volume..220,864   Opec Basket.. $19.25 up $0.20</w:t>
      </w:r>
    </w:p>
    <w:p>
      <w:pPr>
        <w:pStyle w:val="Normal"/>
        <w:pBdr>
          <w:top w:val="double" w:sz="6" w:space="1" w:color="000000"/>
          <w:left w:val="double" w:sz="6" w:space="1" w:color="000000"/>
          <w:bottom w:val="double" w:sz="6" w:space="1" w:color="000000"/>
          <w:right w:val="double" w:sz="6" w:space="1" w:color="000000"/>
        </w:pBdr>
        <w:tabs>
          <w:tab w:val="clear" w:pos="648"/>
          <w:tab w:val="left" w:pos="900" w:leader="none"/>
          <w:tab w:val="decimal" w:pos="1530" w:leader="none"/>
          <w:tab w:val="left" w:pos="1800" w:leader="none"/>
          <w:tab w:val="left" w:pos="2700" w:leader="none"/>
          <w:tab w:val="decimal" w:pos="2790" w:leader="none"/>
          <w:tab w:val="left" w:pos="3510" w:leader="none"/>
          <w:tab w:val="decimal" w:pos="4050" w:leader="none"/>
          <w:tab w:val="decimal" w:pos="5490" w:leader="none"/>
        </w:tabs>
        <w:rPr>
          <w:sz w:val="18"/>
        </w:rPr>
      </w:pPr>
      <w:r>
        <w:rPr>
          <w:sz w:val="18"/>
        </w:rPr>
        <w:t>OCT</w:t>
        <w:tab/>
        <w:t>58.40</w:t>
        <w:tab/>
        <w:tab/>
        <w:t>58.40</w:t>
        <w:tab/>
        <w:t>59.07</w:t>
        <w:tab/>
        <w:tab/>
        <w:t>up 0.63</w:t>
      </w:r>
    </w:p>
    <w:p>
      <w:pPr>
        <w:pStyle w:val="Normal"/>
        <w:pBdr>
          <w:top w:val="double" w:sz="6" w:space="1" w:color="000000"/>
          <w:left w:val="double" w:sz="6" w:space="1" w:color="000000"/>
          <w:bottom w:val="double" w:sz="6" w:space="1" w:color="000000"/>
          <w:right w:val="double" w:sz="6" w:space="1" w:color="000000"/>
        </w:pBdr>
        <w:tabs>
          <w:tab w:val="clear" w:pos="648"/>
          <w:tab w:val="left" w:pos="900" w:leader="none"/>
          <w:tab w:val="decimal" w:pos="1530" w:leader="none"/>
          <w:tab w:val="left" w:pos="1800" w:leader="none"/>
          <w:tab w:val="left" w:pos="2700" w:leader="none"/>
          <w:tab w:val="decimal" w:pos="2790" w:leader="none"/>
          <w:tab w:val="left" w:pos="3510" w:leader="none"/>
          <w:tab w:val="decimal" w:pos="4050" w:leader="none"/>
          <w:tab w:val="decimal" w:pos="5490" w:leader="none"/>
        </w:tabs>
        <w:rPr>
          <w:i/>
          <w:i/>
          <w:iCs/>
          <w:sz w:val="18"/>
        </w:rPr>
      </w:pPr>
      <w:r>
        <w:rPr>
          <w:sz w:val="18"/>
        </w:rPr>
        <w:t>NOV</w:t>
        <w:tab/>
        <w:t>60.75</w:t>
        <w:tab/>
        <w:tab/>
        <w:t>59.25</w:t>
        <w:tab/>
        <w:t>59.82</w:t>
        <w:tab/>
        <w:tab/>
        <w:t>up 0.58</w:t>
        <w:tab/>
        <w:t xml:space="preserve">Prompt #2 Oil </w:t>
        <w:tab/>
        <w:t xml:space="preserve">NY Harbor....-0.50 to –0.30  </w:t>
      </w:r>
    </w:p>
    <w:p>
      <w:pPr>
        <w:pStyle w:val="Normal"/>
        <w:pBdr>
          <w:top w:val="double" w:sz="6" w:space="1" w:color="000000"/>
          <w:left w:val="double" w:sz="6" w:space="1" w:color="000000"/>
          <w:bottom w:val="double" w:sz="6" w:space="1" w:color="000000"/>
          <w:right w:val="double" w:sz="6" w:space="1" w:color="000000"/>
        </w:pBdr>
        <w:tabs>
          <w:tab w:val="clear" w:pos="648"/>
          <w:tab w:val="left" w:pos="900" w:leader="none"/>
          <w:tab w:val="decimal" w:pos="1530" w:leader="none"/>
          <w:tab w:val="left" w:pos="1800" w:leader="none"/>
          <w:tab w:val="left" w:pos="2700" w:leader="none"/>
          <w:tab w:val="decimal" w:pos="2790" w:leader="none"/>
          <w:tab w:val="left" w:pos="3510" w:leader="none"/>
          <w:tab w:val="decimal" w:pos="4050" w:leader="none"/>
          <w:tab w:val="decimal" w:pos="5490" w:leader="none"/>
        </w:tabs>
        <w:rPr>
          <w:i/>
          <w:i/>
          <w:iCs/>
          <w:sz w:val="18"/>
        </w:rPr>
      </w:pPr>
      <w:r>
        <w:rPr>
          <w:sz w:val="18"/>
        </w:rPr>
        <w:t>DEC</w:t>
        <w:tab/>
        <w:t>61.50</w:t>
        <w:tab/>
        <w:tab/>
        <w:t>59.70</w:t>
        <w:tab/>
        <w:t>60.52</w:t>
        <w:tab/>
        <w:tab/>
        <w:t>up 0.58</w:t>
        <w:tab/>
        <w:tab/>
        <w:t xml:space="preserve">US Gulf.........-3.05 to –2.95 (86 grade) </w:t>
      </w:r>
    </w:p>
    <w:p>
      <w:pPr>
        <w:pStyle w:val="Normal"/>
        <w:pBdr>
          <w:top w:val="double" w:sz="6" w:space="1" w:color="000000"/>
          <w:left w:val="double" w:sz="6" w:space="1" w:color="000000"/>
          <w:bottom w:val="double" w:sz="6" w:space="1" w:color="000000"/>
          <w:right w:val="double" w:sz="6" w:space="1" w:color="000000"/>
        </w:pBdr>
        <w:tabs>
          <w:tab w:val="clear" w:pos="648"/>
          <w:tab w:val="left" w:pos="900" w:leader="none"/>
          <w:tab w:val="decimal" w:pos="1530" w:leader="none"/>
          <w:tab w:val="left" w:pos="1800" w:leader="none"/>
          <w:tab w:val="left" w:pos="2700" w:leader="none"/>
          <w:tab w:val="decimal" w:pos="2790" w:leader="none"/>
          <w:tab w:val="left" w:pos="3510" w:leader="none"/>
          <w:tab w:val="decimal" w:pos="4050" w:leader="none"/>
          <w:tab w:val="decimal" w:pos="5490" w:leader="none"/>
        </w:tabs>
        <w:rPr>
          <w:sz w:val="18"/>
        </w:rPr>
      </w:pPr>
      <w:r>
        <w:rPr>
          <w:sz w:val="18"/>
        </w:rPr>
        <w:t>JAN</w:t>
        <w:tab/>
        <w:t>62.10</w:t>
        <w:tab/>
        <w:tab/>
        <w:t>60.50</w:t>
        <w:tab/>
        <w:t>61.07</w:t>
        <w:tab/>
        <w:tab/>
        <w:t>up 0.58</w:t>
        <w:tab/>
        <w:tab/>
        <w:t>Group............-2.25 to –2.00  Lo S.....-1.50 to –1.25</w:t>
      </w:r>
    </w:p>
    <w:p>
      <w:pPr>
        <w:pStyle w:val="Normal"/>
        <w:pBdr>
          <w:top w:val="double" w:sz="6" w:space="1" w:color="000000"/>
          <w:left w:val="double" w:sz="6" w:space="1" w:color="000000"/>
          <w:bottom w:val="double" w:sz="6" w:space="1" w:color="000000"/>
          <w:right w:val="double" w:sz="6" w:space="1" w:color="000000"/>
        </w:pBdr>
        <w:tabs>
          <w:tab w:val="clear" w:pos="648"/>
          <w:tab w:val="left" w:pos="900" w:leader="none"/>
          <w:tab w:val="decimal" w:pos="1530" w:leader="none"/>
          <w:tab w:val="left" w:pos="1800" w:leader="none"/>
          <w:tab w:val="left" w:pos="2700" w:leader="none"/>
          <w:tab w:val="decimal" w:pos="2790" w:leader="none"/>
          <w:tab w:val="left" w:pos="3510" w:leader="none"/>
          <w:tab w:val="decimal" w:pos="4050" w:leader="none"/>
          <w:tab w:val="decimal" w:pos="5490" w:leader="none"/>
        </w:tabs>
        <w:rPr>
          <w:sz w:val="18"/>
        </w:rPr>
      </w:pPr>
      <w:r>
        <w:rPr>
          <w:sz w:val="18"/>
        </w:rPr>
        <w:t>FEB</w:t>
        <w:tab/>
        <w:t>62.30</w:t>
        <w:tab/>
        <w:tab/>
        <w:t>60.60</w:t>
        <w:tab/>
        <w:t>61.07</w:t>
        <w:tab/>
        <w:tab/>
        <w:t>up 0.58</w:t>
        <w:tab/>
        <w:tab/>
        <w:t xml:space="preserve">Chicago.........-1.50 to –1.00    </w:t>
      </w:r>
      <w:r>
        <w:rPr>
          <w:i/>
          <w:sz w:val="18"/>
        </w:rPr>
        <w:t>quotes by Dow Jones</w:t>
      </w:r>
    </w:p>
    <w:p>
      <w:pPr>
        <w:pStyle w:val="Normal"/>
        <w:pBdr>
          <w:top w:val="double" w:sz="6" w:space="1" w:color="000000"/>
          <w:left w:val="double" w:sz="6" w:space="1" w:color="000000"/>
          <w:bottom w:val="double" w:sz="6" w:space="1" w:color="000000"/>
          <w:right w:val="double" w:sz="6" w:space="1" w:color="000000"/>
        </w:pBdr>
        <w:tabs>
          <w:tab w:val="clear" w:pos="648"/>
          <w:tab w:val="left" w:pos="900" w:leader="none"/>
          <w:tab w:val="decimal" w:pos="1530" w:leader="none"/>
          <w:tab w:val="left" w:pos="1620" w:leader="none"/>
          <w:tab w:val="left" w:pos="2340" w:leader="none"/>
          <w:tab w:val="decimal" w:pos="2790" w:leader="none"/>
          <w:tab w:val="left" w:pos="3060" w:leader="none"/>
          <w:tab w:val="decimal" w:pos="4050" w:leader="none"/>
          <w:tab w:val="decimal" w:pos="5490" w:leader="none"/>
        </w:tabs>
        <w:rPr/>
      </w:pPr>
      <w:r>
        <w:rPr>
          <w:sz w:val="18"/>
          <w:u w:val="single"/>
        </w:rPr>
        <w:t>Estimated Volume</w:t>
        <w:tab/>
      </w:r>
      <w:r>
        <w:rPr>
          <w:i/>
          <w:iCs/>
          <w:sz w:val="18"/>
          <w:u w:val="single"/>
        </w:rPr>
        <w:t xml:space="preserve">      35,874</w:t>
      </w:r>
      <w:r>
        <w:rPr>
          <w:sz w:val="18"/>
          <w:u w:val="single"/>
        </w:rPr>
        <w:tab/>
        <w:tab/>
        <w:t xml:space="preserve"> </w:t>
      </w:r>
    </w:p>
    <w:p>
      <w:pPr>
        <w:pStyle w:val="Normal"/>
        <w:pBdr>
          <w:top w:val="double" w:sz="6" w:space="1" w:color="000000"/>
          <w:left w:val="double" w:sz="6" w:space="1" w:color="000000"/>
          <w:bottom w:val="double" w:sz="6" w:space="1" w:color="000000"/>
          <w:right w:val="double" w:sz="6" w:space="1" w:color="000000"/>
        </w:pBdr>
        <w:tabs>
          <w:tab w:val="clear" w:pos="648"/>
          <w:tab w:val="decimal" w:pos="1530" w:leader="none"/>
          <w:tab w:val="decimal" w:pos="2790" w:leader="none"/>
          <w:tab w:val="decimal" w:pos="4050" w:leader="none"/>
        </w:tabs>
        <w:rPr>
          <w:b/>
          <w:sz w:val="18"/>
        </w:rPr>
      </w:pPr>
      <w:r>
        <w:rPr>
          <w:b/>
          <w:sz w:val="18"/>
        </w:rPr>
        <w:t>GASOLINE</w:t>
        <w:tab/>
        <w:tab/>
        <w:tab/>
        <w:tab/>
        <w:tab/>
        <w:t>NATURAL GAS</w:t>
        <w:tab/>
        <w:tab/>
        <w:tab/>
      </w:r>
    </w:p>
    <w:p>
      <w:pPr>
        <w:pStyle w:val="Normal"/>
        <w:pBdr>
          <w:top w:val="double" w:sz="6" w:space="1" w:color="000000"/>
          <w:left w:val="double" w:sz="6" w:space="1" w:color="000000"/>
          <w:bottom w:val="double" w:sz="6" w:space="1" w:color="000000"/>
          <w:right w:val="double" w:sz="6" w:space="1" w:color="000000"/>
        </w:pBdr>
        <w:tabs>
          <w:tab w:val="clear" w:pos="648"/>
          <w:tab w:val="left" w:pos="900" w:leader="none"/>
          <w:tab w:val="decimal" w:pos="1080" w:leader="none"/>
          <w:tab w:val="left" w:pos="1800" w:leader="none"/>
          <w:tab w:val="decimal" w:pos="1980" w:leader="none"/>
          <w:tab w:val="left" w:pos="2700" w:leader="none"/>
          <w:tab w:val="decimal" w:pos="2880" w:leader="none"/>
          <w:tab w:val="left" w:pos="3780" w:leader="none"/>
          <w:tab w:val="decimal" w:pos="4050" w:leader="none"/>
          <w:tab w:val="left" w:pos="5220" w:leader="none"/>
          <w:tab w:val="left" w:pos="6210" w:leader="none"/>
          <w:tab w:val="left" w:pos="7020" w:leader="none"/>
          <w:tab w:val="left" w:pos="7740" w:leader="none"/>
          <w:tab w:val="left" w:pos="8640" w:leader="none"/>
        </w:tabs>
        <w:rPr/>
      </w:pPr>
      <w:r>
        <w:rPr>
          <w:sz w:val="18"/>
          <w:u w:val="single"/>
        </w:rPr>
        <w:t>MONTH</w:t>
        <w:tab/>
        <w:t>HIGH</w:t>
        <w:tab/>
        <w:t xml:space="preserve"> LOW</w:t>
        <w:tab/>
        <w:tab/>
        <w:t>SETTLE</w:t>
        <w:tab/>
        <w:tab/>
        <w:t xml:space="preserve">CHANGE </w:t>
      </w:r>
      <w:r>
        <w:rPr>
          <w:sz w:val="18"/>
        </w:rPr>
        <w:tab/>
      </w:r>
      <w:r>
        <w:rPr>
          <w:sz w:val="18"/>
          <w:u w:val="single"/>
        </w:rPr>
        <w:t>MONTH</w:t>
        <w:tab/>
        <w:t>HIGH</w:t>
        <w:tab/>
        <w:t>LOW</w:t>
        <w:tab/>
        <w:t>SETTLE</w:t>
        <w:tab/>
        <w:t>CHANGE</w:t>
      </w:r>
    </w:p>
    <w:p>
      <w:pPr>
        <w:pStyle w:val="Normal"/>
        <w:pBdr>
          <w:top w:val="double" w:sz="6" w:space="1" w:color="000000"/>
          <w:left w:val="double" w:sz="6" w:space="1" w:color="000000"/>
          <w:bottom w:val="double" w:sz="6" w:space="1" w:color="000000"/>
          <w:right w:val="double" w:sz="6" w:space="1" w:color="000000"/>
        </w:pBdr>
        <w:tabs>
          <w:tab w:val="clear" w:pos="648"/>
          <w:tab w:val="left" w:pos="900" w:leader="none"/>
          <w:tab w:val="decimal" w:pos="1080" w:leader="none"/>
          <w:tab w:val="left" w:pos="1800" w:leader="none"/>
          <w:tab w:val="decimal" w:pos="1980" w:leader="none"/>
          <w:tab w:val="left" w:pos="2700" w:leader="none"/>
          <w:tab w:val="decimal" w:pos="2880" w:leader="none"/>
          <w:tab w:val="left" w:pos="3780" w:leader="none"/>
          <w:tab w:val="decimal" w:pos="4050" w:leader="none"/>
          <w:tab w:val="left" w:pos="5220" w:leader="none"/>
          <w:tab w:val="decimal" w:pos="5490" w:leader="none"/>
          <w:tab w:val="left" w:pos="6210" w:leader="none"/>
          <w:tab w:val="left" w:pos="7020" w:leader="none"/>
          <w:tab w:val="left" w:pos="7740" w:leader="none"/>
          <w:tab w:val="left" w:pos="8640" w:leader="none"/>
        </w:tabs>
        <w:jc w:val="both"/>
        <w:rPr>
          <w:sz w:val="18"/>
        </w:rPr>
      </w:pPr>
      <w:r>
        <w:rPr>
          <w:sz w:val="18"/>
        </w:rPr>
        <w:t>MAR</w:t>
        <w:tab/>
        <w:t>62.25</w:t>
        <w:tab/>
        <w:t>59.00</w:t>
        <w:tab/>
        <w:t>60.90</w:t>
        <w:tab/>
        <w:t>up 0.71</w:t>
        <w:tab/>
        <w:t>MAR</w:t>
        <w:tab/>
        <w:t>2.410</w:t>
        <w:tab/>
        <w:t>2.240</w:t>
        <w:tab/>
        <w:t>2.245</w:t>
        <w:tab/>
        <w:t>dn 0.060</w:t>
      </w:r>
    </w:p>
    <w:p>
      <w:pPr>
        <w:pStyle w:val="Normal"/>
        <w:pBdr>
          <w:top w:val="double" w:sz="6" w:space="1" w:color="000000"/>
          <w:left w:val="double" w:sz="6" w:space="1" w:color="000000"/>
          <w:bottom w:val="double" w:sz="6" w:space="1" w:color="000000"/>
          <w:right w:val="double" w:sz="6" w:space="1" w:color="000000"/>
        </w:pBdr>
        <w:tabs>
          <w:tab w:val="clear" w:pos="648"/>
          <w:tab w:val="left" w:pos="900" w:leader="none"/>
          <w:tab w:val="decimal" w:pos="1080" w:leader="none"/>
          <w:tab w:val="left" w:pos="1800" w:leader="none"/>
          <w:tab w:val="decimal" w:pos="1980" w:leader="none"/>
          <w:tab w:val="left" w:pos="2700" w:leader="none"/>
          <w:tab w:val="decimal" w:pos="2880" w:leader="none"/>
          <w:tab w:val="left" w:pos="3780" w:leader="none"/>
          <w:tab w:val="decimal" w:pos="4050" w:leader="none"/>
          <w:tab w:val="left" w:pos="5220" w:leader="none"/>
          <w:tab w:val="decimal" w:pos="5490" w:leader="none"/>
          <w:tab w:val="left" w:pos="6210" w:leader="none"/>
          <w:tab w:val="left" w:pos="7020" w:leader="none"/>
          <w:tab w:val="left" w:pos="7740" w:leader="none"/>
          <w:tab w:val="left" w:pos="8640" w:leader="none"/>
        </w:tabs>
        <w:jc w:val="both"/>
        <w:rPr>
          <w:sz w:val="18"/>
        </w:rPr>
      </w:pPr>
      <w:r>
        <w:rPr>
          <w:sz w:val="18"/>
        </w:rPr>
        <w:t>APR</w:t>
        <w:tab/>
        <w:t>69.20</w:t>
        <w:tab/>
        <w:t>66.20</w:t>
        <w:tab/>
        <w:t>67.94</w:t>
        <w:tab/>
        <w:t>up 0.51</w:t>
        <w:tab/>
        <w:t>APR</w:t>
        <w:tab/>
        <w:t>2.460</w:t>
        <w:tab/>
        <w:t>2.300</w:t>
        <w:tab/>
        <w:t>2.310</w:t>
        <w:tab/>
        <w:t>dn 0.059</w:t>
      </w:r>
    </w:p>
    <w:p>
      <w:pPr>
        <w:pStyle w:val="Normal"/>
        <w:pBdr>
          <w:top w:val="double" w:sz="6" w:space="1" w:color="000000"/>
          <w:left w:val="double" w:sz="6" w:space="1" w:color="000000"/>
          <w:bottom w:val="double" w:sz="6" w:space="1" w:color="000000"/>
          <w:right w:val="double" w:sz="6" w:space="1" w:color="000000"/>
        </w:pBdr>
        <w:tabs>
          <w:tab w:val="clear" w:pos="648"/>
          <w:tab w:val="left" w:pos="900" w:leader="none"/>
          <w:tab w:val="decimal" w:pos="1080" w:leader="none"/>
          <w:tab w:val="left" w:pos="1800" w:leader="none"/>
          <w:tab w:val="decimal" w:pos="1980" w:leader="none"/>
          <w:tab w:val="left" w:pos="2700" w:leader="none"/>
          <w:tab w:val="decimal" w:pos="2880" w:leader="none"/>
          <w:tab w:val="left" w:pos="3780" w:leader="none"/>
          <w:tab w:val="decimal" w:pos="4050" w:leader="none"/>
          <w:tab w:val="left" w:pos="5220" w:leader="none"/>
          <w:tab w:val="decimal" w:pos="5490" w:leader="none"/>
          <w:tab w:val="left" w:pos="6210" w:leader="none"/>
          <w:tab w:val="left" w:pos="7020" w:leader="none"/>
          <w:tab w:val="left" w:pos="7740" w:leader="none"/>
          <w:tab w:val="left" w:pos="8640" w:leader="none"/>
        </w:tabs>
        <w:jc w:val="both"/>
        <w:rPr>
          <w:sz w:val="18"/>
        </w:rPr>
      </w:pPr>
      <w:r>
        <w:rPr>
          <w:sz w:val="18"/>
        </w:rPr>
        <w:t>MAY</w:t>
        <w:tab/>
        <w:t>69.60</w:t>
        <w:tab/>
        <w:t>67.00</w:t>
        <w:tab/>
        <w:t>68.54</w:t>
        <w:tab/>
        <w:t>up 0.51</w:t>
        <w:tab/>
        <w:t>MAY</w:t>
        <w:tab/>
        <w:t>2.510</w:t>
        <w:tab/>
        <w:t>2.380</w:t>
        <w:tab/>
        <w:t>2.388</w:t>
        <w:tab/>
        <w:t>dn 0.056</w:t>
      </w:r>
    </w:p>
    <w:p>
      <w:pPr>
        <w:pStyle w:val="Normal"/>
        <w:pBdr>
          <w:top w:val="double" w:sz="6" w:space="1" w:color="000000"/>
          <w:left w:val="double" w:sz="6" w:space="1" w:color="000000"/>
          <w:bottom w:val="double" w:sz="6" w:space="1" w:color="000000"/>
          <w:right w:val="double" w:sz="6" w:space="1" w:color="000000"/>
        </w:pBdr>
        <w:tabs>
          <w:tab w:val="clear" w:pos="648"/>
          <w:tab w:val="left" w:pos="900" w:leader="none"/>
          <w:tab w:val="decimal" w:pos="1080" w:leader="none"/>
          <w:tab w:val="left" w:pos="1800" w:leader="none"/>
          <w:tab w:val="decimal" w:pos="1980" w:leader="none"/>
          <w:tab w:val="left" w:pos="2700" w:leader="none"/>
          <w:tab w:val="decimal" w:pos="2880" w:leader="none"/>
          <w:tab w:val="left" w:pos="3780" w:leader="none"/>
          <w:tab w:val="decimal" w:pos="4050" w:leader="none"/>
          <w:tab w:val="left" w:pos="5220" w:leader="none"/>
          <w:tab w:val="decimal" w:pos="5490" w:leader="none"/>
          <w:tab w:val="left" w:pos="6210" w:leader="none"/>
          <w:tab w:val="left" w:pos="7020" w:leader="none"/>
          <w:tab w:val="left" w:pos="7740" w:leader="none"/>
          <w:tab w:val="left" w:pos="8640" w:leader="none"/>
        </w:tabs>
        <w:jc w:val="both"/>
        <w:rPr>
          <w:sz w:val="18"/>
        </w:rPr>
      </w:pPr>
      <w:r>
        <w:rPr>
          <w:sz w:val="18"/>
        </w:rPr>
        <w:t>JUN</w:t>
        <w:tab/>
        <w:t>69.75</w:t>
        <w:tab/>
        <w:t>67.50</w:t>
        <w:tab/>
        <w:t>68.64</w:t>
        <w:tab/>
        <w:t>up 0.51</w:t>
        <w:tab/>
        <w:t>JUN</w:t>
        <w:tab/>
        <w:t>2.580</w:t>
        <w:tab/>
        <w:t>2.460</w:t>
        <w:tab/>
        <w:t>2.458</w:t>
        <w:tab/>
        <w:t>dn 0.049</w:t>
      </w:r>
    </w:p>
    <w:p>
      <w:pPr>
        <w:pStyle w:val="Normal"/>
        <w:pBdr>
          <w:top w:val="double" w:sz="6" w:space="1" w:color="000000"/>
          <w:left w:val="double" w:sz="6" w:space="1" w:color="000000"/>
          <w:bottom w:val="double" w:sz="6" w:space="1" w:color="000000"/>
          <w:right w:val="double" w:sz="6" w:space="1" w:color="000000"/>
        </w:pBdr>
        <w:tabs>
          <w:tab w:val="clear" w:pos="648"/>
          <w:tab w:val="left" w:pos="900" w:leader="none"/>
          <w:tab w:val="decimal" w:pos="1080" w:leader="none"/>
          <w:tab w:val="left" w:pos="1800" w:leader="none"/>
          <w:tab w:val="decimal" w:pos="1980" w:leader="none"/>
          <w:tab w:val="left" w:pos="2700" w:leader="none"/>
          <w:tab w:val="decimal" w:pos="2880" w:leader="none"/>
          <w:tab w:val="left" w:pos="3780" w:leader="none"/>
          <w:tab w:val="decimal" w:pos="4050" w:leader="none"/>
          <w:tab w:val="left" w:pos="5220" w:leader="none"/>
          <w:tab w:val="decimal" w:pos="5490" w:leader="none"/>
          <w:tab w:val="left" w:pos="6210" w:leader="none"/>
          <w:tab w:val="left" w:pos="7020" w:leader="none"/>
          <w:tab w:val="left" w:pos="7740" w:leader="none"/>
          <w:tab w:val="left" w:pos="8640" w:leader="none"/>
        </w:tabs>
        <w:jc w:val="both"/>
        <w:rPr/>
      </w:pPr>
      <w:r>
        <w:rPr>
          <w:sz w:val="18"/>
        </w:rPr>
        <w:t>JUL</w:t>
        <w:tab/>
        <w:t>69.00</w:t>
        <w:tab/>
        <w:t>67.30</w:t>
        <w:tab/>
        <w:t>68.06</w:t>
        <w:tab/>
        <w:t>up 0.51</w:t>
        <w:tab/>
      </w:r>
      <w:r>
        <w:rPr>
          <w:i/>
          <w:sz w:val="18"/>
        </w:rPr>
        <w:t>Estimated Volume</w:t>
        <w:tab/>
        <w:t>93,230</w:t>
      </w:r>
    </w:p>
    <w:p>
      <w:pPr>
        <w:pStyle w:val="Normal"/>
        <w:pBdr>
          <w:top w:val="double" w:sz="6" w:space="1" w:color="000000"/>
          <w:left w:val="double" w:sz="6" w:space="1" w:color="000000"/>
          <w:bottom w:val="double" w:sz="6" w:space="1" w:color="000000"/>
          <w:right w:val="double" w:sz="6" w:space="1" w:color="000000"/>
        </w:pBdr>
        <w:tabs>
          <w:tab w:val="clear" w:pos="648"/>
          <w:tab w:val="left" w:pos="900" w:leader="none"/>
          <w:tab w:val="decimal" w:pos="1080" w:leader="none"/>
          <w:tab w:val="left" w:pos="1800" w:leader="none"/>
          <w:tab w:val="decimal" w:pos="1980" w:leader="none"/>
          <w:tab w:val="left" w:pos="2700" w:leader="none"/>
          <w:tab w:val="decimal" w:pos="2880" w:leader="none"/>
          <w:tab w:val="left" w:pos="3780" w:leader="none"/>
          <w:tab w:val="decimal" w:pos="4050" w:leader="none"/>
          <w:tab w:val="left" w:pos="5220" w:leader="none"/>
          <w:tab w:val="decimal" w:pos="5490" w:leader="none"/>
        </w:tabs>
        <w:rPr>
          <w:sz w:val="18"/>
        </w:rPr>
      </w:pPr>
      <w:r>
        <w:rPr>
          <w:sz w:val="18"/>
        </w:rPr>
        <w:t>AUG</w:t>
        <w:tab/>
        <w:t>67.10</w:t>
        <w:tab/>
        <w:t>67.10</w:t>
        <w:tab/>
        <w:t>66.79</w:t>
        <w:tab/>
        <w:t>up 0.49</w:t>
        <w:tab/>
      </w:r>
    </w:p>
    <w:p>
      <w:pPr>
        <w:pStyle w:val="Normal"/>
        <w:pBdr>
          <w:top w:val="double" w:sz="6" w:space="1" w:color="000000"/>
          <w:left w:val="double" w:sz="6" w:space="1" w:color="000000"/>
          <w:bottom w:val="double" w:sz="6" w:space="1" w:color="000000"/>
          <w:right w:val="double" w:sz="6" w:space="1" w:color="000000"/>
        </w:pBdr>
        <w:tabs>
          <w:tab w:val="clear" w:pos="648"/>
          <w:tab w:val="left" w:pos="900" w:leader="none"/>
          <w:tab w:val="decimal" w:pos="1080" w:leader="none"/>
          <w:tab w:val="left" w:pos="1800" w:leader="none"/>
          <w:tab w:val="decimal" w:pos="1980" w:leader="none"/>
          <w:tab w:val="left" w:pos="2700" w:leader="none"/>
          <w:tab w:val="decimal" w:pos="2880" w:leader="none"/>
          <w:tab w:val="left" w:pos="3780" w:leader="none"/>
          <w:tab w:val="decimal" w:pos="4050" w:leader="none"/>
          <w:tab w:val="left" w:pos="5220" w:leader="none"/>
          <w:tab w:val="decimal" w:pos="5490" w:leader="none"/>
        </w:tabs>
        <w:rPr>
          <w:i/>
          <w:i/>
          <w:iCs/>
          <w:sz w:val="18"/>
        </w:rPr>
      </w:pPr>
      <w:r>
        <w:rPr>
          <w:sz w:val="18"/>
        </w:rPr>
        <w:t>SEP</w:t>
        <w:tab/>
        <w:t>--.--</w:t>
        <w:tab/>
        <w:t>--.--</w:t>
        <w:tab/>
        <w:t>--.--</w:t>
        <w:tab/>
        <w:t>-- -.--</w:t>
        <w:tab/>
        <w:t>Prompt Gasoline  NYH –3.75 to –3.50,  RFG –1.40 to –1.15</w:t>
      </w:r>
    </w:p>
    <w:p>
      <w:pPr>
        <w:pStyle w:val="Normal"/>
        <w:pBdr>
          <w:top w:val="double" w:sz="6" w:space="1" w:color="000000"/>
          <w:left w:val="double" w:sz="6" w:space="1" w:color="000000"/>
          <w:bottom w:val="double" w:sz="6" w:space="1" w:color="000000"/>
          <w:right w:val="double" w:sz="6" w:space="1" w:color="000000"/>
        </w:pBdr>
        <w:tabs>
          <w:tab w:val="clear" w:pos="648"/>
          <w:tab w:val="left" w:pos="900" w:leader="none"/>
          <w:tab w:val="decimal" w:pos="1080" w:leader="none"/>
          <w:tab w:val="left" w:pos="1800" w:leader="none"/>
          <w:tab w:val="decimal" w:pos="1980" w:leader="none"/>
          <w:tab w:val="left" w:pos="2700" w:leader="none"/>
          <w:tab w:val="decimal" w:pos="2880" w:leader="none"/>
          <w:tab w:val="left" w:pos="3780" w:leader="none"/>
          <w:tab w:val="decimal" w:pos="4050" w:leader="none"/>
          <w:tab w:val="left" w:pos="5220" w:leader="none"/>
          <w:tab w:val="decimal" w:pos="5490" w:leader="none"/>
        </w:tabs>
        <w:jc w:val="both"/>
        <w:rPr>
          <w:i/>
          <w:i/>
          <w:iCs/>
          <w:sz w:val="18"/>
        </w:rPr>
      </w:pPr>
      <w:r>
        <w:rPr>
          <w:sz w:val="18"/>
        </w:rPr>
        <w:t>OCT</w:t>
        <w:tab/>
        <w:t>--.--</w:t>
        <w:tab/>
        <w:t>--.--</w:t>
        <w:tab/>
        <w:t>--.--</w:t>
        <w:tab/>
        <w:t>-- -.--</w:t>
        <w:tab/>
        <w:t>US Gulf  -6.50 to –6.25,  RFG –3.50 to –3.00</w:t>
      </w:r>
    </w:p>
    <w:p>
      <w:pPr>
        <w:pStyle w:val="Normal"/>
        <w:pBdr>
          <w:top w:val="double" w:sz="6" w:space="1" w:color="000000"/>
          <w:left w:val="double" w:sz="6" w:space="1" w:color="000000"/>
          <w:bottom w:val="double" w:sz="6" w:space="1" w:color="000000"/>
          <w:right w:val="double" w:sz="6" w:space="1" w:color="000000"/>
        </w:pBdr>
        <w:jc w:val="both"/>
        <w:rPr/>
      </w:pPr>
      <w:r>
        <w:rPr>
          <w:sz w:val="18"/>
        </w:rPr>
        <w:t>Estimated Volume</w:t>
        <w:tab/>
      </w:r>
      <w:r>
        <w:rPr>
          <w:i/>
          <w:iCs/>
          <w:sz w:val="18"/>
        </w:rPr>
        <w:t xml:space="preserve"> 47,033</w:t>
      </w:r>
      <w:r>
        <w:rPr>
          <w:sz w:val="18"/>
        </w:rPr>
        <w:tab/>
        <w:tab/>
        <w:t>L.A. Conv Reg 63.00-64.00, N-grade Group 54.70-54.95  Chi 55.70-55.95</w:t>
      </w:r>
    </w:p>
    <w:p>
      <w:pPr>
        <w:pStyle w:val="Caption"/>
        <w:rPr>
          <w:bCs/>
        </w:rPr>
      </w:pPr>
      <w:r>
        <w:rPr/>
        <w:t>WHAT HAPPENED on WEDNESDAY</w:t>
        <w:tab/>
      </w:r>
      <w:r>
        <mc:AlternateContent>
          <mc:Choice Requires="wps">
            <w:drawing>
              <wp:anchor behindDoc="0" distT="0" distB="0" distL="114300" distR="114300" simplePos="0" locked="0" layoutInCell="0" allowOverlap="1" relativeHeight="2">
                <wp:simplePos x="0" y="0"/>
                <wp:positionH relativeFrom="page">
                  <wp:posOffset>3754120</wp:posOffset>
                </wp:positionH>
                <wp:positionV relativeFrom="paragraph">
                  <wp:posOffset>81280</wp:posOffset>
                </wp:positionV>
                <wp:extent cx="3460750" cy="3274060"/>
                <wp:effectExtent l="0" t="0" r="28575" b="28575"/>
                <wp:wrapSquare wrapText="bothSides"/>
                <wp:docPr id="1" name="Frame1"/>
                <a:graphic xmlns:a="http://schemas.openxmlformats.org/drawingml/2006/main">
                  <a:graphicData uri="http://schemas.microsoft.com/office/word/2010/wordprocessingShape">
                    <wps:wsp>
                      <wps:cNvSpPr txBox="1"/>
                      <wps:spPr>
                        <a:xfrm>
                          <a:off x="0" y="0"/>
                          <a:ext cx="3489325" cy="3302635"/>
                        </a:xfrm>
                        <a:prstGeom prst="rect"/>
                        <a:solidFill>
                          <a:srgbClr val="FFFFFF">
                            <a:alpha val="0"/>
                          </a:srgbClr>
                        </a:solidFill>
                        <a:ln w="28575">
                          <a:solidFill>
                            <a:srgbClr val="000000"/>
                          </a:solidFill>
                        </a:ln>
                        <a:effectLst>
                          <a:outerShdw dist="40005" dir="2700000">
                            <a:srgbClr val="000000"/>
                          </a:outerShdw>
                        </a:effectLst>
                      </wps:spPr>
                      <wps:txbx>
                        <w:txbxContent>
                          <w:p>
                            <w:pPr>
                              <w:pStyle w:val="Normal"/>
                              <w:rPr>
                                <w:b/>
                              </w:rPr>
                            </w:pPr>
                            <w:r>
                              <w:rPr>
                                <w:b/>
                              </w:rPr>
                              <w:t>Fuel For Thought:</w:t>
                            </w:r>
                          </w:p>
                          <w:p>
                            <w:pPr>
                              <w:pStyle w:val="BodyText2"/>
                              <w:rPr/>
                            </w:pPr>
                            <w:r>
                              <w:rPr/>
                              <w:t xml:space="preserve">  </w:t>
                            </w:r>
                            <w:r>
                              <w:rPr/>
                              <w:t>Two Senators plan to introduce a bill today that would eliminate exemptions in the Commodity Futures Modernization Act of 2000.  At stake is the operation of energy-trading systems that do not fall under government oversight.  The proposed legislation would give the CFTC authority to regulate the trading of any and all energy futures in multilateral markets and on electronic trading platforms.  Since cash transactions are bilateral transactions, they would not fall under the CFTC’s purview.   The purported purpose is to “ensure that all energy transactions are transparent.”  The bill is in response to Enron’s dealings.</w:t>
                            </w:r>
                          </w:p>
                          <w:p>
                            <w:pPr>
                              <w:pStyle w:val="BodyText2"/>
                              <w:rPr/>
                            </w:pPr>
                            <w:r>
                              <w:rPr/>
                              <w:t xml:space="preserve">   </w:t>
                            </w:r>
                            <w:r>
                              <w:rPr/>
                              <w:t>The FERC would have oversight “over all futures transactions not regulated by the CFTC, and would regulate bilateral energy transactions and all other energy transactions that the CFTC cannot regulate.”  The FERC would also have authority to require “just and reasonable” forward prices for energy.</w:t>
                            </w:r>
                          </w:p>
                          <w:p>
                            <w:pPr>
                              <w:pStyle w:val="BodyText2"/>
                              <w:rPr/>
                            </w:pPr>
                            <w:r>
                              <w:rPr/>
                              <w:t xml:space="preserve">   </w:t>
                            </w:r>
                            <w:r>
                              <w:rPr/>
                              <w:t>We are sure the senators mean well, and Enron did a lot of dangerously aggressive things, but we see a lot of reasons to hope this bill is stillborn.  We are not sure the FERC is capable of keeping energy supplied at the same time that it controls prices.  The record on that kind of oversight is poor.</w:t>
                            </w:r>
                          </w:p>
                        </w:txbxContent>
                      </wps:txbx>
                      <wps:bodyPr anchor="t" lIns="12700" tIns="12700" rIns="12700" bIns="12700">
                        <a:noAutofit/>
                      </wps:bodyPr>
                    </wps:wsp>
                  </a:graphicData>
                </a:graphic>
              </wp:anchor>
            </w:drawing>
          </mc:Choice>
          <mc:Fallback>
            <w:pict>
              <v:rect fillcolor="#FFFFFF" strokecolor="#000000" strokeweight="2pt" style="position:absolute;rotation:-0;width:274.75pt;height:260.05pt;mso-wrap-distance-left:9pt;mso-wrap-distance-right:9pt;mso-wrap-distance-top:0pt;mso-wrap-distance-bottom:0pt;margin-top:6.4pt;mso-position-vertical-relative:text;margin-left:295.6pt;mso-position-horizontal-relative:page">
                <v:shadow on="t" color="#000000" offset="2.25pt,2.25pt"/>
                <v:fill opacity="0f"/>
                <v:textbox inset="0.0138888888888889in,0.0138888888888889in,0.0138888888888889in,0.0138888888888889in">
                  <w:txbxContent>
                    <w:p>
                      <w:pPr>
                        <w:pStyle w:val="Normal"/>
                        <w:rPr>
                          <w:b/>
                        </w:rPr>
                      </w:pPr>
                      <w:r>
                        <w:rPr>
                          <w:b/>
                        </w:rPr>
                        <w:t>Fuel For Thought:</w:t>
                      </w:r>
                    </w:p>
                    <w:p>
                      <w:pPr>
                        <w:pStyle w:val="BodyText2"/>
                        <w:rPr/>
                      </w:pPr>
                      <w:r>
                        <w:rPr/>
                        <w:t xml:space="preserve">  </w:t>
                      </w:r>
                      <w:r>
                        <w:rPr/>
                        <w:t>Two Senators plan to introduce a bill today that would eliminate exemptions in the Commodity Futures Modernization Act of 2000.  At stake is the operation of energy-trading systems that do not fall under government oversight.  The proposed legislation would give the CFTC authority to regulate the trading of any and all energy futures in multilateral markets and on electronic trading platforms.  Since cash transactions are bilateral transactions, they would not fall under the CFTC’s purview.   The purported purpose is to “ensure that all energy transactions are transparent.”  The bill is in response to Enron’s dealings.</w:t>
                      </w:r>
                    </w:p>
                    <w:p>
                      <w:pPr>
                        <w:pStyle w:val="BodyText2"/>
                        <w:rPr/>
                      </w:pPr>
                      <w:r>
                        <w:rPr/>
                        <w:t xml:space="preserve">   </w:t>
                      </w:r>
                      <w:r>
                        <w:rPr/>
                        <w:t>The FERC would have oversight “over all futures transactions not regulated by the CFTC, and would regulate bilateral energy transactions and all other energy transactions that the CFTC cannot regulate.”  The FERC would also have authority to require “just and reasonable” forward prices for energy.</w:t>
                      </w:r>
                    </w:p>
                    <w:p>
                      <w:pPr>
                        <w:pStyle w:val="BodyText2"/>
                        <w:rPr/>
                      </w:pPr>
                      <w:r>
                        <w:rPr/>
                        <w:t xml:space="preserve">   </w:t>
                      </w:r>
                      <w:r>
                        <w:rPr/>
                        <w:t>We are sure the senators mean well, and Enron did a lot of dangerously aggressive things, but we see a lot of reasons to hope this bill is stillborn.  We are not sure the FERC is capable of keeping energy supplied at the same time that it controls prices.  The record on that kind of oversight is poor.</w:t>
                      </w:r>
                    </w:p>
                  </w:txbxContent>
                </v:textbox>
                <w10:wrap type="square"/>
              </v:rect>
            </w:pict>
          </mc:Fallback>
        </mc:AlternateContent>
      </w:r>
    </w:p>
    <w:p>
      <w:pPr>
        <w:pStyle w:val="BodyText"/>
        <w:tabs>
          <w:tab w:val="clear" w:pos="0"/>
          <w:tab w:val="clear" w:pos="3960"/>
        </w:tabs>
        <w:rPr/>
      </w:pPr>
      <w:r>
        <w:rPr/>
        <w:t>T</w:t>
      </w:r>
      <w:r>
        <w:rPr/>
        <w:t xml:space="preserve">he market came in lower yesterday, but then rallied again before the close.  The short-covering continued and yesterday’s excuse </w:t>
      </w:r>
      <w:r>
        <w:rPr>
          <w:i/>
          <w:iCs/>
        </w:rPr>
        <w:t xml:space="preserve">du jour </w:t>
      </w:r>
      <w:r>
        <w:rPr/>
        <w:t>was the fear that the US is going to attack Iraq.  The thinking was that any attack could backfire on world oil supplies.</w:t>
      </w:r>
    </w:p>
    <w:p>
      <w:pPr>
        <w:pStyle w:val="BodyText"/>
        <w:tabs>
          <w:tab w:val="clear" w:pos="0"/>
          <w:tab w:val="clear" w:pos="3960"/>
        </w:tabs>
        <w:ind w:firstLine="648" w:end="0"/>
        <w:rPr/>
      </w:pPr>
      <w:r>
        <w:rPr/>
        <w:t>The Philadelphia Inquirer reported yesterday that President Bush is determined to get rid of Saddam Hussein.  The report said that he has asked military and intelligence communities for plans ranging from covert operations to open military attack.  And President Bush warned that Saddam needs to take the US seriously.  The President said, “I will reserve whatever options I have.”  He refused to rule out unilateral military action.</w:t>
      </w:r>
    </w:p>
    <w:p>
      <w:pPr>
        <w:pStyle w:val="BodyText"/>
        <w:tabs>
          <w:tab w:val="clear" w:pos="0"/>
          <w:tab w:val="clear" w:pos="3960"/>
        </w:tabs>
        <w:ind w:firstLine="648" w:end="0"/>
        <w:rPr/>
      </w:pPr>
      <w:r>
        <w:rPr/>
        <w:t>Alright.  We have heard the very same words from a very long list of Administration officials over many months.  And almost every one of them has told us that there will be consultations with friends and allies before any action is taken.  One might also expect some type of pretext.  We would take an Iraqi provocation more seriously than a reiterated US warning.  There has been no US ultimatum.  This same administration gave a clear and unequivocal one to the Taliban – and it gave time for a response.  Given the level of the provocation of September 11</w:t>
      </w:r>
      <w:r>
        <w:rPr>
          <w:vertAlign w:val="superscript"/>
        </w:rPr>
        <w:t>th</w:t>
      </w:r>
      <w:r>
        <w:rPr/>
        <w:t xml:space="preserve">, what makes anyone expect less here?  If Saddam provokes this government it will respond.  But it will do it incrementally, we believe.  And there will be an ultimatum before there is an attack.  </w:t>
      </w:r>
    </w:p>
    <w:p>
      <w:pPr>
        <w:pStyle w:val="BodyText"/>
        <w:tabs>
          <w:tab w:val="clear" w:pos="0"/>
          <w:tab w:val="clear" w:pos="3960"/>
        </w:tabs>
        <w:ind w:firstLine="648" w:end="0"/>
        <w:rPr/>
      </w:pPr>
      <w:r>
        <w:rPr/>
        <w:t>George W. Bush has no love for Iraq, but one would be hard-pressed to find an American politician who does.  As US President, there is no basis to believe that President Bush will just wake up one morning and launch an all-out strike just for the grins of it.  And that is pretty much what the market was discounting yesterday – an attack out of the blue.</w:t>
      </w:r>
    </w:p>
    <w:p>
      <w:pPr>
        <w:pStyle w:val="BodyText"/>
        <w:tabs>
          <w:tab w:val="clear" w:pos="0"/>
          <w:tab w:val="clear" w:pos="3960"/>
        </w:tabs>
        <w:ind w:firstLine="648" w:end="0"/>
        <w:rPr/>
      </w:pPr>
      <w:r>
        <w:rPr/>
        <w:t>Potential buyers do not think that way; only shorts losing money do.  Heating oil distributors thinking about next winter or refiners contemplating summer runs do not ignore a bearish API report and start buying just in case the President decides to jump in one morning to go get Saddam.  Only a short in fear could come up with that one – and then buy on it.</w:t>
      </w:r>
    </w:p>
    <w:p>
      <w:pPr>
        <w:pStyle w:val="BodyText"/>
        <w:tabs>
          <w:tab w:val="clear" w:pos="0"/>
          <w:tab w:val="clear" w:pos="3960"/>
        </w:tabs>
        <w:ind w:firstLine="648" w:end="0"/>
        <w:rPr/>
      </w:pPr>
      <w:r>
        <w:rPr/>
        <w:t xml:space="preserve">We may attack Saddam again some day.  But there will be a process that will take us there. We believe it starts with an Iraqi provocation and is followed by an ultimatum.  If the shorts are nervous and want to cover, that’s fine.  It would be nice if they could trot out a better reason.   </w:t>
      </w:r>
    </w:p>
    <w:p>
      <w:pPr>
        <w:pStyle w:val="BodyText"/>
        <w:tabs>
          <w:tab w:val="clear" w:pos="0"/>
          <w:tab w:val="clear" w:pos="3960"/>
        </w:tabs>
        <w:ind w:firstLine="648" w:end="0"/>
        <w:rPr/>
      </w:pPr>
      <w:r>
        <w:rPr/>
        <w:t xml:space="preserve">  </w:t>
      </w:r>
    </w:p>
    <w:p>
      <w:pPr>
        <w:pStyle w:val="BodyText"/>
        <w:tabs>
          <w:tab w:val="clear" w:pos="0"/>
          <w:tab w:val="clear" w:pos="3960"/>
        </w:tabs>
        <w:rPr>
          <w:sz w:val="24"/>
        </w:rPr>
      </w:pPr>
      <w:r>
        <w:rPr>
          <w:b/>
          <w:i/>
          <w:sz w:val="24"/>
          <w:u w:val="single"/>
        </w:rPr>
        <w:t>Weather</w:t>
      </w:r>
    </w:p>
    <w:p>
      <w:pPr>
        <w:pStyle w:val="Normal"/>
        <w:jc w:val="both"/>
        <w:rPr/>
      </w:pPr>
      <w:r>
        <w:rPr>
          <w:sz w:val="24"/>
        </w:rPr>
        <w:tab/>
      </w:r>
      <w:r>
        <w:rPr>
          <w:sz w:val="21"/>
        </w:rPr>
        <w:t xml:space="preserve">The expected high and low for New York City through Sunday are listed below.  </w:t>
      </w:r>
    </w:p>
    <w:p>
      <w:pPr>
        <w:pStyle w:val="Normal"/>
        <w:ind w:hanging="648" w:start="648" w:end="0"/>
        <w:jc w:val="both"/>
        <w:rPr/>
      </w:pPr>
      <w:r>
        <w:rPr>
          <w:i/>
          <w:sz w:val="21"/>
        </w:rPr>
        <w:tab/>
        <w:tab/>
      </w:r>
      <w:r>
        <w:rPr>
          <w:i/>
          <w:sz w:val="21"/>
          <w:u w:val="single"/>
        </w:rPr>
        <w:t>Day</w:t>
        <w:tab/>
        <w:tab/>
        <w:t>Thu</w:t>
        <w:tab/>
        <w:tab/>
        <w:t>Fri</w:t>
        <w:tab/>
        <w:tab/>
        <w:t>Sat</w:t>
        <w:tab/>
        <w:tab/>
        <w:t>Sun</w:t>
        <w:tab/>
      </w:r>
    </w:p>
    <w:p>
      <w:pPr>
        <w:pStyle w:val="Normal"/>
        <w:jc w:val="both"/>
        <w:rPr>
          <w:sz w:val="21"/>
        </w:rPr>
      </w:pPr>
      <w:r>
        <w:rPr>
          <w:sz w:val="21"/>
        </w:rPr>
        <w:tab/>
        <w:tab/>
        <w:t>Hi/Lo</w:t>
        <w:tab/>
        <w:tab/>
        <w:t>38/31º</w:t>
        <w:tab/>
        <w:tab/>
        <w:t>46/33º</w:t>
        <w:tab/>
        <w:tab/>
        <w:t>44/30º</w:t>
        <w:tab/>
        <w:tab/>
        <w:t>39/28º</w:t>
      </w:r>
    </w:p>
    <w:p>
      <w:pPr>
        <w:pStyle w:val="Normal"/>
        <w:jc w:val="both"/>
        <w:rPr/>
      </w:pPr>
      <w:r>
        <w:rPr>
          <w:sz w:val="21"/>
        </w:rPr>
        <w:tab/>
        <w:t>As of February 11</w:t>
      </w:r>
      <w:r>
        <w:rPr>
          <w:sz w:val="21"/>
          <w:vertAlign w:val="superscript"/>
        </w:rPr>
        <w:t>th</w:t>
      </w:r>
      <w:r>
        <w:rPr>
          <w:sz w:val="21"/>
        </w:rPr>
        <w:t>, we have had 2,361 heating degree days since July 1</w:t>
      </w:r>
      <w:r>
        <w:rPr>
          <w:sz w:val="21"/>
          <w:vertAlign w:val="superscript"/>
        </w:rPr>
        <w:t>st</w:t>
      </w:r>
      <w:r>
        <w:rPr>
          <w:sz w:val="21"/>
        </w:rPr>
        <w:t>.  Last year at this point, there were 3,274.  Normal to that date would be 3,121.  Temperatures are running 27.88% warmer than a year ago and 24.35% warmer than normal.  Temperatures will warm slightly as we end this week.</w:t>
      </w:r>
    </w:p>
    <w:p>
      <w:pPr>
        <w:pStyle w:val="Normal"/>
        <w:jc w:val="both"/>
        <w:rPr>
          <w:sz w:val="21"/>
        </w:rPr>
      </w:pPr>
      <w:r>
        <w:rPr>
          <w:sz w:val="21"/>
        </w:rPr>
        <w:t xml:space="preserve">  </w:t>
      </w:r>
    </w:p>
    <w:p>
      <w:pPr>
        <w:pStyle w:val="Normal"/>
        <w:jc w:val="both"/>
        <w:rPr>
          <w:b/>
          <w:i/>
          <w:i/>
          <w:sz w:val="24"/>
          <w:u w:val="single"/>
        </w:rPr>
      </w:pPr>
      <w:r>
        <w:rPr>
          <w:b/>
          <w:i/>
          <w:sz w:val="24"/>
          <w:u w:val="single"/>
        </w:rPr>
        <w:t>Technicals</w:t>
      </w:r>
    </w:p>
    <w:p>
      <w:pPr>
        <w:pStyle w:val="Normal"/>
        <w:jc w:val="both"/>
        <w:rPr>
          <w:sz w:val="21"/>
        </w:rPr>
      </w:pPr>
      <w:r>
        <w:rPr>
          <w:sz w:val="21"/>
        </w:rPr>
        <w:tab/>
        <w:t xml:space="preserve">Yesterday’s trading volume was very heavy, only this time on the upside.  If shorts were inclined to get out, they certainly had the opportunity.  We will know somewhat on Friday.  </w:t>
      </w:r>
    </w:p>
    <w:p>
      <w:pPr>
        <w:pStyle w:val="Normal"/>
        <w:ind w:firstLine="648" w:end="0"/>
        <w:jc w:val="both"/>
        <w:rPr>
          <w:sz w:val="21"/>
        </w:rPr>
      </w:pPr>
      <w:r>
        <w:rPr>
          <w:sz w:val="21"/>
        </w:rPr>
        <w:t xml:space="preserve">There is still a very real possibility that prices will make an attempt on $22, but we have a hard time seeing them wanting to continue higher past that point.  The short-term trend seems higher now, but the longer-term trend is still sideways to lower.  </w:t>
      </w:r>
    </w:p>
    <w:p>
      <w:pPr>
        <w:pStyle w:val="Normal"/>
        <w:ind w:firstLine="648" w:end="0"/>
        <w:jc w:val="both"/>
        <w:rPr>
          <w:sz w:val="21"/>
        </w:rPr>
      </w:pPr>
      <w:r>
        <w:rPr>
          <w:sz w:val="21"/>
        </w:rPr>
        <w:t xml:space="preserve">Buy-stops in March futures are now above $22.00-$22.10.  Sell-stops are likely to be good under $19.95, $19.65, and $19.25.  They will be heavy under $18.49-$18.55 longer-term. </w:t>
      </w:r>
    </w:p>
    <w:p>
      <w:pPr>
        <w:pStyle w:val="Normal"/>
        <w:jc w:val="both"/>
        <w:rPr>
          <w:sz w:val="21"/>
        </w:rPr>
      </w:pPr>
      <w:r>
        <w:rPr>
          <w:sz w:val="21"/>
        </w:rPr>
        <w:t>Football:  The bulls were sacked yesterday for a loss of seven yards.  It is now second and 17.</w:t>
      </w:r>
    </w:p>
    <w:p>
      <w:pPr>
        <w:pStyle w:val="Normal"/>
        <w:ind w:firstLine="648" w:end="0"/>
        <w:jc w:val="both"/>
        <w:rPr>
          <w:sz w:val="21"/>
        </w:rPr>
      </w:pPr>
      <w:r>
        <w:rPr>
          <w:sz w:val="21"/>
        </w:rPr>
        <w:t>There is additional long-term support at $18.35-$18.40, $17.95-$18.15, $17.73, $17.45, $17.15-$17.20, $16.90, $16.70, $16.25, $15.95, $15.27, and $15.06.</w:t>
      </w:r>
    </w:p>
    <w:p>
      <w:pPr>
        <w:pStyle w:val="Normal"/>
        <w:ind w:firstLine="648" w:end="0"/>
        <w:jc w:val="both"/>
        <w:rPr>
          <w:sz w:val="21"/>
        </w:rPr>
      </w:pPr>
      <w:r>
        <w:rPr>
          <w:sz w:val="21"/>
        </w:rPr>
        <w:t xml:space="preserve">  </w:t>
      </w:r>
    </w:p>
    <w:p>
      <w:pPr>
        <w:pStyle w:val="Normal"/>
        <w:pBdr>
          <w:top w:val="single" w:sz="12" w:space="1" w:color="000000" w:shadow="1"/>
          <w:left w:val="single" w:sz="12" w:space="1" w:color="000000" w:shadow="1"/>
          <w:bottom w:val="single" w:sz="12" w:space="1" w:color="000000" w:shadow="1"/>
          <w:right w:val="single" w:sz="12" w:space="1" w:color="000000" w:shadow="1"/>
        </w:pBdr>
        <w:jc w:val="both"/>
        <w:rPr/>
      </w:pPr>
      <w:r>
        <w:rPr>
          <w:smallCaps/>
          <w:sz w:val="21"/>
          <w:u w:val="single"/>
        </w:rPr>
        <w:t>Mar crude oil</w:t>
      </w:r>
      <w:r>
        <w:rPr>
          <w:sz w:val="21"/>
        </w:rPr>
        <w:tab/>
        <w:t>Support:</w:t>
        <w:tab/>
        <w:t>$20.55-$20.60, $20.30-$20.40, $19.95-$20.05, $19.65-$19.70, $19.05-$19.20.</w:t>
      </w:r>
    </w:p>
    <w:p>
      <w:pPr>
        <w:pStyle w:val="Normal"/>
        <w:pBdr>
          <w:top w:val="single" w:sz="12" w:space="1" w:color="000000" w:shadow="1"/>
          <w:left w:val="single" w:sz="12" w:space="1" w:color="000000" w:shadow="1"/>
          <w:bottom w:val="single" w:sz="12" w:space="1" w:color="000000" w:shadow="1"/>
          <w:right w:val="single" w:sz="12" w:space="1" w:color="000000" w:shadow="1"/>
        </w:pBdr>
        <w:jc w:val="both"/>
        <w:rPr>
          <w:sz w:val="21"/>
        </w:rPr>
      </w:pPr>
      <w:r>
        <w:rPr>
          <w:sz w:val="21"/>
        </w:rPr>
        <w:tab/>
        <w:tab/>
        <w:tab/>
        <w:t>Resistance:</w:t>
        <w:tab/>
        <w:t>$21.75-$21.80, $22.05-$22.20, $22.75-$22.85, $23.30-$23.40, $23.65-$23.70.</w:t>
      </w:r>
    </w:p>
    <w:p>
      <w:pPr>
        <w:pStyle w:val="Normal"/>
        <w:pBdr>
          <w:top w:val="single" w:sz="12" w:space="1" w:color="000000" w:shadow="1"/>
          <w:left w:val="single" w:sz="12" w:space="1" w:color="000000" w:shadow="1"/>
          <w:bottom w:val="single" w:sz="12" w:space="1" w:color="000000" w:shadow="1"/>
          <w:right w:val="single" w:sz="12" w:space="1" w:color="000000" w:shadow="1"/>
        </w:pBdr>
        <w:jc w:val="both"/>
        <w:rPr>
          <w:sz w:val="21"/>
        </w:rPr>
      </w:pPr>
      <w:r>
        <w:rPr>
          <w:sz w:val="21"/>
        </w:rPr>
      </w:r>
    </w:p>
    <w:p>
      <w:pPr>
        <w:pStyle w:val="Normal"/>
        <w:pBdr>
          <w:top w:val="single" w:sz="12" w:space="1" w:color="000000" w:shadow="1"/>
          <w:left w:val="single" w:sz="12" w:space="1" w:color="000000" w:shadow="1"/>
          <w:bottom w:val="single" w:sz="12" w:space="1" w:color="000000" w:shadow="1"/>
          <w:right w:val="single" w:sz="12" w:space="1" w:color="000000" w:shadow="1"/>
        </w:pBdr>
        <w:jc w:val="both"/>
        <w:rPr/>
      </w:pPr>
      <w:r>
        <w:rPr>
          <w:smallCaps/>
          <w:sz w:val="21"/>
          <w:u w:val="single"/>
        </w:rPr>
        <w:t>Mar heating oil</w:t>
      </w:r>
      <w:r>
        <w:rPr>
          <w:sz w:val="21"/>
        </w:rPr>
        <w:t xml:space="preserve"> </w:t>
        <w:tab/>
        <w:t>Support:</w:t>
        <w:tab/>
        <w:t>54.35-54.50, 53.50-53.70, 52.60-52.75, 51.90-52.05, 51.00-51.25, 50.40-50.60.</w:t>
      </w:r>
    </w:p>
    <w:p>
      <w:pPr>
        <w:pStyle w:val="Normal"/>
        <w:pBdr>
          <w:top w:val="single" w:sz="12" w:space="1" w:color="000000" w:shadow="1"/>
          <w:left w:val="single" w:sz="12" w:space="1" w:color="000000" w:shadow="1"/>
          <w:bottom w:val="single" w:sz="12" w:space="1" w:color="000000" w:shadow="1"/>
          <w:right w:val="single" w:sz="12" w:space="1" w:color="000000" w:shadow="1"/>
        </w:pBdr>
        <w:ind w:firstLine="648" w:end="0"/>
        <w:jc w:val="both"/>
        <w:rPr>
          <w:sz w:val="21"/>
        </w:rPr>
      </w:pPr>
      <w:r>
        <w:rPr>
          <w:sz w:val="21"/>
        </w:rPr>
        <w:tab/>
        <w:tab/>
        <w:t>Resistance:</w:t>
        <w:tab/>
        <w:t>56.60-56.80, 57.85-58.00, 58.70-58.85, 59.50-59.70, 60.40-60.55, 61.10-61.25.</w:t>
      </w:r>
    </w:p>
    <w:p>
      <w:pPr>
        <w:pStyle w:val="Normal"/>
        <w:pBdr>
          <w:top w:val="single" w:sz="12" w:space="1" w:color="000000" w:shadow="1"/>
          <w:left w:val="single" w:sz="12" w:space="1" w:color="000000" w:shadow="1"/>
          <w:bottom w:val="single" w:sz="12" w:space="1" w:color="000000" w:shadow="1"/>
          <w:right w:val="single" w:sz="12" w:space="1" w:color="000000" w:shadow="1"/>
        </w:pBdr>
        <w:jc w:val="both"/>
        <w:rPr>
          <w:sz w:val="21"/>
        </w:rPr>
      </w:pPr>
      <w:r>
        <w:rPr>
          <w:sz w:val="21"/>
        </w:rPr>
      </w:r>
    </w:p>
    <w:p>
      <w:pPr>
        <w:pStyle w:val="Normal"/>
        <w:pBdr>
          <w:top w:val="single" w:sz="12" w:space="1" w:color="000000" w:shadow="1"/>
          <w:left w:val="single" w:sz="12" w:space="1" w:color="000000" w:shadow="1"/>
          <w:bottom w:val="single" w:sz="12" w:space="1" w:color="000000" w:shadow="1"/>
          <w:right w:val="single" w:sz="12" w:space="1" w:color="000000" w:shadow="1"/>
        </w:pBdr>
        <w:ind w:hanging="1296" w:start="1296" w:end="0"/>
        <w:jc w:val="both"/>
        <w:rPr/>
      </w:pPr>
      <w:r>
        <w:rPr>
          <w:smallCaps/>
          <w:sz w:val="21"/>
          <w:u w:val="single"/>
        </w:rPr>
        <w:t>Mar gasoline</w:t>
      </w:r>
      <w:r>
        <w:rPr>
          <w:sz w:val="21"/>
        </w:rPr>
        <w:tab/>
        <w:t>Support:</w:t>
        <w:tab/>
        <w:t>58.90-59.00, 57.85-58.05, 56.80-56.90, 56.10-56.25, 55.40-55.50, 54.50-54.60.</w:t>
      </w:r>
    </w:p>
    <w:p>
      <w:pPr>
        <w:pStyle w:val="Normal"/>
        <w:pBdr>
          <w:top w:val="single" w:sz="12" w:space="1" w:color="000000" w:shadow="1"/>
          <w:left w:val="single" w:sz="12" w:space="1" w:color="000000" w:shadow="1"/>
          <w:bottom w:val="single" w:sz="12" w:space="1" w:color="000000" w:shadow="1"/>
          <w:right w:val="single" w:sz="12" w:space="1" w:color="000000" w:shadow="1"/>
        </w:pBdr>
        <w:ind w:hanging="1296" w:start="1296" w:end="0"/>
        <w:jc w:val="both"/>
        <w:rPr>
          <w:sz w:val="21"/>
        </w:rPr>
      </w:pPr>
      <w:r>
        <w:rPr>
          <w:sz w:val="21"/>
        </w:rPr>
        <w:tab/>
        <w:tab/>
        <w:t>Resistance:</w:t>
        <w:tab/>
        <w:t>62.25-62.40, 62.90-63.10, 63.70-63.85, 64.40-64.55, 65.20-65.40, 66.00-66.20.</w:t>
      </w:r>
    </w:p>
    <w:p>
      <w:pPr>
        <w:pStyle w:val="Normal"/>
        <w:jc w:val="both"/>
        <w:rPr>
          <w:b/>
          <w:i/>
          <w:i/>
          <w:sz w:val="24"/>
          <w:u w:val="single"/>
        </w:rPr>
      </w:pPr>
      <w:r>
        <w:rPr>
          <w:b/>
          <w:i/>
          <w:sz w:val="24"/>
          <w:u w:val="single"/>
        </w:rPr>
      </w:r>
    </w:p>
    <w:p>
      <w:pPr>
        <w:pStyle w:val="Heading5"/>
        <w:ind w:hanging="0" w:start="0"/>
        <w:rPr>
          <w:bCs/>
        </w:rPr>
      </w:pPr>
      <w:r>
        <w:rPr/>
        <w:t>Inventory Reports</w:t>
      </w:r>
    </w:p>
    <w:p>
      <w:pPr>
        <w:pStyle w:val="Normal"/>
        <w:ind w:firstLine="720" w:end="0"/>
        <w:rPr>
          <w:sz w:val="22"/>
        </w:rPr>
      </w:pPr>
      <w:r>
        <w:rPr>
          <w:sz w:val="22"/>
        </w:rPr>
        <w:t xml:space="preserve">This week’s DOE figures were less bearish that the API numbers, but they were hardly bullish.  They showed smaller builds across the board, a lighter increased in utilization and a smaller jump in imports.  They did agree, though, on direction.  </w:t>
      </w:r>
    </w:p>
    <w:p>
      <w:pPr>
        <w:pStyle w:val="BodyTextIndent2"/>
        <w:rPr/>
      </w:pPr>
      <w:r>
        <w:rPr/>
        <w:t xml:space="preserve">API distillate stocks are now 27.080 mln bbls higher than a year ago.  DOE distillate stocks are now 19.5 mln bbls higher than a year ago.  API gasoline stocks are 13.996 mln bbls higher than a year ago.  DOE gasoline stocks are now 11.8 mln bbls higher.  API crude oil stocks are now 29.929 mln bbls higher.  DOE crude oil stocks are now 31.0 mln higher.  API gasoline demand was 8.184 mln bpd, while API distillate demand was 3.833 mln bpd.  Both are on the light side.  The DOE had gasoline consumption at 8.117 mln bpd and had distillate use at 3.633 mln bpd.  API crude oil imports jumped 1.970 mln bpd to 9.537 mln bpd.  DOE crude oil imports increased 541,000 bpd to 9.136 mln bpd. </w:t>
      </w:r>
    </w:p>
    <w:p>
      <w:pPr>
        <w:pStyle w:val="Normal"/>
        <w:ind w:firstLine="720" w:end="0"/>
        <w:rPr>
          <w:b/>
          <w:i/>
          <w:i/>
          <w:sz w:val="18"/>
        </w:rPr>
      </w:pPr>
      <w:r>
        <w:rPr>
          <w:b/>
          <w:i/>
          <w:sz w:val="18"/>
        </w:rPr>
        <w:tab/>
        <w:tab/>
        <w:tab/>
        <w:tab/>
        <w:tab/>
        <w:t>This Week’s Reports</w:t>
      </w:r>
    </w:p>
    <w:p>
      <w:pPr>
        <w:pStyle w:val="Normal"/>
        <w:pBdr>
          <w:top w:val="double" w:sz="6" w:space="1" w:color="000000"/>
          <w:left w:val="double" w:sz="6" w:space="1" w:color="000000"/>
          <w:bottom w:val="double" w:sz="6" w:space="1" w:color="000000"/>
          <w:right w:val="double" w:sz="6" w:space="1" w:color="000000"/>
        </w:pBdr>
        <w:tabs>
          <w:tab w:val="clear" w:pos="648"/>
          <w:tab w:val="left" w:pos="180" w:leader="none"/>
          <w:tab w:val="left" w:pos="630" w:leader="none"/>
        </w:tabs>
        <w:jc w:val="both"/>
        <w:rPr>
          <w:sz w:val="18"/>
          <w:u w:val="single"/>
        </w:rPr>
      </w:pPr>
      <w:r>
        <w:rPr>
          <w:sz w:val="18"/>
          <w:u w:val="single"/>
        </w:rPr>
        <w:t>Category</w:t>
        <w:tab/>
        <w:t>This Wk’s API Estimate</w:t>
        <w:tab/>
        <w:t>This Week’s DOE Report</w:t>
        <w:tab/>
        <w:t>This Week’s API Report</w:t>
        <w:tab/>
      </w:r>
    </w:p>
    <w:p>
      <w:pPr>
        <w:pStyle w:val="Normal"/>
        <w:pBdr>
          <w:top w:val="double" w:sz="6" w:space="1" w:color="000000"/>
          <w:left w:val="double" w:sz="6" w:space="1" w:color="000000"/>
          <w:bottom w:val="double" w:sz="6" w:space="1" w:color="000000"/>
          <w:right w:val="double" w:sz="6" w:space="1" w:color="000000"/>
        </w:pBdr>
        <w:tabs>
          <w:tab w:val="clear" w:pos="648"/>
          <w:tab w:val="left" w:pos="180" w:leader="none"/>
          <w:tab w:val="left" w:pos="630" w:leader="none"/>
        </w:tabs>
        <w:jc w:val="both"/>
        <w:rPr>
          <w:sz w:val="18"/>
        </w:rPr>
      </w:pPr>
      <w:r>
        <w:rPr>
          <w:sz w:val="18"/>
        </w:rPr>
        <w:t>Distillate</w:t>
        <w:tab/>
        <w:t>dn 1.2 to 1.7 mln bbls</w:t>
        <w:tab/>
        <w:t>up 0.200 mln bbls</w:t>
        <w:tab/>
        <w:t>up 0.604 mln bbls</w:t>
      </w:r>
    </w:p>
    <w:p>
      <w:pPr>
        <w:pStyle w:val="Normal"/>
        <w:pBdr>
          <w:top w:val="double" w:sz="6" w:space="1" w:color="000000"/>
          <w:left w:val="double" w:sz="6" w:space="1" w:color="000000"/>
          <w:bottom w:val="double" w:sz="6" w:space="1" w:color="000000"/>
          <w:right w:val="double" w:sz="6" w:space="1" w:color="000000"/>
        </w:pBdr>
        <w:tabs>
          <w:tab w:val="clear" w:pos="648"/>
          <w:tab w:val="left" w:pos="180" w:leader="none"/>
          <w:tab w:val="left" w:pos="630" w:leader="none"/>
        </w:tabs>
        <w:jc w:val="both"/>
        <w:rPr>
          <w:sz w:val="18"/>
        </w:rPr>
      </w:pPr>
      <w:r>
        <w:rPr>
          <w:sz w:val="18"/>
        </w:rPr>
        <w:t>Gasoline              up 0.5 to 1.0</w:t>
        <w:tab/>
        <w:tab/>
        <w:t>up 1.000</w:t>
        <w:tab/>
        <w:tab/>
        <w:t xml:space="preserve">               up 1.662</w:t>
      </w:r>
    </w:p>
    <w:p>
      <w:pPr>
        <w:pStyle w:val="Normal"/>
        <w:pBdr>
          <w:top w:val="double" w:sz="6" w:space="1" w:color="000000"/>
          <w:left w:val="double" w:sz="6" w:space="1" w:color="000000"/>
          <w:bottom w:val="double" w:sz="6" w:space="1" w:color="000000"/>
          <w:right w:val="double" w:sz="6" w:space="1" w:color="000000"/>
        </w:pBdr>
        <w:tabs>
          <w:tab w:val="clear" w:pos="648"/>
          <w:tab w:val="left" w:pos="180" w:leader="none"/>
          <w:tab w:val="left" w:pos="630" w:leader="none"/>
        </w:tabs>
        <w:jc w:val="both"/>
        <w:rPr>
          <w:sz w:val="18"/>
        </w:rPr>
      </w:pPr>
      <w:r>
        <w:rPr>
          <w:sz w:val="18"/>
        </w:rPr>
        <w:t>Crude oil</w:t>
        <w:tab/>
        <w:t>up 1.2 to 2.2</w:t>
        <w:tab/>
        <w:tab/>
        <w:t>up 2.500</w:t>
        <w:tab/>
        <w:tab/>
        <w:t xml:space="preserve">               up 4.684</w:t>
      </w:r>
    </w:p>
    <w:p>
      <w:pPr>
        <w:pStyle w:val="Normal"/>
        <w:pBdr>
          <w:top w:val="double" w:sz="6" w:space="1" w:color="000000"/>
          <w:left w:val="double" w:sz="6" w:space="1" w:color="000000"/>
          <w:bottom w:val="double" w:sz="6" w:space="1" w:color="000000"/>
          <w:right w:val="double" w:sz="6" w:space="1" w:color="000000"/>
        </w:pBdr>
        <w:tabs>
          <w:tab w:val="clear" w:pos="648"/>
          <w:tab w:val="left" w:pos="180" w:leader="none"/>
          <w:tab w:val="left" w:pos="630" w:leader="none"/>
        </w:tabs>
        <w:jc w:val="both"/>
        <w:rPr>
          <w:b/>
          <w:i/>
          <w:i/>
          <w:sz w:val="18"/>
        </w:rPr>
      </w:pPr>
      <w:r>
        <w:rPr>
          <w:sz w:val="18"/>
        </w:rPr>
        <w:t>Utilization</w:t>
        <w:tab/>
        <w:t>dn 0.3% to 0.6%</w:t>
        <w:tab/>
        <w:tab/>
        <w:t>up 0.9% to 87.8%</w:t>
        <w:tab/>
        <w:t>up 1.4% to 87.8%</w:t>
      </w:r>
    </w:p>
    <w:p>
      <w:pPr>
        <w:pStyle w:val="Normal"/>
        <w:jc w:val="both"/>
        <w:rPr>
          <w:b/>
          <w:i/>
          <w:i/>
          <w:sz w:val="24"/>
          <w:u w:val="single"/>
        </w:rPr>
      </w:pPr>
      <w:r>
        <w:rPr>
          <w:b/>
          <w:i/>
          <w:sz w:val="24"/>
          <w:u w:val="single"/>
        </w:rPr>
      </w:r>
    </w:p>
    <w:p>
      <w:pPr>
        <w:pStyle w:val="Normal"/>
        <w:jc w:val="both"/>
        <w:rPr>
          <w:i/>
          <w:i/>
          <w:sz w:val="18"/>
        </w:rPr>
      </w:pPr>
      <w:r>
        <w:rPr>
          <w:b/>
          <w:i/>
          <w:sz w:val="24"/>
          <w:u w:val="single"/>
        </w:rPr>
        <w:t>Open Interest Analysis</w:t>
      </w:r>
    </w:p>
    <w:p>
      <w:pPr>
        <w:pStyle w:val="Normal"/>
        <w:jc w:val="both"/>
        <w:rPr>
          <w:sz w:val="21"/>
        </w:rPr>
      </w:pPr>
      <w:r>
        <w:rPr>
          <w:sz w:val="21"/>
        </w:rPr>
        <w:tab/>
        <w:t>Crude oil open interest grew by 19,502 contracts on Tuesday, when prices sold off sharply.  That looks like heavy selling only eight trading days before March expiration.  That seems very bearish.</w:t>
      </w:r>
    </w:p>
    <w:p>
      <w:pPr>
        <w:pStyle w:val="Normal"/>
        <w:jc w:val="both"/>
        <w:rPr>
          <w:sz w:val="21"/>
        </w:rPr>
      </w:pPr>
      <w:r>
        <w:rPr>
          <w:sz w:val="21"/>
        </w:rPr>
        <w:tab/>
        <w:t>Heating oil open interest rose by 4,293 contracts on Tuesday, when prices dropped steeply.  That also looks like new selling, which would be bearish.</w:t>
      </w:r>
    </w:p>
    <w:p>
      <w:pPr>
        <w:pStyle w:val="Normal"/>
        <w:jc w:val="both"/>
        <w:rPr>
          <w:sz w:val="21"/>
        </w:rPr>
      </w:pPr>
      <w:r>
        <w:rPr>
          <w:sz w:val="21"/>
        </w:rPr>
        <w:tab/>
        <w:t xml:space="preserve">Gasoline open interest grew by 3,417 contracts on Tuesday, when prices declined.  That also looks like new selling, which would be bearish.  </w:t>
      </w:r>
    </w:p>
    <w:p>
      <w:pPr>
        <w:pStyle w:val="Normal"/>
        <w:jc w:val="both"/>
        <w:rPr>
          <w:sz w:val="21"/>
        </w:rPr>
      </w:pPr>
      <w:r>
        <w:rPr>
          <w:sz w:val="21"/>
        </w:rPr>
        <w:tab/>
        <w:t>Natural gas open interest rose by 14,040 contracts on Tuesday, when prices were higher.  That looks like good, new buying, which would be bullish.  It is also a return to the increasing open interest we had going here for a while.</w:t>
      </w:r>
    </w:p>
    <w:p>
      <w:pPr>
        <w:pStyle w:val="Normal"/>
        <w:jc w:val="both"/>
        <w:rPr>
          <w:b/>
          <w:i/>
          <w:i/>
          <w:sz w:val="21"/>
        </w:rPr>
      </w:pPr>
      <w:r>
        <w:rPr>
          <w:b/>
          <w:i/>
          <w:sz w:val="21"/>
        </w:rPr>
      </w:r>
    </w:p>
    <w:p>
      <w:pPr>
        <w:pStyle w:val="Normal"/>
        <w:jc w:val="both"/>
        <w:rPr>
          <w:sz w:val="21"/>
        </w:rPr>
      </w:pPr>
      <w:r>
        <w:rPr>
          <w:b/>
          <w:i/>
          <w:sz w:val="21"/>
        </w:rPr>
        <w:t>Tuesday’s open interest changes</w:t>
      </w:r>
      <w:r>
        <w:rPr>
          <w:i/>
          <w:sz w:val="21"/>
        </w:rPr>
        <w:t>:</w:t>
      </w:r>
    </w:p>
    <w:p>
      <w:pPr>
        <w:pStyle w:val="Heading1"/>
        <w:ind w:hanging="0" w:start="0"/>
        <w:rPr>
          <w:i w:val="false"/>
          <w:i w:val="false"/>
          <w:iCs/>
          <w:u w:val="none"/>
        </w:rPr>
      </w:pPr>
      <w:r>
        <w:rPr/>
        <w:t>Crude  474,102   up 19,502   Heat   178,410   up 4,293    Gasoline  143,660   up 3,417    Nat gas  514,514  up 14,040</w:t>
      </w:r>
    </w:p>
    <w:p>
      <w:pPr>
        <w:pStyle w:val="Normal"/>
        <w:rPr>
          <w:i/>
          <w:i/>
          <w:iCs/>
          <w:u w:val="none"/>
        </w:rPr>
      </w:pPr>
      <w:r>
        <w:rPr>
          <w:i/>
          <w:iCs/>
          <w:u w:val="none"/>
        </w:rPr>
      </w:r>
    </w:p>
    <w:p>
      <w:pPr>
        <w:pStyle w:val="Normal"/>
        <w:jc w:val="both"/>
        <w:rPr>
          <w:iCs/>
          <w:sz w:val="18"/>
        </w:rPr>
      </w:pPr>
      <w:r>
        <w:rPr>
          <w:b/>
          <w:i/>
          <w:sz w:val="22"/>
          <w:u w:val="single"/>
        </w:rPr>
        <w:t>Commitments of Traders</w:t>
      </w:r>
      <w:r>
        <w:rPr>
          <w:b/>
          <w:i/>
          <w:sz w:val="21"/>
          <w:u w:val="single"/>
        </w:rPr>
        <w:tab/>
      </w:r>
      <w:r>
        <w:rPr>
          <w:i/>
          <w:sz w:val="18"/>
          <w:u w:val="single"/>
        </w:rPr>
        <w:t>( for the period ended Tuesday, February 5th)</w:t>
      </w:r>
    </w:p>
    <w:p>
      <w:pPr>
        <w:pStyle w:val="Normal"/>
        <w:jc w:val="both"/>
        <w:rPr>
          <w:sz w:val="21"/>
        </w:rPr>
      </w:pPr>
      <w:r>
        <w:rPr>
          <w:i/>
          <w:sz w:val="21"/>
          <w:u w:val="single"/>
        </w:rPr>
        <w:t>As of Feb 5</w:t>
      </w:r>
      <w:r>
        <w:rPr>
          <w:i/>
          <w:sz w:val="21"/>
          <w:u w:val="single"/>
          <w:vertAlign w:val="superscript"/>
        </w:rPr>
        <w:t>th</w:t>
      </w:r>
      <w:r>
        <w:rPr>
          <w:i/>
          <w:sz w:val="21"/>
          <w:u w:val="single"/>
        </w:rPr>
        <w:t>:</w:t>
      </w:r>
      <w:r>
        <w:rPr>
          <w:i/>
          <w:sz w:val="21"/>
        </w:rPr>
        <w:tab/>
        <w:tab/>
      </w:r>
      <w:r>
        <w:rPr>
          <w:b/>
          <w:i/>
          <w:sz w:val="21"/>
        </w:rPr>
        <w:t>Long</w:t>
        <w:tab/>
        <w:tab/>
        <w:t>Short</w:t>
      </w:r>
      <w:r>
        <w:rPr>
          <w:i/>
          <w:sz w:val="21"/>
        </w:rPr>
        <w:t>:</w:t>
      </w:r>
    </w:p>
    <w:p>
      <w:pPr>
        <w:pStyle w:val="Normal"/>
        <w:tabs>
          <w:tab w:val="clear" w:pos="648"/>
          <w:tab w:val="right" w:pos="2610" w:leader="none"/>
          <w:tab w:val="right" w:pos="3960" w:leader="none"/>
        </w:tabs>
        <w:jc w:val="both"/>
        <w:rPr>
          <w:sz w:val="21"/>
        </w:rPr>
      </w:pPr>
      <w:r>
        <w:rPr>
          <w:rFonts w:cs="Arial" w:ascii="Arial" w:hAnsi="Arial"/>
          <w:b/>
          <w:smallCaps/>
          <w:sz w:val="21"/>
        </w:rPr>
        <w:t>Crude oil</w:t>
      </w:r>
      <w:r>
        <w:rPr>
          <w:sz w:val="21"/>
        </w:rPr>
        <w:t xml:space="preserve"> </w:t>
        <w:tab/>
        <w:t xml:space="preserve">  17,001</w:t>
        <w:tab/>
        <w:t>59,009</w:t>
        <w:tab/>
        <w:tab/>
        <w:t>-contracts held by speculators:</w:t>
      </w:r>
      <w:r>
        <w:rPr>
          <w:sz w:val="21"/>
          <w:u w:val="single"/>
        </w:rPr>
        <w:t xml:space="preserve">  3.47 to 1</w:t>
      </w:r>
      <w:r>
        <w:rPr>
          <w:sz w:val="21"/>
        </w:rPr>
        <w:t xml:space="preserve"> </w:t>
      </w:r>
      <w:r>
        <w:rPr>
          <w:i/>
          <w:iCs/>
          <w:sz w:val="21"/>
        </w:rPr>
        <w:t>short</w:t>
      </w:r>
    </w:p>
    <w:p>
      <w:pPr>
        <w:pStyle w:val="Normal"/>
        <w:tabs>
          <w:tab w:val="clear" w:pos="648"/>
          <w:tab w:val="right" w:pos="2610" w:leader="none"/>
          <w:tab w:val="right" w:pos="3960" w:leader="none"/>
        </w:tabs>
        <w:jc w:val="both"/>
        <w:rPr>
          <w:sz w:val="21"/>
        </w:rPr>
      </w:pPr>
      <w:r>
        <w:rPr>
          <w:sz w:val="21"/>
        </w:rPr>
        <w:tab/>
        <w:t>343,935</w:t>
        <w:tab/>
        <w:t>293,989</w:t>
        <w:tab/>
        <w:tab/>
        <w:tab/>
        <w:t xml:space="preserve">    held by the trade</w:t>
      </w:r>
    </w:p>
    <w:p>
      <w:pPr>
        <w:pStyle w:val="BodyText"/>
        <w:tabs>
          <w:tab w:val="clear" w:pos="0"/>
          <w:tab w:val="right" w:pos="2610" w:leader="none"/>
          <w:tab w:val="right" w:pos="3960" w:leader="none"/>
        </w:tabs>
        <w:rPr/>
      </w:pPr>
      <w:r>
        <w:rPr/>
        <w:tab/>
        <w:t xml:space="preserve">  38,780</w:t>
        <w:tab/>
        <w:t>46,718</w:t>
        <w:tab/>
        <w:tab/>
        <w:tab/>
        <w:t xml:space="preserve">    held by small specs and hedgers.</w:t>
      </w:r>
    </w:p>
    <w:p>
      <w:pPr>
        <w:pStyle w:val="BodyText"/>
        <w:tabs>
          <w:tab w:val="clear" w:pos="0"/>
          <w:tab w:val="right" w:pos="2610" w:leader="none"/>
          <w:tab w:val="right" w:pos="3960" w:leader="none"/>
        </w:tabs>
        <w:rPr/>
      </w:pPr>
      <w:r>
        <w:rPr/>
        <w:t xml:space="preserve">   </w:t>
      </w:r>
      <w:r>
        <w:rPr/>
        <w:t xml:space="preserve">The average large long speculative holding went from 756 long to 708.  The average short went from 1208 to 1229.  Speculative longs dropped in average size while spec shorts increased their average position sizes.  The average commercial holding is 4,409 long, (down 190), against 3,721 short (down 347).  Commercial accounts are long and increasing the average long holding.  The average reportable position is 3,166 long (dn 208) and 2,825 short (down 68 lots).  Longs are still holding larger average positions.  The trade seems to have stopped buying and is selling into strength here now.   </w:t>
      </w:r>
    </w:p>
    <w:p>
      <w:pPr>
        <w:pStyle w:val="BodyText"/>
        <w:tabs>
          <w:tab w:val="clear" w:pos="0"/>
          <w:tab w:val="right" w:pos="2610" w:leader="none"/>
          <w:tab w:val="right" w:pos="3960" w:leader="none"/>
        </w:tabs>
        <w:rPr>
          <w:u w:val="single"/>
        </w:rPr>
      </w:pPr>
      <w:r>
        <w:rPr>
          <w:rFonts w:cs="Arial" w:ascii="Arial" w:hAnsi="Arial"/>
          <w:b/>
          <w:smallCaps/>
        </w:rPr>
        <w:t>Heating oil</w:t>
      </w:r>
      <w:r>
        <w:rPr/>
        <w:tab/>
        <w:t>2,765</w:t>
        <w:tab/>
        <w:t>17,801</w:t>
        <w:tab/>
        <w:tab/>
        <w:t>- contracts held by speculators:</w:t>
      </w:r>
      <w:r>
        <w:rPr>
          <w:u w:val="single"/>
        </w:rPr>
        <w:t xml:space="preserve">  6.44 to 1</w:t>
      </w:r>
      <w:r>
        <w:rPr/>
        <w:t xml:space="preserve"> </w:t>
      </w:r>
      <w:r>
        <w:rPr>
          <w:i/>
          <w:iCs/>
        </w:rPr>
        <w:t>short</w:t>
      </w:r>
    </w:p>
    <w:p>
      <w:pPr>
        <w:pStyle w:val="BodyText"/>
        <w:tabs>
          <w:tab w:val="clear" w:pos="0"/>
          <w:tab w:val="right" w:pos="2610" w:leader="none"/>
          <w:tab w:val="right" w:pos="3960" w:leader="none"/>
        </w:tabs>
        <w:rPr/>
      </w:pPr>
      <w:r>
        <w:rPr/>
        <w:tab/>
        <w:t>127,118</w:t>
        <w:tab/>
        <w:t>118,118</w:t>
        <w:tab/>
        <w:tab/>
        <w:tab/>
        <w:t xml:space="preserve">    held by the trade.</w:t>
      </w:r>
    </w:p>
    <w:p>
      <w:pPr>
        <w:pStyle w:val="BodyText"/>
        <w:tabs>
          <w:tab w:val="clear" w:pos="0"/>
          <w:tab w:val="right" w:pos="2610" w:leader="none"/>
          <w:tab w:val="right" w:pos="3960" w:leader="none"/>
        </w:tabs>
        <w:rPr/>
      </w:pPr>
      <w:r>
        <w:rPr/>
        <w:tab/>
        <w:t>30,362</w:t>
        <w:tab/>
        <w:t>23,980</w:t>
        <w:tab/>
        <w:tab/>
        <w:tab/>
        <w:t xml:space="preserve">    held by small specs and hedgers.</w:t>
      </w:r>
    </w:p>
    <w:p>
      <w:pPr>
        <w:pStyle w:val="BodyText"/>
        <w:tabs>
          <w:tab w:val="clear" w:pos="0"/>
          <w:tab w:val="right" w:pos="2610" w:leader="none"/>
          <w:tab w:val="right" w:pos="3960" w:leader="none"/>
        </w:tabs>
        <w:rPr/>
      </w:pPr>
      <w:r>
        <w:rPr/>
        <w:t xml:space="preserve">   </w:t>
      </w:r>
      <w:r>
        <w:rPr/>
        <w:t xml:space="preserve">The average long speculative holding is 553 lots (up 75), while the average short holding is now 636 (up 11) contracts.  The average commercial long is holding 1,986 contracts (down 136 contracts) compared to the average short holding of 1,942 contracts (down 61).  The average reportable position is 1,675 long (dn 98) while the average short holding is 1,564 contracts (dn 19).  The longs seem to have the deeper pockets right now.  That could give us more of a rally.  </w:t>
      </w:r>
    </w:p>
    <w:p>
      <w:pPr>
        <w:pStyle w:val="BodyText"/>
        <w:tabs>
          <w:tab w:val="clear" w:pos="0"/>
          <w:tab w:val="right" w:pos="2610" w:leader="none"/>
          <w:tab w:val="right" w:pos="3960" w:leader="none"/>
        </w:tabs>
        <w:rPr/>
      </w:pPr>
      <w:r>
        <w:rPr>
          <w:rFonts w:cs="Arial" w:ascii="Arial" w:hAnsi="Arial"/>
          <w:b/>
          <w:smallCaps/>
        </w:rPr>
        <w:t>Gasoline</w:t>
      </w:r>
      <w:r>
        <w:rPr/>
        <w:tab/>
        <w:t>4,898</w:t>
        <w:tab/>
        <w:t>10,045</w:t>
        <w:tab/>
        <w:tab/>
        <w:t>-contracts held by speculators:</w:t>
      </w:r>
      <w:r>
        <w:rPr>
          <w:u w:val="single"/>
        </w:rPr>
        <w:t xml:space="preserve">  2.05 to 1</w:t>
      </w:r>
      <w:r>
        <w:rPr/>
        <w:t xml:space="preserve"> </w:t>
      </w:r>
      <w:r>
        <w:rPr>
          <w:i/>
          <w:iCs/>
        </w:rPr>
        <w:t>short</w:t>
      </w:r>
    </w:p>
    <w:p>
      <w:pPr>
        <w:pStyle w:val="Normal"/>
        <w:tabs>
          <w:tab w:val="clear" w:pos="648"/>
          <w:tab w:val="right" w:pos="2610" w:leader="none"/>
          <w:tab w:val="right" w:pos="3960" w:leader="none"/>
        </w:tabs>
        <w:jc w:val="both"/>
        <w:rPr>
          <w:sz w:val="21"/>
        </w:rPr>
      </w:pPr>
      <w:r>
        <w:rPr>
          <w:sz w:val="21"/>
        </w:rPr>
        <w:tab/>
        <w:t>118,454</w:t>
        <w:tab/>
        <w:t>110,199</w:t>
        <w:tab/>
        <w:tab/>
        <w:t xml:space="preserve">    held by the trade.</w:t>
      </w:r>
    </w:p>
    <w:p>
      <w:pPr>
        <w:pStyle w:val="BodyText"/>
        <w:tabs>
          <w:tab w:val="clear" w:pos="0"/>
          <w:tab w:val="right" w:pos="2610" w:leader="none"/>
          <w:tab w:val="right" w:pos="3960" w:leader="none"/>
        </w:tabs>
        <w:rPr/>
      </w:pPr>
      <w:r>
        <w:rPr/>
        <w:tab/>
        <w:t>8,005</w:t>
        <w:tab/>
        <w:t>11,113</w:t>
        <w:tab/>
        <w:tab/>
        <w:tab/>
        <w:t xml:space="preserve">    held by small specs and hedgers.</w:t>
      </w:r>
    </w:p>
    <w:p>
      <w:pPr>
        <w:pStyle w:val="BodyText"/>
        <w:tabs>
          <w:tab w:val="clear" w:pos="0"/>
          <w:tab w:val="right" w:pos="2610" w:leader="none"/>
          <w:tab w:val="right" w:pos="3960" w:leader="none"/>
        </w:tabs>
        <w:rPr/>
      </w:pPr>
      <w:r>
        <w:rPr/>
        <w:tab/>
        <w:t xml:space="preserve">   The average holdings are 258 contracts for each large speculative long (dn 133) and 558 for each large speculative short (up 72).  The average commercial long position is now 1,601 contracts (up 34) against 1,312 short (dn 64).  The average reportable holding is 1,275 long (up 24) against 1,106 short (up 15).  The longs still seem to have the deeper pockets, but this report did not change all that much.</w:t>
      </w:r>
    </w:p>
    <w:p>
      <w:pPr>
        <w:pStyle w:val="BodyText"/>
        <w:tabs>
          <w:tab w:val="clear" w:pos="0"/>
          <w:tab w:val="right" w:pos="2610" w:leader="none"/>
          <w:tab w:val="right" w:pos="3960" w:leader="none"/>
        </w:tabs>
        <w:rPr>
          <w:rFonts w:ascii="Arial" w:hAnsi="Arial" w:cs="Arial"/>
          <w:b/>
          <w:smallCaps/>
        </w:rPr>
      </w:pPr>
      <w:r>
        <w:rPr/>
        <w:t xml:space="preserve">    </w:t>
      </w:r>
    </w:p>
    <w:p>
      <w:pPr>
        <w:pStyle w:val="Normal"/>
        <w:tabs>
          <w:tab w:val="clear" w:pos="648"/>
          <w:tab w:val="right" w:pos="2610" w:leader="none"/>
          <w:tab w:val="right" w:pos="3960" w:leader="none"/>
        </w:tabs>
        <w:jc w:val="both"/>
        <w:rPr>
          <w:sz w:val="21"/>
        </w:rPr>
      </w:pPr>
      <w:r>
        <w:rPr>
          <w:rFonts w:cs="Arial" w:ascii="Arial" w:hAnsi="Arial"/>
          <w:b/>
          <w:smallCaps/>
          <w:sz w:val="21"/>
        </w:rPr>
        <w:t>Natural gas</w:t>
      </w:r>
      <w:r>
        <w:rPr>
          <w:sz w:val="21"/>
        </w:rPr>
        <w:tab/>
        <w:t>10,751</w:t>
        <w:tab/>
        <w:t>64,056</w:t>
        <w:tab/>
        <w:tab/>
        <w:t>-contracts held by speculators:</w:t>
      </w:r>
      <w:r>
        <w:rPr>
          <w:sz w:val="21"/>
          <w:u w:val="single"/>
        </w:rPr>
        <w:tab/>
        <w:t xml:space="preserve"> 5.96 to 1</w:t>
      </w:r>
      <w:r>
        <w:rPr>
          <w:sz w:val="21"/>
        </w:rPr>
        <w:t xml:space="preserve"> </w:t>
      </w:r>
      <w:r>
        <w:rPr>
          <w:i/>
          <w:iCs/>
          <w:sz w:val="21"/>
        </w:rPr>
        <w:t>short</w:t>
      </w:r>
    </w:p>
    <w:p>
      <w:pPr>
        <w:pStyle w:val="Normal"/>
        <w:tabs>
          <w:tab w:val="clear" w:pos="648"/>
          <w:tab w:val="right" w:pos="2610" w:leader="none"/>
          <w:tab w:val="right" w:pos="3960" w:leader="none"/>
        </w:tabs>
        <w:jc w:val="both"/>
        <w:rPr>
          <w:sz w:val="21"/>
        </w:rPr>
      </w:pPr>
      <w:r>
        <w:rPr>
          <w:sz w:val="21"/>
        </w:rPr>
        <w:tab/>
        <w:t>389,140</w:t>
        <w:tab/>
        <w:t>340,007</w:t>
        <w:tab/>
        <w:tab/>
        <w:tab/>
        <w:t xml:space="preserve">    held by the trade.</w:t>
      </w:r>
    </w:p>
    <w:p>
      <w:pPr>
        <w:pStyle w:val="Normal"/>
        <w:tabs>
          <w:tab w:val="clear" w:pos="648"/>
          <w:tab w:val="right" w:pos="2610" w:leader="none"/>
          <w:tab w:val="right" w:pos="3960" w:leader="none"/>
        </w:tabs>
        <w:jc w:val="both"/>
        <w:rPr>
          <w:sz w:val="21"/>
        </w:rPr>
      </w:pPr>
      <w:r>
        <w:rPr>
          <w:sz w:val="21"/>
        </w:rPr>
        <w:tab/>
        <w:t xml:space="preserve">  33,909</w:t>
        <w:tab/>
        <w:t>29,737</w:t>
        <w:tab/>
        <w:tab/>
        <w:tab/>
        <w:t xml:space="preserve">    held by small specs and hedgers.</w:t>
      </w:r>
    </w:p>
    <w:p>
      <w:pPr>
        <w:pStyle w:val="Normal"/>
        <w:tabs>
          <w:tab w:val="clear" w:pos="648"/>
          <w:tab w:val="right" w:pos="2610" w:leader="none"/>
          <w:tab w:val="right" w:pos="3960" w:leader="none"/>
        </w:tabs>
        <w:jc w:val="both"/>
        <w:rPr>
          <w:sz w:val="21"/>
        </w:rPr>
      </w:pPr>
      <w:r>
        <w:rPr>
          <w:sz w:val="21"/>
        </w:rPr>
        <w:t xml:space="preserve">   </w:t>
      </w:r>
      <w:r>
        <w:rPr>
          <w:sz w:val="21"/>
        </w:rPr>
        <w:tab/>
        <w:t>The average large speculative long has 566 lots (up 35 lots) while the average large speculative short is holding 890 (dn 103).  The average commercial long has 3,891 contracts (up 120), compared to the average short commercial holding of 4,048 contracts (up 80).  Among reportable positions, the average long is holding 2,730 contracts (up 66 lots), while the average short has 2,581 lots (dn 31).  The longs seem to be making headway in this market, in terms of strength and potential.</w:t>
      </w:r>
    </w:p>
    <w:p>
      <w:pPr>
        <w:pStyle w:val="Normal"/>
        <w:tabs>
          <w:tab w:val="clear" w:pos="648"/>
          <w:tab w:val="right" w:pos="2610" w:leader="none"/>
          <w:tab w:val="right" w:pos="3960" w:leader="none"/>
        </w:tabs>
        <w:jc w:val="both"/>
        <w:rPr>
          <w:sz w:val="21"/>
        </w:rPr>
      </w:pPr>
      <w:r>
        <w:rPr>
          <w:sz w:val="21"/>
        </w:rPr>
      </w:r>
    </w:p>
    <w:p>
      <w:pPr>
        <w:pStyle w:val="Normal"/>
        <w:jc w:val="both"/>
        <w:rPr>
          <w:b/>
          <w:sz w:val="21"/>
          <w:u w:val="single"/>
        </w:rPr>
      </w:pPr>
      <w:r>
        <w:rPr>
          <w:b/>
          <w:i/>
          <w:sz w:val="24"/>
          <w:u w:val="single"/>
        </w:rPr>
        <w:t>Natural Gas</w:t>
        <w:tab/>
        <w:t>&amp; Utility Generation</w:t>
        <w:tab/>
      </w:r>
    </w:p>
    <w:p>
      <w:pPr>
        <w:pStyle w:val="BodyTextIndent"/>
        <w:rPr/>
      </w:pPr>
      <w:r>
        <w:rPr/>
        <w:t xml:space="preserve">March natural gas futures dropped six cents yesterday after traders reconsidered what many considered to be a mildly bullish report.  Prices advanced in the immediate aftermath of the report, but dropped before the close in what some traders saw as an important reversal in the market.  Prices had trouble as soon as they broke above the $2.40 level.  Once prices were there, traders started to think again of the year-to-year surplus in storage.    </w:t>
      </w:r>
      <w:r>
        <mc:AlternateContent>
          <mc:Choice Requires="wps">
            <w:drawing>
              <wp:anchor behindDoc="0" distT="0" distB="0" distL="114300" distR="114300" simplePos="0" locked="0" layoutInCell="0" allowOverlap="1" relativeHeight="3">
                <wp:simplePos x="0" y="0"/>
                <wp:positionH relativeFrom="page">
                  <wp:posOffset>637540</wp:posOffset>
                </wp:positionH>
                <wp:positionV relativeFrom="paragraph">
                  <wp:posOffset>192405</wp:posOffset>
                </wp:positionV>
                <wp:extent cx="447040" cy="179070"/>
                <wp:effectExtent l="0" t="0" r="0" b="0"/>
                <wp:wrapSquare wrapText="bothSides"/>
                <wp:docPr id="2" name="Frame2"/>
                <a:graphic xmlns:a="http://schemas.openxmlformats.org/drawingml/2006/main">
                  <a:graphicData uri="http://schemas.microsoft.com/office/word/2010/wordprocessingShape">
                    <wps:wsp>
                      <wps:cNvSpPr txBox="1"/>
                      <wps:spPr>
                        <a:xfrm>
                          <a:off x="0" y="0"/>
                          <a:ext cx="447040" cy="179070"/>
                        </a:xfrm>
                        <a:prstGeom prst="rect"/>
                        <a:solidFill>
                          <a:srgbClr val="FFFFFF">
                            <a:alpha val="0"/>
                          </a:srgbClr>
                        </a:solidFill>
                        <a:ln w="9525">
                          <a:solidFill>
                            <a:srgbClr val="000000"/>
                          </a:solidFill>
                        </a:ln>
                      </wps:spPr>
                      <wps:txbx>
                        <w:txbxContent>
                          <w:p>
                            <w:pPr>
                              <w:pStyle w:val="Normal"/>
                              <w:rPr>
                                <w:smallCaps/>
                                <w:sz w:val="18"/>
                              </w:rPr>
                            </w:pPr>
                            <w:r>
                              <w:rPr>
                                <w:smallCaps/>
                                <w:sz w:val="18"/>
                              </w:rPr>
                              <w:t>Nymex</w:t>
                            </w:r>
                          </w:p>
                        </w:txbxContent>
                      </wps:txbx>
                      <wps:bodyPr anchor="t" lIns="12700" tIns="12700" rIns="12700" bIns="12700">
                        <a:noAutofit/>
                      </wps:bodyPr>
                    </wps:wsp>
                  </a:graphicData>
                </a:graphic>
              </wp:anchor>
            </w:drawing>
          </mc:Choice>
          <mc:Fallback>
            <w:pict>
              <v:rect fillcolor="#FFFFFF" strokecolor="#000000" strokeweight="0pt" style="position:absolute;rotation:-0;width:35.2pt;height:14.1pt;mso-wrap-distance-left:9pt;mso-wrap-distance-right:9pt;mso-wrap-distance-top:0pt;mso-wrap-distance-bottom:0pt;margin-top:15.15pt;mso-position-vertical-relative:text;margin-left:50.2pt;mso-position-horizontal-relative:page">
                <v:fill opacity="0f"/>
                <v:textbox inset="0.0138888888888889in,0.0138888888888889in,0.0138888888888889in,0.0138888888888889in">
                  <w:txbxContent>
                    <w:p>
                      <w:pPr>
                        <w:pStyle w:val="Normal"/>
                        <w:rPr>
                          <w:smallCaps/>
                          <w:sz w:val="18"/>
                        </w:rPr>
                      </w:pPr>
                      <w:r>
                        <w:rPr>
                          <w:smallCaps/>
                          <w:sz w:val="18"/>
                        </w:rPr>
                        <w:t>Nymex</w:t>
                      </w:r>
                    </w:p>
                  </w:txbxContent>
                </v:textbox>
                <w10:wrap type="square"/>
              </v:rect>
            </w:pict>
          </mc:Fallback>
        </mc:AlternateContent>
      </w:r>
    </w:p>
    <w:p>
      <w:pPr>
        <w:pStyle w:val="BodyTextIndent"/>
        <w:rPr>
          <w:i/>
          <w:i/>
          <w:iCs/>
          <w:sz w:val="20"/>
        </w:rPr>
      </w:pPr>
      <w:r>
        <w:rPr/>
        <w:t>Cash natural gas prices dropped yesterday, but they still held on to their premium against the Nymex.  Trading was featureless and traders saw little reason to do much other than house-keeping.  There was short-covering and  buying in the morning and selling in the afternoon.  Utility and end-user interest was light.  Henry Hub prices were down 0-4 cents at $2.34-$2.39.  California El Paso prices were down 3-8 cents at $2.33-$2.36.  Katy prices were 4 cents lower at $2.28-$2.32.   Waha prices fell 3-7 cents to trade at $2.24-$2.27.</w:t>
      </w:r>
      <w:r>
        <mc:AlternateContent>
          <mc:Choice Requires="wps">
            <w:drawing>
              <wp:anchor behindDoc="0" distT="0" distB="0" distL="114300" distR="114300" simplePos="0" locked="0" layoutInCell="0" allowOverlap="1" relativeHeight="4">
                <wp:simplePos x="0" y="0"/>
                <wp:positionH relativeFrom="page">
                  <wp:posOffset>656590</wp:posOffset>
                </wp:positionH>
                <wp:positionV relativeFrom="paragraph">
                  <wp:posOffset>300355</wp:posOffset>
                </wp:positionV>
                <wp:extent cx="427990" cy="191135"/>
                <wp:effectExtent l="0" t="0" r="0" b="0"/>
                <wp:wrapSquare wrapText="bothSides"/>
                <wp:docPr id="3" name="Frame3"/>
                <a:graphic xmlns:a="http://schemas.openxmlformats.org/drawingml/2006/main">
                  <a:graphicData uri="http://schemas.microsoft.com/office/word/2010/wordprocessingShape">
                    <wps:wsp>
                      <wps:cNvSpPr txBox="1"/>
                      <wps:spPr>
                        <a:xfrm>
                          <a:off x="0" y="0"/>
                          <a:ext cx="427990" cy="191135"/>
                        </a:xfrm>
                        <a:prstGeom prst="rect"/>
                        <a:solidFill>
                          <a:srgbClr val="FFFFFF">
                            <a:alpha val="0"/>
                          </a:srgbClr>
                        </a:solidFill>
                        <a:ln w="9525">
                          <a:solidFill>
                            <a:srgbClr val="000000"/>
                          </a:solidFill>
                        </a:ln>
                      </wps:spPr>
                      <wps:txbx>
                        <w:txbxContent>
                          <w:p>
                            <w:pPr>
                              <w:pStyle w:val="Normal"/>
                              <w:rPr>
                                <w:smallCaps/>
                              </w:rPr>
                            </w:pPr>
                            <w:r>
                              <w:rPr>
                                <w:smallCaps/>
                              </w:rPr>
                              <w:t>Cash</w:t>
                            </w:r>
                          </w:p>
                        </w:txbxContent>
                      </wps:txbx>
                      <wps:bodyPr anchor="t" lIns="12700" tIns="12700" rIns="12700" bIns="12700">
                        <a:noAutofit/>
                      </wps:bodyPr>
                    </wps:wsp>
                  </a:graphicData>
                </a:graphic>
              </wp:anchor>
            </w:drawing>
          </mc:Choice>
          <mc:Fallback>
            <w:pict>
              <v:rect fillcolor="#FFFFFF" strokecolor="#000000" strokeweight="0pt" style="position:absolute;rotation:-0;width:33.7pt;height:15.05pt;mso-wrap-distance-left:9pt;mso-wrap-distance-right:9pt;mso-wrap-distance-top:0pt;mso-wrap-distance-bottom:0pt;margin-top:23.65pt;mso-position-vertical-relative:text;margin-left:51.7pt;mso-position-horizontal-relative:page">
                <v:fill opacity="0f"/>
                <v:textbox inset="0.0138888888888889in,0.0138888888888889in,0.0138888888888889in,0.0138888888888889in">
                  <w:txbxContent>
                    <w:p>
                      <w:pPr>
                        <w:pStyle w:val="Normal"/>
                        <w:rPr>
                          <w:smallCaps/>
                        </w:rPr>
                      </w:pPr>
                      <w:r>
                        <w:rPr>
                          <w:smallCaps/>
                        </w:rPr>
                        <w:t>Cash</w:t>
                      </w:r>
                    </w:p>
                  </w:txbxContent>
                </v:textbox>
                <w10:wrap type="square"/>
              </v:rect>
            </w:pict>
          </mc:Fallback>
        </mc:AlternateContent>
      </w:r>
    </w:p>
    <w:p>
      <w:pPr>
        <w:pStyle w:val="Normal"/>
        <w:ind w:firstLine="648" w:end="0"/>
        <w:jc w:val="both"/>
        <w:rPr>
          <w:sz w:val="21"/>
        </w:rPr>
      </w:pPr>
      <w:r>
        <w:rPr>
          <w:sz w:val="21"/>
        </w:rPr>
        <w:t xml:space="preserve">Palo Verde next-day, firm on-peak prices were at $23-$24, unchanged.  Northeastern prices were at $23-$29, down $3.  ComEd in Chicago was quoted at $20-$22, up $1.  Entergy was at $18-$20, down $2-$3, while Cinergy was $18-$20, down $1 on the day.  Ercot was quoted at $19-$20, down $1.  </w:t>
      </w:r>
      <w:r>
        <mc:AlternateContent>
          <mc:Choice Requires="wps">
            <w:drawing>
              <wp:anchor behindDoc="0" distT="0" distB="0" distL="114300" distR="114300" simplePos="0" locked="0" layoutInCell="0" allowOverlap="1" relativeHeight="5">
                <wp:simplePos x="0" y="0"/>
                <wp:positionH relativeFrom="page">
                  <wp:posOffset>656590</wp:posOffset>
                </wp:positionH>
                <wp:positionV relativeFrom="paragraph">
                  <wp:posOffset>315595</wp:posOffset>
                </wp:positionV>
                <wp:extent cx="738505" cy="191135"/>
                <wp:effectExtent l="0" t="0" r="0" b="0"/>
                <wp:wrapSquare wrapText="bothSides"/>
                <wp:docPr id="4" name="Frame4"/>
                <a:graphic xmlns:a="http://schemas.openxmlformats.org/drawingml/2006/main">
                  <a:graphicData uri="http://schemas.microsoft.com/office/word/2010/wordprocessingShape">
                    <wps:wsp>
                      <wps:cNvSpPr txBox="1"/>
                      <wps:spPr>
                        <a:xfrm>
                          <a:off x="0" y="0"/>
                          <a:ext cx="738505" cy="191135"/>
                        </a:xfrm>
                        <a:prstGeom prst="rect"/>
                        <a:solidFill>
                          <a:srgbClr val="FFFFFF">
                            <a:alpha val="0"/>
                          </a:srgbClr>
                        </a:solidFill>
                        <a:ln w="9525">
                          <a:solidFill>
                            <a:srgbClr val="000000"/>
                          </a:solidFill>
                        </a:ln>
                      </wps:spPr>
                      <wps:txbx>
                        <w:txbxContent>
                          <w:p>
                            <w:pPr>
                              <w:pStyle w:val="Normal"/>
                              <w:rPr>
                                <w:smallCaps/>
                              </w:rPr>
                            </w:pPr>
                            <w:r>
                              <w:rPr>
                                <w:smallCaps/>
                              </w:rPr>
                              <w:t>Electricity</w:t>
                            </w:r>
                          </w:p>
                        </w:txbxContent>
                      </wps:txbx>
                      <wps:bodyPr anchor="t" lIns="12700" tIns="12700" rIns="12700" bIns="12700">
                        <a:noAutofit/>
                      </wps:bodyPr>
                    </wps:wsp>
                  </a:graphicData>
                </a:graphic>
              </wp:anchor>
            </w:drawing>
          </mc:Choice>
          <mc:Fallback>
            <w:pict>
              <v:rect fillcolor="#FFFFFF" strokecolor="#000000" strokeweight="0pt" style="position:absolute;rotation:-0;width:58.15pt;height:15.05pt;mso-wrap-distance-left:9pt;mso-wrap-distance-right:9pt;mso-wrap-distance-top:0pt;mso-wrap-distance-bottom:0pt;margin-top:24.85pt;mso-position-vertical-relative:text;margin-left:51.7pt;mso-position-horizontal-relative:page">
                <v:fill opacity="0f"/>
                <v:textbox inset="0.0138888888888889in,0.0138888888888889in,0.0138888888888889in,0.0138888888888889in">
                  <w:txbxContent>
                    <w:p>
                      <w:pPr>
                        <w:pStyle w:val="Normal"/>
                        <w:rPr>
                          <w:smallCaps/>
                        </w:rPr>
                      </w:pPr>
                      <w:r>
                        <w:rPr>
                          <w:smallCaps/>
                        </w:rPr>
                        <w:t>Electricity</w:t>
                      </w:r>
                    </w:p>
                  </w:txbxContent>
                </v:textbox>
                <w10:wrap type="square"/>
              </v:rect>
            </w:pict>
          </mc:Fallback>
        </mc:AlternateContent>
      </w:r>
    </w:p>
    <w:p>
      <w:pPr>
        <w:pStyle w:val="BodyTextIndent"/>
        <w:rPr/>
      </w:pPr>
      <w:r>
        <w:rPr/>
        <w:t xml:space="preserve">We still seem to be in a short-covering phase in this market, but traders are now talking about there being a practical limit on the upside.  We expect prices to test this limit, but if it holds, we would be looking to sell against it.    </w:t>
      </w:r>
      <w:r>
        <mc:AlternateContent>
          <mc:Choice Requires="wps">
            <w:drawing>
              <wp:anchor behindDoc="0" distT="0" distB="0" distL="114300" distR="114300" simplePos="0" locked="0" layoutInCell="0" allowOverlap="1" relativeHeight="6">
                <wp:simplePos x="0" y="0"/>
                <wp:positionH relativeFrom="page">
                  <wp:posOffset>656590</wp:posOffset>
                </wp:positionH>
                <wp:positionV relativeFrom="paragraph">
                  <wp:posOffset>207010</wp:posOffset>
                </wp:positionV>
                <wp:extent cx="812800" cy="191135"/>
                <wp:effectExtent l="0" t="0" r="0" b="0"/>
                <wp:wrapSquare wrapText="bothSides"/>
                <wp:docPr id="5" name="Frame5"/>
                <a:graphic xmlns:a="http://schemas.openxmlformats.org/drawingml/2006/main">
                  <a:graphicData uri="http://schemas.microsoft.com/office/word/2010/wordprocessingShape">
                    <wps:wsp>
                      <wps:cNvSpPr txBox="1"/>
                      <wps:spPr>
                        <a:xfrm>
                          <a:off x="0" y="0"/>
                          <a:ext cx="812800" cy="191135"/>
                        </a:xfrm>
                        <a:prstGeom prst="rect"/>
                        <a:solidFill>
                          <a:srgbClr val="FFFFFF">
                            <a:alpha val="0"/>
                          </a:srgbClr>
                        </a:solidFill>
                        <a:ln w="9525">
                          <a:solidFill>
                            <a:srgbClr val="000000"/>
                          </a:solidFill>
                        </a:ln>
                      </wps:spPr>
                      <wps:txbx>
                        <w:txbxContent>
                          <w:p>
                            <w:pPr>
                              <w:pStyle w:val="Normal"/>
                              <w:keepNext w:val="true"/>
                              <w:rPr>
                                <w:smallCaps/>
                              </w:rPr>
                            </w:pPr>
                            <w:r>
                              <w:rPr>
                                <w:smallCaps/>
                              </w:rPr>
                              <w:t>Conclusions</w:t>
                            </w:r>
                          </w:p>
                        </w:txbxContent>
                      </wps:txbx>
                      <wps:bodyPr anchor="t" lIns="12700" tIns="12700" rIns="12700" bIns="12700">
                        <a:noAutofit/>
                      </wps:bodyPr>
                    </wps:wsp>
                  </a:graphicData>
                </a:graphic>
              </wp:anchor>
            </w:drawing>
          </mc:Choice>
          <mc:Fallback>
            <w:pict>
              <v:rect fillcolor="#FFFFFF" strokecolor="#000000" strokeweight="0pt" style="position:absolute;rotation:-0;width:64pt;height:15.05pt;mso-wrap-distance-left:9pt;mso-wrap-distance-right:9pt;mso-wrap-distance-top:0pt;mso-wrap-distance-bottom:0pt;margin-top:16.3pt;mso-position-vertical-relative:text;margin-left:51.7pt;mso-position-horizontal-relative:page">
                <v:fill opacity="0f"/>
                <v:textbox inset="0.0138888888888889in,0.0138888888888889in,0.0138888888888889in,0.0138888888888889in">
                  <w:txbxContent>
                    <w:p>
                      <w:pPr>
                        <w:pStyle w:val="Normal"/>
                        <w:keepNext w:val="true"/>
                        <w:rPr>
                          <w:smallCaps/>
                        </w:rPr>
                      </w:pPr>
                      <w:r>
                        <w:rPr>
                          <w:smallCaps/>
                        </w:rPr>
                        <w:t>Conclusions</w:t>
                      </w:r>
                    </w:p>
                  </w:txbxContent>
                </v:textbox>
                <w10:wrap type="square"/>
              </v:rect>
            </w:pict>
          </mc:Fallback>
        </mc:AlternateContent>
      </w:r>
    </w:p>
    <w:p>
      <w:pPr>
        <w:pStyle w:val="BodyTextIndent"/>
        <w:rPr/>
      </w:pPr>
      <w:r>
        <w:rPr/>
        <w:t xml:space="preserve">We are flat here.  We will be looking for places to get short again.    </w:t>
      </w:r>
    </w:p>
    <w:p>
      <w:pPr>
        <w:pStyle w:val="BodyTextIndent"/>
        <w:rPr/>
      </w:pPr>
      <w:r>
        <w:rPr/>
        <w:t xml:space="preserve">       </w:t>
      </w:r>
    </w:p>
    <w:p>
      <w:pPr>
        <w:pStyle w:val="Normal"/>
        <w:pBdr>
          <w:top w:val="single" w:sz="12" w:space="1" w:color="000000"/>
          <w:left w:val="single" w:sz="12" w:space="1" w:color="000000"/>
          <w:bottom w:val="single" w:sz="12" w:space="1" w:color="000000"/>
          <w:right w:val="single" w:sz="12" w:space="1" w:color="000000"/>
        </w:pBdr>
        <w:jc w:val="both"/>
        <w:rPr/>
      </w:pPr>
      <w:r>
        <w:rPr>
          <w:smallCaps/>
          <w:sz w:val="21"/>
          <w:u w:val="single"/>
        </w:rPr>
        <w:t>Mar natural gas</w:t>
      </w:r>
      <w:r>
        <w:rPr>
          <w:sz w:val="21"/>
          <w:u w:val="single"/>
        </w:rPr>
        <w:t>:</w:t>
      </w:r>
      <w:r>
        <w:rPr>
          <w:sz w:val="21"/>
        </w:rPr>
        <w:tab/>
        <w:t>Support:</w:t>
        <w:tab/>
        <w:t>$2.220-$2.235, $2.150-$2.170, $2.070-$2.085, $2.010-$2.025, $1.905-$1.920.</w:t>
      </w:r>
    </w:p>
    <w:p>
      <w:pPr>
        <w:pStyle w:val="Normal"/>
        <w:pBdr>
          <w:top w:val="single" w:sz="12" w:space="1" w:color="000000"/>
          <w:left w:val="single" w:sz="12" w:space="1" w:color="000000"/>
          <w:bottom w:val="single" w:sz="12" w:space="1" w:color="000000"/>
          <w:right w:val="single" w:sz="12" w:space="1" w:color="000000"/>
        </w:pBdr>
        <w:jc w:val="both"/>
        <w:rPr>
          <w:sz w:val="21"/>
        </w:rPr>
      </w:pPr>
      <w:r>
        <w:rPr>
          <w:sz w:val="21"/>
        </w:rPr>
        <w:tab/>
        <w:tab/>
        <w:tab/>
        <w:t>Resistance:</w:t>
        <w:tab/>
        <w:t>$2.275-$2.300, $2.340-$2.355, $2.410-$2.425, $2.485-$2.505, $2.560-$2.575.</w:t>
      </w:r>
    </w:p>
    <w:p>
      <w:pPr>
        <w:pStyle w:val="BodyText"/>
        <w:tabs>
          <w:tab w:val="clear" w:pos="0"/>
          <w:tab w:val="clear" w:pos="3960"/>
        </w:tabs>
        <w:ind w:firstLine="648" w:end="0"/>
        <w:rPr>
          <w:sz w:val="21"/>
        </w:rPr>
      </w:pPr>
      <w:r>
        <w:rPr>
          <w:sz w:val="21"/>
        </w:rPr>
      </w:r>
    </w:p>
    <w:p>
      <w:pPr>
        <w:pStyle w:val="BodyText"/>
        <w:tabs>
          <w:tab w:val="clear" w:pos="0"/>
          <w:tab w:val="clear" w:pos="3960"/>
        </w:tabs>
        <w:ind w:firstLine="648" w:end="0"/>
        <w:rPr/>
      </w:pPr>
      <w:r>
        <w:rPr/>
        <w:t>This week’s AGA report showed a draw of 156 bcf on our expectation of 90-120 bcf lower.  It may be a case of coming too late to help.  Stocks are now 1,015 bcf higher than a year ago, compared to 1,076 bcf higher two weeks ago and 1,053 bcf higher three weeks ago.  Four weeks ago, stocks were 1,036 bcf higher than a year ago.  Stocks are now 94.72% higher than they were a year ago.  Next week’s report is almost certain to leave this year’s figure double that of a year ago.  That will take us to another level of bearishness in a market where we consistently set new bearish milestones.</w:t>
      </w:r>
    </w:p>
    <w:p>
      <w:pPr>
        <w:pStyle w:val="BodyText"/>
        <w:tabs>
          <w:tab w:val="clear" w:pos="0"/>
          <w:tab w:val="clear" w:pos="3960"/>
        </w:tabs>
        <w:ind w:firstLine="648" w:end="0"/>
        <w:rPr/>
      </w:pPr>
      <w:r>
        <w:rPr/>
        <w:t xml:space="preserve">Our early estimate for next week’s report is for a draw of 100 to 130 bcf. </w:t>
      </w:r>
    </w:p>
    <w:p>
      <w:pPr>
        <w:pStyle w:val="BodyText"/>
        <w:tabs>
          <w:tab w:val="clear" w:pos="0"/>
          <w:tab w:val="clear" w:pos="3960"/>
        </w:tabs>
        <w:ind w:firstLine="648" w:end="0"/>
        <w:rPr/>
      </w:pPr>
      <w:r>
        <w:rPr/>
        <w:t xml:space="preserve">    </w:t>
      </w:r>
      <w:r>
        <w:rPr/>
        <w:tab/>
        <w:tab/>
        <w:tab/>
        <w:tab/>
        <w:tab/>
        <w:tab/>
      </w:r>
      <w:r>
        <w:rPr>
          <w:b/>
        </w:rPr>
        <w:t>AGA Report</w:t>
      </w:r>
    </w:p>
    <w:p>
      <w:pPr>
        <w:pStyle w:val="Normal"/>
        <w:pBdr>
          <w:top w:val="single" w:sz="24" w:space="1" w:color="000000" w:shadow="1"/>
          <w:left w:val="single" w:sz="24" w:space="1" w:color="000000" w:shadow="1"/>
          <w:bottom w:val="single" w:sz="24" w:space="1" w:color="000000" w:shadow="1"/>
          <w:right w:val="single" w:sz="24" w:space="1" w:color="000000" w:shadow="1"/>
        </w:pBdr>
        <w:ind w:start="1260" w:end="954"/>
        <w:jc w:val="both"/>
        <w:rPr>
          <w:sz w:val="21"/>
        </w:rPr>
      </w:pPr>
      <w:r>
        <w:rPr>
          <w:sz w:val="21"/>
        </w:rPr>
        <w:tab/>
      </w:r>
      <w:r>
        <w:rPr>
          <w:sz w:val="21"/>
          <w:u w:val="single"/>
        </w:rPr>
        <w:t>Region</w:t>
        <w:tab/>
        <w:tab/>
        <w:t>02-08-02</w:t>
        <w:tab/>
        <w:t>02-01-02</w:t>
        <w:tab/>
        <w:t>Change</w:t>
        <w:tab/>
        <w:tab/>
        <w:t>Pct Full</w:t>
        <w:tab/>
        <w:t>Last Year</w:t>
      </w:r>
    </w:p>
    <w:p>
      <w:pPr>
        <w:pStyle w:val="Normal"/>
        <w:pBdr>
          <w:top w:val="single" w:sz="24" w:space="1" w:color="000000" w:shadow="1"/>
          <w:left w:val="single" w:sz="24" w:space="1" w:color="000000" w:shadow="1"/>
          <w:bottom w:val="single" w:sz="24" w:space="1" w:color="000000" w:shadow="1"/>
          <w:right w:val="single" w:sz="24" w:space="1" w:color="000000" w:shadow="1"/>
        </w:pBdr>
        <w:ind w:start="1260" w:end="954"/>
        <w:jc w:val="both"/>
        <w:rPr>
          <w:sz w:val="21"/>
        </w:rPr>
      </w:pPr>
      <w:r>
        <w:rPr>
          <w:sz w:val="21"/>
        </w:rPr>
        <w:tab/>
        <w:t>Producing</w:t>
        <w:tab/>
        <w:t>631</w:t>
        <w:tab/>
        <w:tab/>
        <w:t>675</w:t>
        <w:tab/>
        <w:tab/>
        <w:t>dn 44</w:t>
        <w:tab/>
        <w:tab/>
        <w:t>66</w:t>
        <w:tab/>
        <w:tab/>
        <w:t>267</w:t>
      </w:r>
    </w:p>
    <w:p>
      <w:pPr>
        <w:pStyle w:val="Normal"/>
        <w:pBdr>
          <w:top w:val="single" w:sz="24" w:space="1" w:color="000000" w:shadow="1"/>
          <w:left w:val="single" w:sz="24" w:space="1" w:color="000000" w:shadow="1"/>
          <w:bottom w:val="single" w:sz="24" w:space="1" w:color="000000" w:shadow="1"/>
          <w:right w:val="single" w:sz="24" w:space="1" w:color="000000" w:shadow="1"/>
        </w:pBdr>
        <w:ind w:start="1260" w:end="954"/>
        <w:jc w:val="both"/>
        <w:rPr>
          <w:sz w:val="21"/>
        </w:rPr>
      </w:pPr>
      <w:r>
        <w:rPr>
          <w:sz w:val="21"/>
        </w:rPr>
        <w:tab/>
        <w:t>Cons East</w:t>
        <w:tab/>
        <w:t>1114</w:t>
        <w:tab/>
        <w:tab/>
        <w:t>1211</w:t>
        <w:tab/>
        <w:tab/>
        <w:t>dn 97</w:t>
        <w:tab/>
        <w:tab/>
        <w:t>61</w:t>
        <w:tab/>
        <w:tab/>
        <w:t>592</w:t>
      </w:r>
    </w:p>
    <w:p>
      <w:pPr>
        <w:pStyle w:val="Normal"/>
        <w:pBdr>
          <w:top w:val="single" w:sz="24" w:space="1" w:color="000000" w:shadow="1"/>
          <w:left w:val="single" w:sz="24" w:space="1" w:color="000000" w:shadow="1"/>
          <w:bottom w:val="single" w:sz="24" w:space="1" w:color="000000" w:shadow="1"/>
          <w:right w:val="single" w:sz="24" w:space="1" w:color="000000" w:shadow="1"/>
        </w:pBdr>
        <w:ind w:start="1260" w:end="954"/>
        <w:jc w:val="both"/>
        <w:rPr>
          <w:sz w:val="21"/>
        </w:rPr>
      </w:pPr>
      <w:r>
        <w:rPr>
          <w:sz w:val="21"/>
        </w:rPr>
        <w:tab/>
        <w:t>Cons West</w:t>
        <w:tab/>
        <w:t>311</w:t>
        <w:tab/>
        <w:tab/>
        <w:t>326</w:t>
        <w:tab/>
        <w:tab/>
        <w:t>dn 15</w:t>
        <w:tab/>
        <w:tab/>
        <w:t>61</w:t>
        <w:tab/>
        <w:tab/>
        <w:t>182</w:t>
      </w:r>
    </w:p>
    <w:p>
      <w:pPr>
        <w:pStyle w:val="Normal"/>
        <w:pBdr>
          <w:top w:val="single" w:sz="24" w:space="1" w:color="000000" w:shadow="1"/>
          <w:left w:val="single" w:sz="24" w:space="1" w:color="000000" w:shadow="1"/>
          <w:bottom w:val="single" w:sz="24" w:space="1" w:color="000000" w:shadow="1"/>
          <w:right w:val="single" w:sz="24" w:space="1" w:color="000000" w:shadow="1"/>
        </w:pBdr>
        <w:ind w:start="1260" w:end="954"/>
        <w:jc w:val="both"/>
        <w:rPr>
          <w:sz w:val="21"/>
        </w:rPr>
      </w:pPr>
      <w:r>
        <w:rPr>
          <w:sz w:val="21"/>
        </w:rPr>
        <w:tab/>
        <w:t>Total US</w:t>
        <w:tab/>
        <w:t>2056</w:t>
        <w:tab/>
        <w:tab/>
        <w:t>2212</w:t>
        <w:tab/>
        <w:tab/>
        <w:t>dn 156</w:t>
        <w:tab/>
        <w:tab/>
        <w:t>62</w:t>
        <w:tab/>
        <w:tab/>
        <w:t>1041</w:t>
      </w:r>
    </w:p>
    <w:p>
      <w:pPr>
        <w:pStyle w:val="Normal"/>
        <w:jc w:val="both"/>
        <w:rPr>
          <w:b/>
          <w:i/>
          <w:i/>
          <w:sz w:val="24"/>
          <w:u w:val="single"/>
        </w:rPr>
      </w:pPr>
      <w:r>
        <w:rPr>
          <w:b/>
          <w:i/>
          <w:sz w:val="24"/>
          <w:u w:val="single"/>
        </w:rPr>
      </w:r>
    </w:p>
    <w:p>
      <w:pPr>
        <w:pStyle w:val="Normal"/>
        <w:jc w:val="both"/>
        <w:rPr>
          <w:i/>
          <w:i/>
          <w:sz w:val="24"/>
        </w:rPr>
      </w:pPr>
      <w:r>
        <w:rPr>
          <w:b/>
          <w:i/>
          <w:sz w:val="24"/>
          <w:u w:val="single"/>
        </w:rPr>
        <w:t>Recommendations &amp; Conclusions</w:t>
      </w:r>
    </w:p>
    <w:p>
      <w:pPr>
        <w:pStyle w:val="Normal"/>
        <w:ind w:firstLine="648" w:end="0"/>
        <w:jc w:val="both"/>
        <w:rPr>
          <w:sz w:val="21"/>
        </w:rPr>
      </w:pPr>
      <w:r>
        <w:rPr>
          <w:sz w:val="21"/>
        </w:rPr>
        <w:t xml:space="preserve">In some respects, we have to expect prices to gun for the buy-stops we know are over $22.  But, after we have done that, it is difficult to imagine what would keep it going.  Once those stops have been cleared out, the pain factor could dissolve as a primary, motivating factor.  At that point, the bearish factors in this market may get a second chance to influence traders.    </w:t>
      </w:r>
    </w:p>
    <w:p>
      <w:pPr>
        <w:pStyle w:val="Normal"/>
        <w:ind w:firstLine="648" w:end="0"/>
        <w:jc w:val="both"/>
        <w:rPr>
          <w:sz w:val="21"/>
        </w:rPr>
      </w:pPr>
      <w:r>
        <w:rPr>
          <w:sz w:val="21"/>
        </w:rPr>
      </w:r>
    </w:p>
    <w:p>
      <w:pPr>
        <w:pStyle w:val="Normal"/>
        <w:jc w:val="both"/>
        <w:rPr>
          <w:sz w:val="21"/>
        </w:rPr>
      </w:pPr>
      <w:r>
        <w:rPr>
          <w:b/>
          <w:i/>
          <w:sz w:val="21"/>
          <w:u w:val="single"/>
        </w:rPr>
        <w:t>Heating Oil Distributors</w:t>
      </w:r>
    </w:p>
    <w:p>
      <w:pPr>
        <w:pStyle w:val="Normal"/>
        <w:jc w:val="both"/>
        <w:rPr>
          <w:sz w:val="21"/>
        </w:rPr>
      </w:pPr>
      <w:r>
        <w:rPr>
          <w:sz w:val="21"/>
        </w:rPr>
        <w:tab/>
        <w:t>We still feel we should wait here.  The destocking typically comes in the second half of this month.</w:t>
      </w:r>
    </w:p>
    <w:p>
      <w:pPr>
        <w:pStyle w:val="Normal"/>
        <w:jc w:val="both"/>
        <w:rPr>
          <w:sz w:val="21"/>
        </w:rPr>
      </w:pPr>
      <w:r>
        <w:rPr>
          <w:sz w:val="21"/>
        </w:rPr>
      </w:r>
    </w:p>
    <w:p>
      <w:pPr>
        <w:pStyle w:val="Normal"/>
        <w:jc w:val="both"/>
        <w:rPr/>
      </w:pPr>
      <w:r>
        <w:rPr>
          <w:b/>
          <w:i/>
          <w:sz w:val="21"/>
          <w:u w:val="single"/>
        </w:rPr>
        <w:t>Diesel Users</w:t>
      </w:r>
      <w:r>
        <w:rPr>
          <w:sz w:val="21"/>
        </w:rPr>
        <w:t xml:space="preserve"> </w:t>
      </w:r>
    </w:p>
    <w:p>
      <w:pPr>
        <w:pStyle w:val="Normal"/>
        <w:ind w:firstLine="648" w:end="0"/>
        <w:jc w:val="both"/>
        <w:rPr>
          <w:sz w:val="21"/>
        </w:rPr>
      </w:pPr>
      <w:r>
        <w:rPr>
          <w:sz w:val="21"/>
        </w:rPr>
        <w:t xml:space="preserve">We seem to need to get the short-covering out of our systems.  Once we do, we should expect to see prices fall.  </w:t>
      </w:r>
    </w:p>
    <w:p>
      <w:pPr>
        <w:pStyle w:val="Normal"/>
        <w:ind w:firstLine="648" w:end="0"/>
        <w:jc w:val="both"/>
        <w:rPr>
          <w:sz w:val="21"/>
        </w:rPr>
      </w:pPr>
      <w:r>
        <w:rPr>
          <w:sz w:val="21"/>
        </w:rPr>
      </w:r>
      <w:r>
        <mc:AlternateContent>
          <mc:Choice Requires="wps">
            <w:drawing>
              <wp:anchor behindDoc="0" distT="0" distB="0" distL="114300" distR="114300" simplePos="0" locked="0" layoutInCell="0" allowOverlap="1" relativeHeight="7">
                <wp:simplePos x="0" y="0"/>
                <wp:positionH relativeFrom="page">
                  <wp:posOffset>5220970</wp:posOffset>
                </wp:positionH>
                <wp:positionV relativeFrom="paragraph">
                  <wp:posOffset>45085</wp:posOffset>
                </wp:positionV>
                <wp:extent cx="1983740" cy="1272540"/>
                <wp:effectExtent l="0" t="0" r="10160" b="10160"/>
                <wp:wrapSquare wrapText="bothSides"/>
                <wp:docPr id="6" name="Frame6"/>
                <a:graphic xmlns:a="http://schemas.openxmlformats.org/drawingml/2006/main">
                  <a:graphicData uri="http://schemas.microsoft.com/office/word/2010/wordprocessingShape">
                    <wps:wsp>
                      <wps:cNvSpPr txBox="1"/>
                      <wps:spPr>
                        <a:xfrm>
                          <a:off x="0" y="0"/>
                          <a:ext cx="1993900" cy="1282700"/>
                        </a:xfrm>
                        <a:prstGeom prst="rect"/>
                        <a:solidFill>
                          <a:srgbClr val="FFFFFF">
                            <a:alpha val="0"/>
                          </a:srgbClr>
                        </a:solidFill>
                        <a:ln w="9525">
                          <a:solidFill>
                            <a:srgbClr val="000000"/>
                          </a:solidFill>
                        </a:ln>
                        <a:effectLst>
                          <a:outerShdw dist="13970" dir="2700000">
                            <a:srgbClr val="000000"/>
                          </a:outerShdw>
                        </a:effectLst>
                      </wps:spPr>
                      <wps:txbx>
                        <w:txbxContent>
                          <w:p>
                            <w:pPr>
                              <w:pStyle w:val="Heading2"/>
                              <w:ind w:hanging="0" w:start="0"/>
                              <w:rPr/>
                            </w:pPr>
                            <w:r>
                              <w:rPr/>
                              <w:t>Prompt Jet Fuel Prices</w:t>
                            </w:r>
                          </w:p>
                          <w:p>
                            <w:pPr>
                              <w:pStyle w:val="Normal"/>
                              <w:tabs>
                                <w:tab w:val="clear" w:pos="648"/>
                                <w:tab w:val="decimal" w:pos="2160" w:leader="dot"/>
                              </w:tabs>
                              <w:rPr/>
                            </w:pPr>
                            <w:r>
                              <w:rPr/>
                              <w:t>New York Harbor</w:t>
                              <w:tab/>
                              <w:t>57.85-58.00</w:t>
                            </w:r>
                          </w:p>
                          <w:p>
                            <w:pPr>
                              <w:pStyle w:val="Normal"/>
                              <w:tabs>
                                <w:tab w:val="clear" w:pos="648"/>
                                <w:tab w:val="decimal" w:pos="2160" w:leader="dot"/>
                              </w:tabs>
                              <w:rPr/>
                            </w:pPr>
                            <w:r>
                              <w:rPr/>
                              <w:t>US Gulf</w:t>
                              <w:tab/>
                              <w:t>55.10-55.20</w:t>
                            </w:r>
                          </w:p>
                          <w:p>
                            <w:pPr>
                              <w:pStyle w:val="Normal"/>
                              <w:tabs>
                                <w:tab w:val="clear" w:pos="648"/>
                                <w:tab w:val="decimal" w:pos="2160" w:leader="dot"/>
                              </w:tabs>
                              <w:rPr/>
                            </w:pPr>
                            <w:r>
                              <w:rPr/>
                              <w:t>Midwest (Group)</w:t>
                              <w:tab/>
                              <w:t>56.00-56.50</w:t>
                            </w:r>
                          </w:p>
                          <w:p>
                            <w:pPr>
                              <w:pStyle w:val="Normal"/>
                              <w:tabs>
                                <w:tab w:val="clear" w:pos="648"/>
                                <w:tab w:val="decimal" w:pos="2160" w:leader="dot"/>
                              </w:tabs>
                              <w:rPr/>
                            </w:pPr>
                            <w:r>
                              <w:rPr/>
                              <w:t>Midwest (Chicago)</w:t>
                              <w:tab/>
                              <w:t>57.25-57.75</w:t>
                            </w:r>
                          </w:p>
                          <w:p>
                            <w:pPr>
                              <w:pStyle w:val="Normal"/>
                              <w:tabs>
                                <w:tab w:val="clear" w:pos="648"/>
                                <w:tab w:val="decimal" w:pos="2160" w:leader="dot"/>
                              </w:tabs>
                              <w:rPr/>
                            </w:pPr>
                            <w:r>
                              <w:rPr/>
                              <w:t>Los Angeles</w:t>
                              <w:tab/>
                              <w:t>60.00-61.00</w:t>
                            </w:r>
                          </w:p>
                          <w:p>
                            <w:pPr>
                              <w:pStyle w:val="Normal"/>
                              <w:tabs>
                                <w:tab w:val="clear" w:pos="648"/>
                                <w:tab w:val="decimal" w:pos="2160" w:leader="dot"/>
                              </w:tabs>
                              <w:rPr/>
                            </w:pPr>
                            <w:r>
                              <w:rPr/>
                              <w:t>San Francisco</w:t>
                              <w:tab/>
                              <w:t>60.50-61.50</w:t>
                            </w:r>
                          </w:p>
                          <w:p>
                            <w:pPr>
                              <w:pStyle w:val="Normal"/>
                              <w:tabs>
                                <w:tab w:val="clear" w:pos="648"/>
                                <w:tab w:val="decimal" w:pos="2160" w:leader="dot"/>
                              </w:tabs>
                              <w:rPr/>
                            </w:pPr>
                            <w:r>
                              <w:rPr/>
                              <w:t>Portland, Oregon</w:t>
                              <w:tab/>
                              <w:t>59.00-60.00</w:t>
                            </w:r>
                          </w:p>
                        </w:txbxContent>
                      </wps:txbx>
                      <wps:bodyPr anchor="t" lIns="12700" tIns="12700" rIns="12700" bIns="12700">
                        <a:noAutofit/>
                      </wps:bodyPr>
                    </wps:wsp>
                  </a:graphicData>
                </a:graphic>
              </wp:anchor>
            </w:drawing>
          </mc:Choice>
          <mc:Fallback>
            <w:pict>
              <v:rect fillcolor="#FFFFFF" strokecolor="#000000" strokeweight="0pt" style="position:absolute;rotation:-0;width:157pt;height:101pt;mso-wrap-distance-left:9pt;mso-wrap-distance-right:9pt;mso-wrap-distance-top:0pt;mso-wrap-distance-bottom:0pt;margin-top:3.55pt;mso-position-vertical-relative:text;margin-left:411.1pt;mso-position-horizontal-relative:page">
                <v:shadow on="t" color="#000000" offset="0.8pt,0.8pt"/>
                <v:fill opacity="0f"/>
                <v:textbox inset="0.0138888888888889in,0.0138888888888889in,0.0138888888888889in,0.0138888888888889in">
                  <w:txbxContent>
                    <w:p>
                      <w:pPr>
                        <w:pStyle w:val="Heading2"/>
                        <w:ind w:hanging="0" w:start="0"/>
                        <w:rPr/>
                      </w:pPr>
                      <w:r>
                        <w:rPr/>
                        <w:t>Prompt Jet Fuel Prices</w:t>
                      </w:r>
                    </w:p>
                    <w:p>
                      <w:pPr>
                        <w:pStyle w:val="Normal"/>
                        <w:tabs>
                          <w:tab w:val="clear" w:pos="648"/>
                          <w:tab w:val="decimal" w:pos="2160" w:leader="dot"/>
                        </w:tabs>
                        <w:rPr/>
                      </w:pPr>
                      <w:r>
                        <w:rPr/>
                        <w:t>New York Harbor</w:t>
                        <w:tab/>
                        <w:t>57.85-58.00</w:t>
                      </w:r>
                    </w:p>
                    <w:p>
                      <w:pPr>
                        <w:pStyle w:val="Normal"/>
                        <w:tabs>
                          <w:tab w:val="clear" w:pos="648"/>
                          <w:tab w:val="decimal" w:pos="2160" w:leader="dot"/>
                        </w:tabs>
                        <w:rPr/>
                      </w:pPr>
                      <w:r>
                        <w:rPr/>
                        <w:t>US Gulf</w:t>
                        <w:tab/>
                        <w:t>55.10-55.20</w:t>
                      </w:r>
                    </w:p>
                    <w:p>
                      <w:pPr>
                        <w:pStyle w:val="Normal"/>
                        <w:tabs>
                          <w:tab w:val="clear" w:pos="648"/>
                          <w:tab w:val="decimal" w:pos="2160" w:leader="dot"/>
                        </w:tabs>
                        <w:rPr/>
                      </w:pPr>
                      <w:r>
                        <w:rPr/>
                        <w:t>Midwest (Group)</w:t>
                        <w:tab/>
                        <w:t>56.00-56.50</w:t>
                      </w:r>
                    </w:p>
                    <w:p>
                      <w:pPr>
                        <w:pStyle w:val="Normal"/>
                        <w:tabs>
                          <w:tab w:val="clear" w:pos="648"/>
                          <w:tab w:val="decimal" w:pos="2160" w:leader="dot"/>
                        </w:tabs>
                        <w:rPr/>
                      </w:pPr>
                      <w:r>
                        <w:rPr/>
                        <w:t>Midwest (Chicago)</w:t>
                        <w:tab/>
                        <w:t>57.25-57.75</w:t>
                      </w:r>
                    </w:p>
                    <w:p>
                      <w:pPr>
                        <w:pStyle w:val="Normal"/>
                        <w:tabs>
                          <w:tab w:val="clear" w:pos="648"/>
                          <w:tab w:val="decimal" w:pos="2160" w:leader="dot"/>
                        </w:tabs>
                        <w:rPr/>
                      </w:pPr>
                      <w:r>
                        <w:rPr/>
                        <w:t>Los Angeles</w:t>
                        <w:tab/>
                        <w:t>60.00-61.00</w:t>
                      </w:r>
                    </w:p>
                    <w:p>
                      <w:pPr>
                        <w:pStyle w:val="Normal"/>
                        <w:tabs>
                          <w:tab w:val="clear" w:pos="648"/>
                          <w:tab w:val="decimal" w:pos="2160" w:leader="dot"/>
                        </w:tabs>
                        <w:rPr/>
                      </w:pPr>
                      <w:r>
                        <w:rPr/>
                        <w:t>San Francisco</w:t>
                        <w:tab/>
                        <w:t>60.50-61.50</w:t>
                      </w:r>
                    </w:p>
                    <w:p>
                      <w:pPr>
                        <w:pStyle w:val="Normal"/>
                        <w:tabs>
                          <w:tab w:val="clear" w:pos="648"/>
                          <w:tab w:val="decimal" w:pos="2160" w:leader="dot"/>
                        </w:tabs>
                        <w:rPr/>
                      </w:pPr>
                      <w:r>
                        <w:rPr/>
                        <w:t>Portland, Oregon</w:t>
                        <w:tab/>
                        <w:t>59.00-60.00</w:t>
                      </w:r>
                    </w:p>
                  </w:txbxContent>
                </v:textbox>
                <w10:wrap type="square"/>
              </v:rect>
            </w:pict>
          </mc:Fallback>
        </mc:AlternateContent>
      </w:r>
    </w:p>
    <w:p>
      <w:pPr>
        <w:pStyle w:val="Heading4"/>
        <w:ind w:hanging="0" w:start="0"/>
        <w:rPr/>
      </w:pPr>
      <w:r>
        <w:rPr/>
        <w:t>Jet/Kerosene Users &amp; Airlines</w:t>
      </w:r>
    </w:p>
    <w:p>
      <w:pPr>
        <w:pStyle w:val="BodyText"/>
        <w:tabs>
          <w:tab w:val="clear" w:pos="0"/>
          <w:tab w:val="clear" w:pos="3960"/>
        </w:tabs>
        <w:ind w:firstLine="648" w:end="0"/>
        <w:rPr/>
      </w:pPr>
      <w:r>
        <w:rPr/>
        <w:t xml:space="preserve">The New York Harbor cash market differential was quoted 325 to 340 points over March heating oil futures yesterday.  We may see higher first, but we expect lower “last,” as it were.  </w:t>
      </w:r>
    </w:p>
    <w:p>
      <w:pPr>
        <w:pStyle w:val="BodyText"/>
        <w:tabs>
          <w:tab w:val="clear" w:pos="0"/>
          <w:tab w:val="clear" w:pos="3960"/>
        </w:tabs>
        <w:ind w:firstLine="648" w:end="0"/>
        <w:rPr/>
      </w:pPr>
      <w:r>
        <w:rPr/>
      </w:r>
    </w:p>
    <w:p>
      <w:pPr>
        <w:pStyle w:val="Normal"/>
        <w:jc w:val="both"/>
        <w:rPr>
          <w:i/>
          <w:i/>
          <w:sz w:val="21"/>
        </w:rPr>
      </w:pPr>
      <w:r>
        <w:rPr>
          <w:b/>
          <w:i/>
          <w:sz w:val="21"/>
          <w:u w:val="single"/>
        </w:rPr>
        <w:t>Heating Oil End-Users</w:t>
      </w:r>
    </w:p>
    <w:p>
      <w:pPr>
        <w:pStyle w:val="Normal"/>
        <w:jc w:val="both"/>
        <w:rPr>
          <w:sz w:val="21"/>
        </w:rPr>
      </w:pPr>
      <w:r>
        <w:rPr>
          <w:sz w:val="21"/>
        </w:rPr>
        <w:tab/>
        <w:t>We still prefer to wait here.  We continue to believe that there is a good chance that prices could drop heavily before March.</w:t>
      </w:r>
    </w:p>
    <w:p>
      <w:pPr>
        <w:pStyle w:val="Normal"/>
        <w:jc w:val="both"/>
        <w:rPr>
          <w:sz w:val="21"/>
        </w:rPr>
      </w:pPr>
      <w:r>
        <w:rPr>
          <w:sz w:val="21"/>
        </w:rPr>
      </w:r>
    </w:p>
    <w:p>
      <w:pPr>
        <w:pStyle w:val="Normal"/>
        <w:jc w:val="both"/>
        <w:rPr>
          <w:sz w:val="21"/>
        </w:rPr>
      </w:pPr>
      <w:r>
        <w:rPr>
          <w:b/>
          <w:i/>
          <w:sz w:val="21"/>
          <w:u w:val="single"/>
        </w:rPr>
        <w:t>Diesel &amp; Gasoline Marketers</w:t>
      </w:r>
    </w:p>
    <w:p>
      <w:pPr>
        <w:pStyle w:val="Normal"/>
        <w:jc w:val="both"/>
        <w:rPr>
          <w:sz w:val="21"/>
        </w:rPr>
      </w:pPr>
      <w:r>
        <w:rPr>
          <w:sz w:val="21"/>
        </w:rPr>
        <w:tab/>
        <w:t xml:space="preserve">The real test will come if we do break $22.  That could end the movement higher.    </w:t>
      </w:r>
    </w:p>
    <w:p>
      <w:pPr>
        <w:pStyle w:val="Normal"/>
        <w:jc w:val="both"/>
        <w:rPr>
          <w:sz w:val="21"/>
        </w:rPr>
      </w:pPr>
      <w:r>
        <w:rPr>
          <w:sz w:val="21"/>
        </w:rPr>
        <w:t xml:space="preserve">  </w:t>
      </w:r>
    </w:p>
    <w:p>
      <w:pPr>
        <w:pStyle w:val="Normal"/>
        <w:jc w:val="both"/>
        <w:rPr>
          <w:i/>
          <w:i/>
          <w:sz w:val="21"/>
        </w:rPr>
      </w:pPr>
      <w:r>
        <w:rPr>
          <w:b/>
          <w:i/>
          <w:sz w:val="21"/>
          <w:u w:val="single"/>
        </w:rPr>
        <w:t>Gasoline Blenders &amp; End-Users</w:t>
      </w:r>
    </w:p>
    <w:p>
      <w:pPr>
        <w:pStyle w:val="BodyText"/>
        <w:tabs>
          <w:tab w:val="clear" w:pos="0"/>
          <w:tab w:val="clear" w:pos="3960"/>
        </w:tabs>
        <w:rPr/>
      </w:pPr>
      <w:r>
        <w:rPr/>
        <w:tab/>
        <w:t>We still feel that we have a lot of activity between now and early March.  We would still hold off for now.</w:t>
      </w:r>
    </w:p>
    <w:p>
      <w:pPr>
        <w:pStyle w:val="BodyText"/>
        <w:tabs>
          <w:tab w:val="clear" w:pos="0"/>
          <w:tab w:val="clear" w:pos="3960"/>
        </w:tabs>
        <w:rPr/>
      </w:pPr>
      <w:r>
        <w:rPr/>
        <w:t xml:space="preserve">  </w:t>
      </w:r>
    </w:p>
    <w:p>
      <w:pPr>
        <w:pStyle w:val="Normal"/>
        <w:jc w:val="both"/>
        <w:rPr>
          <w:b/>
          <w:sz w:val="21"/>
          <w:u w:val="single"/>
        </w:rPr>
      </w:pPr>
      <w:r>
        <w:rPr>
          <w:b/>
          <w:i/>
          <w:sz w:val="21"/>
          <w:u w:val="single"/>
        </w:rPr>
        <w:t>Speculators</w:t>
      </w:r>
    </w:p>
    <w:p>
      <w:pPr>
        <w:pStyle w:val="Normal"/>
        <w:jc w:val="both"/>
        <w:rPr>
          <w:sz w:val="21"/>
        </w:rPr>
      </w:pPr>
      <w:r>
        <w:rPr>
          <w:sz w:val="21"/>
        </w:rPr>
        <w:tab/>
        <w:t xml:space="preserve">We are long April heating oil 52 cent puts (with April heat at 54.73) and April gasoline 62 cent puts (when April gasoline was at 64.83).  We bought some April 50 heat puts (with April heat at 53.00) and April 62 gas puts (with it at 63.00). We bought more April 52 heating oil puts (with it at 53.91) and April gasoline 64’s (with it at 66.02). </w:t>
      </w:r>
    </w:p>
    <w:p>
      <w:pPr>
        <w:pStyle w:val="Normal"/>
        <w:jc w:val="both"/>
        <w:rPr>
          <w:sz w:val="21"/>
        </w:rPr>
      </w:pPr>
      <w:r>
        <w:rPr>
          <w:sz w:val="21"/>
        </w:rPr>
        <w:t xml:space="preserve">  </w:t>
      </w:r>
    </w:p>
    <w:p>
      <w:pPr>
        <w:pStyle w:val="Normal"/>
        <w:jc w:val="both"/>
        <w:rPr>
          <w:b/>
          <w:sz w:val="21"/>
        </w:rPr>
      </w:pPr>
      <w:r>
        <w:rPr>
          <w:b/>
          <w:i/>
          <w:sz w:val="21"/>
          <w:u w:val="single"/>
        </w:rPr>
        <w:t>Refiners</w:t>
      </w:r>
    </w:p>
    <w:p>
      <w:pPr>
        <w:pStyle w:val="Normal"/>
        <w:ind w:firstLine="648" w:end="0"/>
        <w:jc w:val="both"/>
        <w:rPr>
          <w:sz w:val="21"/>
        </w:rPr>
      </w:pPr>
      <w:r>
        <w:rPr>
          <w:sz w:val="21"/>
        </w:rPr>
        <w:t xml:space="preserve">We still expect that it will take time before margins strengthen here.  They could drop into March, though, first.  </w:t>
      </w:r>
    </w:p>
    <w:p>
      <w:pPr>
        <w:pStyle w:val="Normal"/>
        <w:ind w:firstLine="648" w:end="0"/>
        <w:jc w:val="both"/>
        <w:rPr>
          <w:sz w:val="21"/>
        </w:rPr>
      </w:pPr>
      <w:r>
        <w:rPr>
          <w:sz w:val="21"/>
        </w:rPr>
        <w:t xml:space="preserve">    </w:t>
      </w:r>
    </w:p>
    <w:p>
      <w:pPr>
        <w:pStyle w:val="Normal"/>
        <w:jc w:val="both"/>
        <w:rPr>
          <w:i/>
          <w:i/>
          <w:sz w:val="21"/>
          <w:u w:val="single"/>
        </w:rPr>
      </w:pPr>
      <w:r>
        <w:rPr>
          <w:b/>
          <w:i/>
          <w:sz w:val="21"/>
          <w:u w:val="single"/>
        </w:rPr>
        <w:t>Producers</w:t>
      </w:r>
    </w:p>
    <w:p>
      <w:pPr>
        <w:pStyle w:val="BodyText"/>
        <w:tabs>
          <w:tab w:val="clear" w:pos="0"/>
          <w:tab w:val="clear" w:pos="3960"/>
        </w:tabs>
        <w:rPr/>
      </w:pPr>
      <w:r>
        <w:rPr/>
        <w:tab/>
        <w:t xml:space="preserve">We still like selling into strength in this market, if and as we get it.  We feel that there is still downside potential over the remainder of February.  </w:t>
      </w:r>
    </w:p>
    <w:p>
      <w:pPr>
        <w:pStyle w:val="BodyText"/>
        <w:tabs>
          <w:tab w:val="clear" w:pos="0"/>
          <w:tab w:val="clear" w:pos="3960"/>
        </w:tabs>
        <w:rPr/>
      </w:pPr>
      <w:r>
        <w:rPr/>
      </w:r>
    </w:p>
    <w:p>
      <w:pPr>
        <w:pStyle w:val="BodyText"/>
        <w:tabs>
          <w:tab w:val="clear" w:pos="0"/>
          <w:tab w:val="clear" w:pos="3960"/>
        </w:tabs>
        <w:rPr>
          <w:b/>
          <w:bCs/>
          <w:i/>
          <w:i/>
          <w:iCs/>
          <w:u w:val="single"/>
        </w:rPr>
      </w:pPr>
      <w:r>
        <w:rPr>
          <w:b/>
          <w:bCs/>
          <w:i/>
          <w:iCs/>
          <w:u w:val="single"/>
        </w:rPr>
        <w:t>Trading Funds</w:t>
      </w:r>
    </w:p>
    <w:p>
      <w:pPr>
        <w:pStyle w:val="BodyText"/>
        <w:tabs>
          <w:tab w:val="clear" w:pos="0"/>
          <w:tab w:val="clear" w:pos="3960"/>
        </w:tabs>
        <w:jc w:val="start"/>
        <w:rPr/>
      </w:pPr>
      <w:r>
        <w:rPr/>
        <w:tab/>
      </w:r>
      <w:r>
        <w:rPr>
          <w:u w:val="single"/>
        </w:rPr>
        <w:t>Shimoda oil futures fund</w:t>
        <w:br/>
      </w:r>
      <w:r>
        <w:rPr/>
        <w:t>The fund is currently 90% short in WTI futures contracts.</w:t>
      </w:r>
    </w:p>
    <w:p>
      <w:pPr>
        <w:pStyle w:val="BodyText"/>
        <w:tabs>
          <w:tab w:val="clear" w:pos="0"/>
          <w:tab w:val="clear" w:pos="3960"/>
        </w:tabs>
        <w:jc w:val="start"/>
        <w:rPr/>
      </w:pPr>
      <w:r>
        <w:rPr/>
      </w:r>
    </w:p>
    <w:p>
      <w:pPr>
        <w:pStyle w:val="BodyText"/>
        <w:tabs>
          <w:tab w:val="clear" w:pos="0"/>
          <w:tab w:val="clear" w:pos="3960"/>
        </w:tabs>
        <w:jc w:val="start"/>
        <w:rPr>
          <w:i/>
          <w:i/>
          <w:iCs/>
        </w:rPr>
      </w:pPr>
      <w:r>
        <w:rPr>
          <w:i/>
          <w:iCs/>
        </w:rPr>
      </w:r>
    </w:p>
    <w:p>
      <w:pPr>
        <w:pStyle w:val="BodyText"/>
        <w:tabs>
          <w:tab w:val="clear" w:pos="0"/>
          <w:tab w:val="clear" w:pos="3960"/>
        </w:tabs>
        <w:jc w:val="start"/>
        <w:rPr>
          <w:i/>
          <w:i/>
          <w:iCs/>
        </w:rPr>
      </w:pPr>
      <w:r>
        <w:rPr>
          <w:i/>
          <w:iCs/>
        </w:rPr>
        <w:t>We could see the locals go after buy-stops above $22.  If they get them, we see little reason beyond that level for prices to advance.</w:t>
      </w:r>
    </w:p>
    <w:p>
      <w:pPr>
        <w:pStyle w:val="BodyText"/>
        <w:tabs>
          <w:tab w:val="clear" w:pos="0"/>
          <w:tab w:val="clear" w:pos="3960"/>
        </w:tabs>
        <w:ind w:firstLine="648" w:end="0"/>
        <w:rPr>
          <w:i/>
          <w:i/>
          <w:iCs/>
        </w:rPr>
      </w:pPr>
      <w:r>
        <w:rPr>
          <w:i/>
          <w:iCs/>
        </w:rPr>
      </w:r>
    </w:p>
    <w:p>
      <w:pPr>
        <w:pStyle w:val="BodyText"/>
        <w:tabs>
          <w:tab w:val="clear" w:pos="0"/>
          <w:tab w:val="clear" w:pos="3960"/>
        </w:tabs>
        <w:ind w:firstLine="648" w:end="0"/>
        <w:rPr/>
      </w:pPr>
      <w:r>
        <w:rPr/>
      </w:r>
    </w:p>
    <w:p>
      <w:pPr>
        <w:pStyle w:val="BodyText"/>
        <w:tabs>
          <w:tab w:val="clear" w:pos="0"/>
          <w:tab w:val="clear" w:pos="3960"/>
        </w:tabs>
        <w:ind w:firstLine="648" w:end="0"/>
        <w:rPr/>
      </w:pPr>
      <w:r>
        <w:rPr/>
      </w:r>
    </w:p>
    <w:sectPr>
      <w:headerReference w:type="default" r:id="rId2"/>
      <w:headerReference w:type="first" r:id="rId3"/>
      <w:footerReference w:type="default" r:id="rId4"/>
      <w:footerReference w:type="first" r:id="rId5"/>
      <w:type w:val="nextPage"/>
      <w:pgSz w:w="12240" w:h="15840"/>
      <w:pgMar w:left="1008" w:right="1008" w:gutter="0" w:header="720" w:top="1440" w:footer="576" w:bottom="129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 w:name="Goudy Old Style ATT">
    <w:charset w:val="00" w:characterSet="windows-1252"/>
    <w:family w:val="roman"/>
    <w:pitch w:val="variable"/>
  </w:font>
  <w:font w:name="Helvetica">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i/>
        <w:i/>
      </w:rPr>
    </w:pPr>
    <w:r>
      <w:rPr>
        <w:i/>
      </w:rPr>
      <w:t>Telephone (203) 801-0771          Toll-Free (800) 236-6147          Facsimile (203) 801-0773</w:t>
    </w:r>
  </w:p>
  <w:p>
    <w:pPr>
      <w:pStyle w:val="Footer"/>
      <w:jc w:val="center"/>
      <w:rPr>
        <w:i/>
        <w:i/>
      </w:rPr>
    </w:pPr>
    <w:r>
      <w:rPr>
        <w:i/>
      </w:rPr>
      <w:t>e-mail cameronhanover@aol.com</w:t>
    </w:r>
  </w:p>
  <w:p>
    <w:pPr>
      <w:pStyle w:val="Footer"/>
      <w:jc w:val="center"/>
      <w:rPr>
        <w:i/>
        <w:i/>
      </w:rPr>
    </w:pPr>
    <w:r>
      <w:rPr>
        <w:i/>
      </w:rPr>
    </w:r>
  </w:p>
  <w:p>
    <w:pPr>
      <w:pStyle w:val="Footer"/>
      <w:jc w:val="center"/>
      <w:rPr>
        <w:i/>
        <w:i/>
      </w:rPr>
    </w:pPr>
    <w:r>
      <w:rPr>
        <w:i/>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0"/>
        <w:left w:val="single" w:sz="6" w:space="1" w:color="000000"/>
        <w:bottom w:val="single" w:sz="6" w:space="1" w:color="000000"/>
        <w:right w:val="single" w:sz="6" w:space="1" w:color="000000"/>
      </w:pBdr>
      <w:tabs>
        <w:tab w:val="clear" w:pos="4320"/>
        <w:tab w:val="clear" w:pos="8640"/>
        <w:tab w:val="center" w:pos="720" w:leader="none"/>
      </w:tabs>
      <w:jc w:val="both"/>
      <w:rPr>
        <w:sz w:val="16"/>
      </w:rPr>
    </w:pPr>
    <w:r>
      <w:rPr>
        <w:sz w:val="14"/>
      </w:rPr>
      <w:t xml:space="preserve">Views set forth herein are solely the opinions of the authors.  The information presented, while from sources generally believed to be reliable, is not guaranteed and may not be complete.  Cameron Hanover, Inc. makes no representations or warranties regarding the correctness of any opinions or information.  Past results are not necessarily indicative of future results.  Copyright Cameron Hanover, 2001.   All rights reserved.                                                                                                         </w:t>
    </w:r>
  </w:p>
  <w:p>
    <w:pPr>
      <w:pStyle w:val="Footer"/>
      <w:jc w:val="center"/>
      <w:rPr/>
    </w:pPr>
    <w:r>
      <w:rPr>
        <w:rFonts w:eastAsia="Helvetica" w:cs="Helvetica" w:ascii="Helvetica" w:hAnsi="Helvetica"/>
        <w:i/>
        <w:sz w:val="16"/>
      </w:rPr>
      <w:t xml:space="preserve"> </w:t>
    </w:r>
    <w:r>
      <w:rPr>
        <w:rFonts w:cs="Helvetica" w:ascii="Helvetica" w:hAnsi="Helvetica"/>
        <w:i/>
        <w:sz w:val="16"/>
      </w:rPr>
      <w:t xml:space="preserve">Phone: (203) 801-0771                             </w:t>
    </w:r>
    <w:r>
      <w:rPr>
        <w:rFonts w:cs="Helvetica" w:ascii="Helvetica" w:hAnsi="Helvetica"/>
        <w:sz w:val="16"/>
      </w:rPr>
      <w:t xml:space="preserve"> </w:t>
    </w:r>
    <w:r>
      <w:rPr>
        <w:rFonts w:cs="Helvetica" w:ascii="Helvetica" w:hAnsi="Helvetica"/>
        <w:b/>
        <w:sz w:val="18"/>
      </w:rPr>
      <w:t>Cameron Hanover, Inc</w:t>
    </w:r>
    <w:r>
      <w:rPr>
        <w:rFonts w:cs="Helvetica" w:ascii="Helvetica" w:hAnsi="Helvetica"/>
        <w:b/>
        <w:i/>
        <w:sz w:val="18"/>
      </w:rPr>
      <w:t xml:space="preserve">.                              </w:t>
    </w:r>
    <w:r>
      <w:rPr>
        <w:rFonts w:cs="Helvetica" w:ascii="Helvetica" w:hAnsi="Helvetica"/>
        <w:i/>
        <w:sz w:val="16"/>
      </w:rPr>
      <w:t>Facsimile: (203) 801-0773</w:t>
    </w:r>
  </w:p>
  <w:p>
    <w:pPr>
      <w:pStyle w:val="Footer"/>
      <w:jc w:val="center"/>
      <w:rPr>
        <w:rFonts w:ascii="Helvetica" w:hAnsi="Helvetica" w:cs="Helvetica"/>
        <w:i/>
        <w:i/>
        <w:sz w:val="16"/>
      </w:rPr>
    </w:pPr>
    <w:r>
      <w:rPr>
        <w:rFonts w:cs="Helvetica" w:ascii="Helvetica" w:hAnsi="Helvetica"/>
        <w:i/>
        <w:sz w:val="16"/>
      </w:rPr>
    </w:r>
  </w:p>
  <w:p>
    <w:pPr>
      <w:pStyle w:val="Footer"/>
      <w:jc w:val="center"/>
      <w:rPr>
        <w:rFonts w:ascii="Helvetica" w:hAnsi="Helvetica" w:cs="Helvetica"/>
        <w:i/>
        <w:i/>
        <w:sz w:val="16"/>
      </w:rPr>
    </w:pPr>
    <w:r>
      <w:rPr>
        <w:rFonts w:cs="Helvetica" w:ascii="Helvetica" w:hAnsi="Helvetica"/>
        <w:i/>
        <w:sz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smallCaps/>
        <w:position w:val="-12"/>
        <w:sz w:val="48"/>
      </w:rPr>
    </w:pPr>
    <w:r>
      <w:rPr>
        <w:b/>
        <w:smallCaps/>
        <w:position w:val="-4"/>
        <w:sz w:val="32"/>
      </w:rPr>
      <w:t>C</w:t>
    </w:r>
    <w:r>
      <w:rPr>
        <w:smallCaps/>
        <w:sz w:val="28"/>
        <w:u w:val="single"/>
      </w:rPr>
      <w:t>ameron hanove</w:t>
    </w:r>
    <w:r>
      <w:rPr>
        <w:smallCaps/>
        <w:position w:val="-4"/>
        <w:sz w:val="32"/>
      </w:rPr>
      <w:t>R</w:t>
    </w:r>
    <w:r>
      <mc:AlternateContent>
        <mc:Choice Requires="wps">
          <w:drawing>
            <wp:anchor behindDoc="0" distT="0" distB="0" distL="0" distR="0" simplePos="0" locked="0" layoutInCell="0" allowOverlap="1" relativeHeight="11">
              <wp:simplePos x="0" y="0"/>
              <wp:positionH relativeFrom="margin">
                <wp:align>right</wp:align>
              </wp:positionH>
              <wp:positionV relativeFrom="paragraph">
                <wp:posOffset>635</wp:posOffset>
              </wp:positionV>
              <wp:extent cx="64135" cy="146685"/>
              <wp:effectExtent l="0" t="0" r="0" b="0"/>
              <wp:wrapSquare wrapText="bothSides"/>
              <wp:docPr id="7" name="Frame7"/>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506.15pt;mso-position-horizontal:right;mso-position-horizontal-relative:margin">
              <v:fill opacity="0f"/>
              <v:textbox inset="0in,0in,0in,0in">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v:textbox>
              <w10:wrap type="square"/>
            </v:rect>
          </w:pict>
        </mc:Fallback>
      </mc:AlternateContent>
    </w:r>
  </w:p>
  <w:p>
    <w:pPr>
      <w:pStyle w:val="Header"/>
      <w:jc w:val="center"/>
      <w:rPr>
        <w:b/>
        <w:i/>
        <w:i/>
        <w:sz w:val="24"/>
      </w:rPr>
    </w:pPr>
    <w:r>
      <w:rPr>
        <w:b/>
        <w:sz w:val="24"/>
      </w:rPr>
      <w:t>Daily Energy Hedger</w:t>
    </w:r>
  </w:p>
  <w:p>
    <w:pPr>
      <w:pStyle w:val="Header"/>
      <w:jc w:val="center"/>
      <w:rPr>
        <w:sz w:val="18"/>
      </w:rPr>
    </w:pPr>
    <w:r>
      <w:rPr>
        <w:sz w:val="18"/>
      </w:rPr>
      <w:fldChar w:fldCharType="begin"/>
    </w:r>
    <w:r>
      <w:rPr>
        <w:sz w:val="18"/>
      </w:rPr>
      <w:instrText xml:space="preserve"> DATE \@"dddd', 'MMMM\ dd', 'yyyy" </w:instrText>
    </w:r>
    <w:r>
      <w:rPr>
        <w:sz w:val="18"/>
      </w:rPr>
      <w:fldChar w:fldCharType="separate"/>
    </w:r>
    <w:r>
      <w:rPr>
        <w:sz w:val="18"/>
      </w:rPr>
      <w:t>Sunday, September 28, 2025</w:t>
    </w:r>
    <w:r>
      <w:rPr>
        <w:sz w:val="18"/>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b/>
        <w:smallCaps/>
        <w:position w:val="-12"/>
        <w:sz w:val="50"/>
      </w:rPr>
      <w:t>C</w:t>
    </w:r>
    <w:r>
      <w:rPr>
        <w:smallCaps/>
        <w:sz w:val="36"/>
        <w:u w:val="single"/>
      </w:rPr>
      <w:t>ameron hanove</w:t>
    </w:r>
    <w:r>
      <w:rPr>
        <w:smallCaps/>
        <w:position w:val="-12"/>
        <w:sz w:val="48"/>
      </w:rPr>
      <w:t>R</w:t>
    </w:r>
  </w:p>
  <w:p>
    <w:pPr>
      <w:pStyle w:val="Header"/>
      <w:jc w:val="center"/>
      <w:rPr>
        <w:rFonts w:ascii="Goudy Old Style ATT" w:hAnsi="Goudy Old Style ATT" w:cs="Goudy Old Style ATT"/>
        <w:b/>
        <w:smallCaps/>
        <w:sz w:val="54"/>
      </w:rPr>
    </w:pPr>
    <w:r>
      <w:rPr>
        <w:rFonts w:cs="Goudy Old Style ATT" w:ascii="Goudy Old Style ATT" w:hAnsi="Goudy Old Style ATT"/>
        <w:b/>
        <w:smallCaps/>
        <w:sz w:val="54"/>
      </w:rPr>
      <w:t>Daily Energy Hedger</w:t>
    </w:r>
  </w:p>
  <w:p>
    <w:pPr>
      <w:pStyle w:val="Header"/>
      <w:jc w:val="center"/>
      <w:rPr>
        <w:rFonts w:ascii="Goudy Old Style ATT" w:hAnsi="Goudy Old Style ATT" w:cs="Goudy Old Style ATT"/>
        <w:b/>
        <w:smallCaps/>
        <w:sz w:val="22"/>
      </w:rPr>
    </w:pPr>
    <w:r>
      <w:rPr>
        <w:rFonts w:cs="Goudy Old Style ATT" w:ascii="Goudy Old Style ATT" w:hAnsi="Goudy Old Style ATT"/>
        <w:b/>
        <w:smallCaps/>
        <w:sz w:val="22"/>
      </w:rPr>
      <w:fldChar w:fldCharType="begin"/>
    </w:r>
    <w:r>
      <w:rPr>
        <w:smallCaps/>
        <w:sz w:val="22"/>
        <w:b/>
        <w:rFonts w:cs="Goudy Old Style ATT" w:ascii="Goudy Old Style ATT" w:hAnsi="Goudy Old Style ATT"/>
      </w:rPr>
      <w:instrText xml:space="preserve"> DATE \@"dddd', 'MMMM\ dd', 'yyyy" </w:instrText>
    </w:r>
    <w:r>
      <w:rPr>
        <w:smallCaps/>
        <w:sz w:val="22"/>
        <w:b/>
        <w:rFonts w:cs="Goudy Old Style ATT" w:ascii="Goudy Old Style ATT" w:hAnsi="Goudy Old Style ATT"/>
      </w:rPr>
      <w:fldChar w:fldCharType="separate"/>
    </w:r>
    <w:r>
      <w:rPr>
        <w:smallCaps/>
        <w:sz w:val="22"/>
        <w:b/>
        <w:rFonts w:cs="Goudy Old Style ATT" w:ascii="Goudy Old Style ATT" w:hAnsi="Goudy Old Style ATT"/>
      </w:rPr>
      <w:t>Sunday, September 28, 2025</w:t>
    </w:r>
    <w:r>
      <w:rPr>
        <w:smallCaps/>
        <w:sz w:val="22"/>
        <w:b/>
        <w:rFonts w:cs="Goudy Old Style ATT" w:ascii="Goudy Old Style ATT" w:hAnsi="Goudy Old Style ATT"/>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648"/>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both"/>
      <w:outlineLvl w:val="0"/>
    </w:pPr>
    <w:rPr>
      <w:i/>
      <w:sz w:val="21"/>
      <w:u w:val="single"/>
    </w:rPr>
  </w:style>
  <w:style w:type="paragraph" w:styleId="Heading2">
    <w:name w:val="heading 2"/>
    <w:basedOn w:val="Normal"/>
    <w:next w:val="Normal"/>
    <w:qFormat/>
    <w:pPr>
      <w:keepNext w:val="true"/>
      <w:numPr>
        <w:ilvl w:val="1"/>
        <w:numId w:val="1"/>
      </w:numPr>
      <w:pBdr>
        <w:top w:val="single" w:sz="6" w:space="1" w:color="000000" w:shadow="1"/>
        <w:left w:val="single" w:sz="6" w:space="1" w:color="000000" w:shadow="1"/>
        <w:bottom w:val="single" w:sz="6" w:space="1" w:color="000000" w:shadow="1"/>
        <w:right w:val="single" w:sz="6" w:space="1" w:color="000000" w:shadow="1"/>
      </w:pBdr>
      <w:jc w:val="center"/>
      <w:outlineLvl w:val="1"/>
    </w:pPr>
    <w:rPr>
      <w:b/>
    </w:rPr>
  </w:style>
  <w:style w:type="paragraph" w:styleId="Heading3">
    <w:name w:val="heading 3"/>
    <w:basedOn w:val="Normal"/>
    <w:next w:val="Normal"/>
    <w:qFormat/>
    <w:pPr>
      <w:keepNext w:val="true"/>
      <w:numPr>
        <w:ilvl w:val="2"/>
        <w:numId w:val="1"/>
      </w:numPr>
      <w:ind w:firstLine="648" w:start="0" w:end="0"/>
      <w:jc w:val="both"/>
      <w:outlineLvl w:val="2"/>
    </w:pPr>
    <w:rPr>
      <w:b/>
      <w:bCs/>
      <w:i/>
      <w:iCs/>
      <w:sz w:val="21"/>
      <w:u w:val="single"/>
      <w:effect w:val="blinkBackground"/>
    </w:rPr>
  </w:style>
  <w:style w:type="paragraph" w:styleId="Heading4">
    <w:name w:val="heading 4"/>
    <w:basedOn w:val="Normal"/>
    <w:next w:val="Normal"/>
    <w:qFormat/>
    <w:pPr>
      <w:keepNext w:val="true"/>
      <w:numPr>
        <w:ilvl w:val="3"/>
        <w:numId w:val="1"/>
      </w:numPr>
      <w:jc w:val="both"/>
      <w:outlineLvl w:val="3"/>
    </w:pPr>
    <w:rPr>
      <w:b/>
      <w:i/>
      <w:sz w:val="21"/>
      <w:u w:val="single"/>
    </w:rPr>
  </w:style>
  <w:style w:type="paragraph" w:styleId="Heading5">
    <w:name w:val="heading 5"/>
    <w:basedOn w:val="Normal"/>
    <w:next w:val="Normal"/>
    <w:qFormat/>
    <w:pPr>
      <w:keepNext w:val="true"/>
      <w:numPr>
        <w:ilvl w:val="4"/>
        <w:numId w:val="1"/>
      </w:numPr>
      <w:jc w:val="both"/>
      <w:outlineLvl w:val="4"/>
    </w:pPr>
    <w:rPr>
      <w:b/>
      <w:i/>
      <w:sz w:val="24"/>
      <w:u w:val="single"/>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WW8Dropcap0">
    <w:name w:val="WW8Dropcap0"/>
    <w:qFormat/>
    <w:rPr>
      <w:sz w:val="62"/>
    </w:rPr>
  </w:style>
  <w:style w:type="paragraph" w:styleId="Heading">
    <w:name w:val="Heading"/>
    <w:basedOn w:val="Normal"/>
    <w:next w:val="BodyText"/>
    <w:qFormat/>
    <w:pPr>
      <w:pBdr>
        <w:top w:val="double" w:sz="6" w:space="1" w:color="000000"/>
        <w:left w:val="double" w:sz="6" w:space="1" w:color="000000"/>
        <w:bottom w:val="double" w:sz="6" w:space="1" w:color="000000"/>
        <w:right w:val="double" w:sz="6" w:space="1" w:color="000000"/>
      </w:pBdr>
      <w:tabs>
        <w:tab w:val="clear" w:pos="648"/>
        <w:tab w:val="left" w:pos="6300" w:leader="none"/>
      </w:tabs>
      <w:jc w:val="center"/>
    </w:pPr>
    <w:rPr>
      <w:b/>
      <w:sz w:val="24"/>
    </w:rPr>
  </w:style>
  <w:style w:type="paragraph" w:styleId="BodyText">
    <w:name w:val="Body Text"/>
    <w:basedOn w:val="Normal"/>
    <w:pPr>
      <w:tabs>
        <w:tab w:val="clear" w:pos="648"/>
        <w:tab w:val="right" w:pos="0" w:leader="none"/>
        <w:tab w:val="right" w:pos="3960" w:leader="none"/>
      </w:tabs>
      <w:jc w:val="both"/>
    </w:pPr>
    <w:rPr>
      <w:sz w:val="21"/>
    </w:rPr>
  </w:style>
  <w:style w:type="paragraph" w:styleId="List">
    <w:name w:val="List"/>
    <w:basedOn w:val="BodyText"/>
    <w:pPr/>
    <w:rPr>
      <w:rFonts w:cs="NotoSans NF"/>
    </w:rPr>
  </w:style>
  <w:style w:type="paragraph" w:styleId="Caption">
    <w:name w:val="caption"/>
    <w:basedOn w:val="Normal"/>
    <w:next w:val="Normal"/>
    <w:qFormat/>
    <w:pPr>
      <w:jc w:val="both"/>
    </w:pPr>
    <w:rPr>
      <w:b/>
      <w:sz w:val="21"/>
      <w:u w:val="single"/>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648"/>
        <w:tab w:val="center" w:pos="4986" w:leader="none"/>
        <w:tab w:val="right" w:pos="9972" w:leader="none"/>
      </w:tabs>
    </w:pPr>
    <w:rPr/>
  </w:style>
  <w:style w:type="paragraph" w:styleId="Footer">
    <w:name w:val="footer"/>
    <w:basedOn w:val="Normal"/>
    <w:pPr>
      <w:tabs>
        <w:tab w:val="clear" w:pos="648"/>
        <w:tab w:val="center" w:pos="4320" w:leader="none"/>
        <w:tab w:val="right" w:pos="8640" w:leader="none"/>
      </w:tabs>
    </w:pPr>
    <w:rPr/>
  </w:style>
  <w:style w:type="paragraph" w:styleId="Header">
    <w:name w:val="header"/>
    <w:basedOn w:val="Normal"/>
    <w:pPr>
      <w:tabs>
        <w:tab w:val="clear" w:pos="648"/>
        <w:tab w:val="center" w:pos="4320" w:leader="none"/>
        <w:tab w:val="right" w:pos="8640" w:leader="none"/>
      </w:tabs>
    </w:pPr>
    <w:rPr/>
  </w:style>
  <w:style w:type="paragraph" w:styleId="CommentText">
    <w:name w:val="Comment Text"/>
    <w:basedOn w:val="Normal"/>
    <w:qFormat/>
    <w:pPr/>
    <w:rPr/>
  </w:style>
  <w:style w:type="paragraph" w:styleId="BodyTextIndent">
    <w:name w:val="Body Text Indent"/>
    <w:basedOn w:val="Normal"/>
    <w:pPr>
      <w:ind w:firstLine="648" w:start="0" w:end="0"/>
      <w:jc w:val="both"/>
    </w:pPr>
    <w:rPr>
      <w:sz w:val="21"/>
    </w:rPr>
  </w:style>
  <w:style w:type="paragraph" w:styleId="BodyText2">
    <w:name w:val="Body Text 2"/>
    <w:basedOn w:val="Normal"/>
    <w:qFormat/>
    <w:pPr>
      <w:pBdr>
        <w:top w:val="single" w:sz="18" w:space="1" w:color="000000" w:shadow="1"/>
        <w:left w:val="single" w:sz="18" w:space="1" w:color="000000" w:shadow="1"/>
        <w:bottom w:val="single" w:sz="18" w:space="1" w:color="000000" w:shadow="1"/>
        <w:right w:val="single" w:sz="18" w:space="1" w:color="000000" w:shadow="1"/>
      </w:pBdr>
    </w:pPr>
    <w:rPr>
      <w:i/>
      <w:iCs/>
    </w:rPr>
  </w:style>
  <w:style w:type="paragraph" w:styleId="BodyText3">
    <w:name w:val="Body Text 3"/>
    <w:basedOn w:val="Normal"/>
    <w:qFormat/>
    <w:pPr>
      <w:jc w:val="both"/>
    </w:pPr>
    <w:rPr>
      <w:i/>
      <w:iCs/>
      <w:sz w:val="21"/>
    </w:rPr>
  </w:style>
  <w:style w:type="paragraph" w:styleId="DocumentMap">
    <w:name w:val="Document Map"/>
    <w:basedOn w:val="Normal"/>
    <w:qFormat/>
    <w:pPr>
      <w:shd w:fill="000080" w:val="clear"/>
    </w:pPr>
    <w:rPr>
      <w:rFonts w:ascii="Tahoma" w:hAnsi="Tahoma" w:cs="Tahoma"/>
    </w:rPr>
  </w:style>
  <w:style w:type="paragraph" w:styleId="BodyTextIndent2">
    <w:name w:val="Body Text Indent 2"/>
    <w:basedOn w:val="Normal"/>
    <w:qFormat/>
    <w:pPr>
      <w:ind w:firstLine="648" w:start="0" w:end="0"/>
    </w:pPr>
    <w:rPr>
      <w:sz w:val="22"/>
    </w:rPr>
  </w:style>
  <w:style w:type="paragraph" w:styleId="BodyTextIndent3">
    <w:name w:val="Body Text Indent 3"/>
    <w:basedOn w:val="Normal"/>
    <w:qFormat/>
    <w:pPr>
      <w:ind w:firstLine="648" w:start="0" w:end="0"/>
      <w:jc w:val="both"/>
    </w:pPr>
    <w:rPr>
      <w:i/>
      <w:iCs/>
      <w:sz w:val="21"/>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2002-02-14T12:15:00Z</dcterms:created>
  <dc:creator>Heating oil customer</dc:creator>
  <dc:description/>
  <dc:language>en-CA</dc:language>
  <cp:lastModifiedBy>ClientOne WorkStation Platinum 1.3.2203</cp:lastModifiedBy>
  <cp:lastPrinted>2002-02-14T09:33:00Z</cp:lastPrinted>
  <dcterms:modified xsi:type="dcterms:W3CDTF">2002-02-14T12:15:00Z</dcterms:modified>
  <cp:revision>2</cp:revision>
  <dc:subject/>
  <dc:title>HEATING OIL</dc:title>
</cp:coreProperties>
</file>