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8/08/01 Draft: For Direct Access Coalition members only</w:t>
      </w:r>
    </w:p>
    <w:p>
      <w:pPr>
        <w:pStyle w:val="Normal"/>
        <w:rPr>
          <w:b/>
          <w:bCs/>
        </w:rPr>
      </w:pPr>
      <w:r>
        <w:rPr>
          <w:b/>
          <w:bCs/>
        </w:rPr>
      </w:r>
    </w:p>
    <w:p>
      <w:pPr>
        <w:pStyle w:val="Normal"/>
        <w:rPr/>
      </w:pPr>
      <w:r>
        <w:rPr/>
        <w:t>Dear (Treasurer Angelides, Governor Davis, PUC Chair Lynch):</w:t>
      </w:r>
    </w:p>
    <w:p>
      <w:pPr>
        <w:pStyle w:val="Normal"/>
        <w:rPr/>
      </w:pPr>
      <w:r>
        <w:rPr/>
      </w:r>
    </w:p>
    <w:p>
      <w:pPr>
        <w:pStyle w:val="Normal"/>
        <w:rPr/>
      </w:pPr>
      <w:r>
        <w:rPr/>
        <w:t xml:space="preserve">We, the undersigned, are writing to urge you to refrain from supporting the suspension of retail choice in California as the California Public Utilities Commission is slated to do on August 23rd.  Retail choice, or “direct access,” forms the foundation of competition in a restructured energy marketplace.  We believe that other, more far-thinking choices are available that can both protect the state’s forthcoming bond sale and leave direct access intact as an indispensable cost-controlling tool for large and small energy end-users alike.  In fact, direct access can be viewed as a cost-controlling tool for the state as well because it can serve to limit the state’s spot market purchases.  </w:t>
      </w:r>
    </w:p>
    <w:p>
      <w:pPr>
        <w:pStyle w:val="Normal"/>
        <w:rPr/>
      </w:pPr>
      <w:r>
        <w:rPr/>
      </w:r>
    </w:p>
    <w:p>
      <w:pPr>
        <w:pStyle w:val="Normal"/>
        <w:rPr/>
      </w:pPr>
      <w:r>
        <w:rPr/>
        <w:t>We are gravely concerned that without direct access available in the future, California’s business community will find itself battling uncontrollable energy costs that inevitably will be passed on to customers.  We are troubled by the number of companies that may be forced to relocate outside California to stay in business.  And we are troubled by the decline in the renewable energy markets that suspension of direct access will directly cause.</w:t>
      </w:r>
    </w:p>
    <w:p>
      <w:pPr>
        <w:pStyle w:val="Normal"/>
        <w:rPr/>
      </w:pPr>
      <w:r>
        <w:rPr/>
      </w:r>
    </w:p>
    <w:p>
      <w:pPr>
        <w:pStyle w:val="Normal"/>
        <w:rPr/>
      </w:pPr>
      <w:r>
        <w:rPr/>
        <w:t>We understand that the retention of direct access cannot be achieved without cost to the members of our organizations.  Therefore, our organizations are willing to support the implementation of a non-bypassable charge earmarked to repay the state General Fund for Department of Water Resources (DWR) energy purchases.  Our organizations are willing to support a dedicated rate stream to pay off the bonds.  Our organizations are willing to pay for the uneconomic portion of existing DWR long-term contracts.</w:t>
      </w:r>
    </w:p>
    <w:p>
      <w:pPr>
        <w:pStyle w:val="Normal"/>
        <w:rPr/>
      </w:pPr>
      <w:r>
        <w:rPr/>
      </w:r>
    </w:p>
    <w:p>
      <w:pPr>
        <w:pStyle w:val="Normal"/>
        <w:rPr/>
      </w:pPr>
      <w:r>
        <w:rPr/>
        <w:t>In return we request that direct access be preserved going forward and that its existence is not precluded by any bond covenant language drafted for the upcoming bond sales.  We remain willing to collaborate with you on any and all necessary legislative and regulatory actions that can achieve these objectives.</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Cc: (Titles will be added later: Burton, Hertzberg, Keeley, Bowen, PUC Commissioners—others?)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2001-08-08T18:59:00Z</dcterms:created>
  <dc:creator>tfairchi</dc:creator>
  <dc:description/>
  <dc:language>en-CA</dc:language>
  <cp:lastModifiedBy>tfairchi</cp:lastModifiedBy>
  <dcterms:modified xsi:type="dcterms:W3CDTF">2001-08-08T20:07:00Z</dcterms:modified>
  <cp:revision>1</cp:revision>
  <dc:subject/>
  <dc:title>8/08/01 Draft: For Direct Access Coalition members only</dc:title>
</cp:coreProperties>
</file>