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DABHOL LNG CONTRACTS  1/12/01</w:t>
      </w:r>
    </w:p>
    <w:p>
      <w:pPr>
        <w:pStyle w:val="Normal"/>
        <w:jc w:val="center"/>
        <w:rPr>
          <w:sz w:val="32"/>
        </w:rPr>
      </w:pPr>
      <w:r>
        <w:rPr>
          <w:sz w:val="32"/>
        </w:rPr>
      </w:r>
    </w:p>
    <w:p>
      <w:pPr>
        <w:pStyle w:val="Normal"/>
        <w:numPr>
          <w:ilvl w:val="0"/>
          <w:numId w:val="1"/>
        </w:numPr>
        <w:rPr>
          <w:sz w:val="32"/>
        </w:rPr>
      </w:pPr>
      <w:r>
        <w:rPr>
          <w:b/>
          <w:bCs/>
          <w:sz w:val="32"/>
        </w:rPr>
        <w:t>Counterparties, term, etc.</w:t>
      </w:r>
      <w:r>
        <w:rPr>
          <w:sz w:val="32"/>
        </w:rPr>
        <w:t xml:space="preserve">  – There are two LNG contracts, each with a term for 20 years starting in 2001/2002.  The LNG suppliers are Oman LNG LLC and Abu Dhabi Gas Liquefaction Company Limited.  Under each contract, the buyer is Dabhol Power Company (“DPC”), the entity owning the Dabhol power plant.  No Enron company is a party to the LNG contracts.</w:t>
      </w:r>
    </w:p>
    <w:p>
      <w:pPr>
        <w:pStyle w:val="Normal"/>
        <w:ind w:start="360" w:end="0"/>
        <w:rPr>
          <w:sz w:val="32"/>
        </w:rPr>
      </w:pPr>
      <w:r>
        <w:rPr>
          <w:sz w:val="32"/>
        </w:rPr>
      </w:r>
    </w:p>
    <w:p>
      <w:pPr>
        <w:pStyle w:val="Normal"/>
        <w:numPr>
          <w:ilvl w:val="0"/>
          <w:numId w:val="1"/>
        </w:numPr>
        <w:rPr>
          <w:sz w:val="32"/>
        </w:rPr>
      </w:pPr>
      <w:r>
        <w:rPr>
          <w:b/>
          <w:bCs/>
          <w:sz w:val="32"/>
        </w:rPr>
        <w:t xml:space="preserve">Credit Support for DPC take-or-pay obligation – </w:t>
      </w:r>
      <w:r>
        <w:rPr>
          <w:sz w:val="32"/>
        </w:rPr>
        <w:t xml:space="preserve">There is no Enron credit support for the obligations of DPC other than Enron’s equity investment in DPC.  The LNG suppliers were provided a “flow through payment structure” whereby they had a super priority in payments made to DPC for power.  </w:t>
      </w:r>
    </w:p>
    <w:p>
      <w:pPr>
        <w:pStyle w:val="Normal"/>
        <w:rPr>
          <w:sz w:val="32"/>
        </w:rPr>
      </w:pPr>
      <w:r>
        <w:rPr>
          <w:sz w:val="32"/>
        </w:rPr>
      </w:r>
    </w:p>
    <w:p>
      <w:pPr>
        <w:pStyle w:val="Normal"/>
        <w:numPr>
          <w:ilvl w:val="0"/>
          <w:numId w:val="1"/>
        </w:numPr>
        <w:rPr>
          <w:sz w:val="32"/>
        </w:rPr>
      </w:pPr>
      <w:r>
        <w:rPr>
          <w:b/>
          <w:bCs/>
          <w:sz w:val="32"/>
        </w:rPr>
        <w:t>Potential claims against Enron Corp.</w:t>
      </w:r>
      <w:r>
        <w:rPr>
          <w:sz w:val="32"/>
        </w:rPr>
        <w:t xml:space="preserve"> – The LNG suppliers could attempt to pierce the veil of DPC and up back to Enron.  Also, GE and Bechtel as shareholders in DPC could file claims against Enron relating to its management of the project.  Based on the known documents and facts, those claims seem to be very difficult.  Anticipatory repudiation claim by the LNG suppliers?  The greater risk seems to be to Enron’s reputation.</w:t>
      </w:r>
    </w:p>
    <w:p>
      <w:pPr>
        <w:pStyle w:val="Normal"/>
        <w:rPr>
          <w:sz w:val="32"/>
        </w:rPr>
      </w:pPr>
      <w:r>
        <w:rPr>
          <w:sz w:val="32"/>
        </w:rPr>
      </w:r>
    </w:p>
    <w:p>
      <w:pPr>
        <w:pStyle w:val="Normal"/>
        <w:numPr>
          <w:ilvl w:val="0"/>
          <w:numId w:val="1"/>
        </w:numPr>
        <w:rPr>
          <w:sz w:val="32"/>
        </w:rPr>
      </w:pPr>
      <w:r>
        <w:rPr>
          <w:b/>
          <w:bCs/>
          <w:sz w:val="32"/>
        </w:rPr>
        <w:t xml:space="preserve">Terminating the LNG Contracts  </w:t>
      </w:r>
      <w:r>
        <w:rPr>
          <w:sz w:val="32"/>
        </w:rPr>
        <w:t xml:space="preserve">-- The LNG contracts can be terminated if the PPA is terminated.  Could we claim force majeure?  Could we expand on our diversion right?  </w:t>
      </w:r>
    </w:p>
    <w:p>
      <w:pPr>
        <w:pStyle w:val="Normal"/>
        <w:rPr>
          <w:sz w:val="32"/>
        </w:rPr>
      </w:pPr>
      <w:r>
        <w:rPr>
          <w:sz w:val="32"/>
        </w:rPr>
        <w:t xml:space="preserve">   </w:t>
      </w:r>
    </w:p>
    <w:p>
      <w:pPr>
        <w:pStyle w:val="Normal"/>
        <w:numPr>
          <w:ilvl w:val="0"/>
          <w:numId w:val="1"/>
        </w:numPr>
        <w:rPr>
          <w:sz w:val="32"/>
        </w:rPr>
      </w:pPr>
      <w:r>
        <w:rPr>
          <w:b/>
          <w:bCs/>
          <w:sz w:val="32"/>
        </w:rPr>
        <w:t xml:space="preserve">Diverting LNG to other markets – </w:t>
      </w:r>
      <w:r>
        <w:rPr>
          <w:sz w:val="32"/>
        </w:rPr>
        <w:t>the LNG can be diverted to other markets for limited periods of time, but pricing may be an issue in other potential markets.</w:t>
      </w:r>
    </w:p>
    <w:p>
      <w:pPr>
        <w:pStyle w:val="Normal"/>
        <w:rPr>
          <w:sz w:val="32"/>
        </w:rPr>
      </w:pPr>
      <w:r>
        <w:rPr>
          <w:b/>
          <w:bCs/>
          <w:sz w:val="32"/>
        </w:rPr>
        <w:t xml:space="preserve"> </w:t>
      </w:r>
    </w:p>
    <w:p>
      <w:pPr>
        <w:pStyle w:val="Normal"/>
        <w:numPr>
          <w:ilvl w:val="0"/>
          <w:numId w:val="1"/>
        </w:numPr>
        <w:rPr>
          <w:sz w:val="32"/>
        </w:rPr>
      </w:pPr>
      <w:r>
        <w:rPr>
          <w:b/>
          <w:bCs/>
          <w:sz w:val="32"/>
        </w:rPr>
        <w:t xml:space="preserve">Additional work – </w:t>
      </w:r>
      <w:r>
        <w:rPr>
          <w:sz w:val="32"/>
        </w:rPr>
        <w:t>(i) continue to review all documents that could have any impact on Enron’s exposure, (ii) interview all participants in the negotiations, (iii) review all ship financing documents including credit support, (iv) review litigation issues with the counsel in each relevant jurisdiction and (v) determine if additional capital calls could be made by lenders to DPC in the event of a default relating to take-or-pay.</w:t>
      </w:r>
      <w:r>
        <w:rPr>
          <w:b/>
          <w:bCs/>
          <w:sz w:val="32"/>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915"/>
        </w:tabs>
        <w:ind w:start="915" w:hanging="55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2001-01-12T22:11:00Z</dcterms:created>
  <dc:creator>mhaedic</dc:creator>
  <dc:description/>
  <dc:language>en-CA</dc:language>
  <cp:lastModifiedBy>mhaedic</cp:lastModifiedBy>
  <cp:lastPrinted>2001-01-12T18:32:00Z</cp:lastPrinted>
  <dcterms:modified xsi:type="dcterms:W3CDTF">2001-01-12T22:11:00Z</dcterms:modified>
  <cp:revision>2</cp:revision>
  <dc:subject/>
  <dc:title>DABHOL LNG CONTRACTS  1/12/01</dc:title>
</cp:coreProperties>
</file>