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rPr>
      </w:pPr>
      <w:r>
        <w:rPr>
          <w:rFonts w:cs="Times New Roman" w:ascii="Times New Roman" w:hAnsi="Times New Roman"/>
        </w:rPr>
        <w:t>STATE OF FLORIDA</w:t>
      </w:r>
    </w:p>
    <w:p>
      <w:pPr>
        <w:pStyle w:val="Normal"/>
        <w:jc w:val="center"/>
        <w:rPr>
          <w:rFonts w:ascii="Times New Roman" w:hAnsi="Times New Roman" w:cs="Times New Roman"/>
        </w:rPr>
      </w:pPr>
      <w:r>
        <w:rPr>
          <w:rFonts w:cs="Times New Roman" w:ascii="Times New Roman" w:hAnsi="Times New Roman"/>
        </w:rPr>
        <w:t>DEPARTMENT OF ADMINISTRATIVE HEARINGS</w:t>
      </w:r>
    </w:p>
    <w:p>
      <w:pPr>
        <w:pStyle w:val="Normal"/>
        <w:rPr>
          <w:rFonts w:ascii="Times New Roman" w:hAnsi="Times New Roman" w:cs="Times New Roman"/>
        </w:rPr>
      </w:pPr>
      <w:r>
        <w:rPr>
          <w:rFonts w:cs="Times New Roman" w:ascii="Times New Roman" w:hAnsi="Times New Roman"/>
        </w:rPr>
      </w:r>
    </w:p>
    <w:tbl>
      <w:tblPr>
        <w:tblW w:w="9216" w:type="dxa"/>
        <w:jc w:val="start"/>
        <w:tblInd w:w="0" w:type="dxa"/>
        <w:tblLayout w:type="fixed"/>
        <w:tblCellMar>
          <w:top w:w="0" w:type="dxa"/>
          <w:start w:w="108" w:type="dxa"/>
          <w:bottom w:w="0" w:type="dxa"/>
          <w:end w:w="108" w:type="dxa"/>
        </w:tblCellMar>
      </w:tblPr>
      <w:tblGrid>
        <w:gridCol w:w="4878"/>
        <w:gridCol w:w="4338"/>
      </w:tblGrid>
      <w:tr>
        <w:trPr/>
        <w:tc>
          <w:tcPr>
            <w:tcW w:w="4878" w:type="dxa"/>
            <w:tcBorders>
              <w:bottom w:val="single" w:sz="6"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CITY OF CORAL SPRINGS, CITY OF MARGATE and CITY OF COCONUT CREEK,</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Petitioners,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v.</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STATE OF FLORIDA DEPARTMENT OF ENVIRONMENTAL PROTECTION,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and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POMPANO BEACH ENERGY CENTER, L.L.C. (AN AFFILIATE OF ENRON NORTH AMERICA),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Respondents.</w:t>
            </w:r>
          </w:p>
          <w:p>
            <w:pPr>
              <w:pStyle w:val="Normal"/>
              <w:rPr>
                <w:rFonts w:ascii="Times New Roman" w:hAnsi="Times New Roman" w:cs="Times New Roman"/>
              </w:rPr>
            </w:pPr>
            <w:r>
              <w:rPr>
                <w:rFonts w:cs="Times New Roman" w:ascii="Times New Roman" w:hAnsi="Times New Roman"/>
              </w:rPr>
            </w:r>
          </w:p>
        </w:tc>
        <w:tc>
          <w:tcPr>
            <w:tcW w:w="4338" w:type="dxa"/>
            <w:tcBorders>
              <w:start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smallCaps/>
              </w:rPr>
            </w:pPr>
            <w:r>
              <w:rPr>
                <w:rFonts w:cs="Times New Roman" w:ascii="Times New Roman" w:hAnsi="Times New Roman"/>
                <w:smallCaps/>
              </w:rPr>
              <w:t>Consolidated</w:t>
            </w:r>
          </w:p>
          <w:p>
            <w:pPr>
              <w:pStyle w:val="Normal"/>
              <w:jc w:val="center"/>
              <w:rPr>
                <w:rFonts w:ascii="Times New Roman" w:hAnsi="Times New Roman" w:cs="Times New Roman"/>
                <w:smallCaps/>
              </w:rPr>
            </w:pPr>
            <w:r>
              <w:rPr>
                <w:rFonts w:cs="Times New Roman" w:ascii="Times New Roman" w:hAnsi="Times New Roman"/>
                <w:smallCaps/>
              </w:rPr>
            </w:r>
          </w:p>
          <w:p>
            <w:pPr>
              <w:pStyle w:val="Normal"/>
              <w:jc w:val="center"/>
              <w:rPr/>
            </w:pPr>
            <w:r>
              <w:rPr>
                <w:rFonts w:cs="Times New Roman" w:ascii="Times New Roman" w:hAnsi="Times New Roman"/>
              </w:rPr>
              <w:t xml:space="preserve">DOAH </w:t>
            </w:r>
            <w:r>
              <w:rPr>
                <w:rFonts w:cs="Times New Roman" w:ascii="Times New Roman" w:hAnsi="Times New Roman"/>
                <w:smallCaps/>
              </w:rPr>
              <w:t>Case Nos.</w:t>
              <w:tab/>
              <w:t>01-2682</w:t>
            </w:r>
          </w:p>
          <w:p>
            <w:pPr>
              <w:pStyle w:val="Normal"/>
              <w:tabs>
                <w:tab w:val="clear" w:pos="2160"/>
                <w:tab w:val="left" w:pos="720" w:leader="none"/>
                <w:tab w:val="left" w:pos="1440" w:leader="none"/>
                <w:tab w:val="left" w:pos="1872" w:leader="none"/>
                <w:tab w:val="left" w:pos="2592" w:leader="none"/>
                <w:tab w:val="left" w:pos="5040" w:leader="none"/>
              </w:tabs>
              <w:jc w:val="center"/>
              <w:rPr>
                <w:rFonts w:ascii="Times New Roman" w:hAnsi="Times New Roman" w:cs="Times New Roman"/>
                <w:smallCaps/>
              </w:rPr>
            </w:pPr>
            <w:r>
              <w:rPr>
                <w:rFonts w:cs="Times New Roman" w:ascii="Times New Roman" w:hAnsi="Times New Roman"/>
                <w:smallCaps/>
              </w:rPr>
              <w:tab/>
              <w:tab/>
              <w:tab/>
              <w:t xml:space="preserve">    01-2683</w:t>
            </w:r>
          </w:p>
          <w:p>
            <w:pPr>
              <w:pStyle w:val="Normal"/>
              <w:tabs>
                <w:tab w:val="left" w:pos="720" w:leader="none"/>
                <w:tab w:val="left" w:pos="1440" w:leader="none"/>
                <w:tab w:val="left" w:pos="2160" w:leader="none"/>
                <w:tab w:val="left" w:pos="2592" w:leader="none"/>
                <w:tab w:val="left" w:pos="5040" w:leader="none"/>
              </w:tabs>
              <w:jc w:val="center"/>
              <w:rPr>
                <w:rFonts w:ascii="Times New Roman" w:hAnsi="Times New Roman" w:cs="Times New Roman"/>
                <w:smallCaps/>
              </w:rPr>
            </w:pPr>
            <w:r>
              <w:rPr>
                <w:rFonts w:cs="Times New Roman" w:ascii="Times New Roman" w:hAnsi="Times New Roman"/>
                <w:smallCaps/>
              </w:rPr>
              <w:tab/>
              <w:tab/>
              <w:tab/>
              <w:t>01-2684</w:t>
            </w:r>
          </w:p>
          <w:p>
            <w:pPr>
              <w:pStyle w:val="Normal"/>
              <w:rPr>
                <w:rFonts w:ascii="Times New Roman" w:hAnsi="Times New Roman" w:cs="Times New Roman"/>
                <w:smallCaps/>
              </w:rPr>
            </w:pPr>
            <w:r>
              <w:rPr>
                <w:rFonts w:cs="Times New Roman" w:ascii="Times New Roman" w:hAnsi="Times New Roman"/>
                <w:smallCaps/>
              </w:rPr>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POMPANO BEACH ENERGY CENTER’S</w:t>
      </w:r>
    </w:p>
    <w:p>
      <w:pPr>
        <w:pStyle w:val="Normal"/>
        <w:jc w:val="center"/>
        <w:rPr>
          <w:rFonts w:ascii="Times New Roman" w:hAnsi="Times New Roman" w:cs="Times New Roman"/>
          <w:b/>
        </w:rPr>
      </w:pPr>
      <w:r>
        <w:rPr>
          <w:rFonts w:cs="Times New Roman" w:ascii="Times New Roman" w:hAnsi="Times New Roman"/>
          <w:b/>
        </w:rPr>
        <w:t>MEMORANDUM IN PARTIAL OPPOSITION</w:t>
      </w:r>
    </w:p>
    <w:p>
      <w:pPr>
        <w:pStyle w:val="Normal"/>
        <w:jc w:val="center"/>
        <w:rPr>
          <w:rFonts w:ascii="Times New Roman" w:hAnsi="Times New Roman" w:cs="Times New Roman"/>
          <w:b/>
        </w:rPr>
      </w:pPr>
      <w:r>
        <w:rPr>
          <w:rFonts w:cs="Times New Roman" w:ascii="Times New Roman" w:hAnsi="Times New Roman"/>
          <w:b/>
        </w:rPr>
        <w:t>TO CITY OF MARGATE’S</w:t>
      </w:r>
    </w:p>
    <w:p>
      <w:pPr>
        <w:pStyle w:val="Normal"/>
        <w:spacing w:lineRule="auto" w:line="480"/>
        <w:jc w:val="center"/>
        <w:rPr>
          <w:rFonts w:ascii="Times New Roman" w:hAnsi="Times New Roman" w:cs="Times New Roman"/>
          <w:b/>
        </w:rPr>
      </w:pPr>
      <w:r>
        <w:rPr>
          <w:rFonts w:cs="Times New Roman" w:ascii="Times New Roman" w:hAnsi="Times New Roman"/>
          <w:b/>
          <w:u w:val="single"/>
        </w:rPr>
        <w:t>MOTIONS FOR EXTENSION OF TIME</w:t>
      </w:r>
    </w:p>
    <w:p>
      <w:pPr>
        <w:pStyle w:val="Double"/>
        <w:spacing w:lineRule="auto" w:line="480"/>
        <w:rPr/>
      </w:pPr>
      <w:r>
        <w:rPr>
          <w:rFonts w:cs="Times New Roman" w:ascii="Times New Roman" w:hAnsi="Times New Roman"/>
        </w:rPr>
        <w:tab/>
        <w:t xml:space="preserve">Respondent, Pompano Beach Energy Center, L.L.C. (“Energy Center”), respectfully submits this response to (a) the City of Margate’s Motion for Extension of Time in Which to File Answers to Pompano Beach Energy Center’s First Set of Interrogatories and (b) the City of Margate’s Motion for Extension of Time in Which to Respond to Pompano Beach Energy Center’s First Request For Production (the “Motions”).  As set forth below, Energy Center believes that a limited extension of Margate’s discovery response date </w:t>
      </w:r>
      <w:r>
        <w:rPr>
          <w:rFonts w:cs="Times New Roman" w:ascii="Times New Roman" w:hAnsi="Times New Roman"/>
          <w:i/>
          <w:iCs/>
        </w:rPr>
        <w:t>until November 5, 2001</w:t>
      </w:r>
      <w:r>
        <w:rPr>
          <w:rFonts w:cs="Times New Roman" w:ascii="Times New Roman" w:hAnsi="Times New Roman"/>
        </w:rPr>
        <w:t xml:space="preserve"> would be appropriate, with the understanding that future discovery from Margate may need to be expedited, and other pretrial deadlines may need to be adjusted to account for the delay in providing the discovery that was timely sought by Energy Center.</w:t>
      </w:r>
    </w:p>
    <w:p>
      <w:pPr>
        <w:pStyle w:val="Double"/>
        <w:spacing w:lineRule="auto" w:line="240"/>
        <w:rPr>
          <w:rFonts w:ascii="Times New Roman" w:hAnsi="Times New Roman" w:cs="Times New Roman"/>
        </w:rPr>
      </w:pPr>
      <w:r>
        <w:rPr>
          <w:rFonts w:cs="Times New Roman" w:ascii="Times New Roman" w:hAnsi="Times New Roman"/>
        </w:rPr>
      </w:r>
    </w:p>
    <w:p>
      <w:pPr>
        <w:pStyle w:val="Double"/>
        <w:spacing w:lineRule="auto" w:line="480"/>
        <w:jc w:val="center"/>
        <w:rPr>
          <w:rFonts w:ascii="Times New Roman" w:hAnsi="Times New Roman" w:cs="Times New Roman"/>
          <w:b/>
          <w:bCs/>
        </w:rPr>
      </w:pPr>
      <w:r>
        <w:rPr>
          <w:rFonts w:cs="Times New Roman" w:ascii="Times New Roman" w:hAnsi="Times New Roman"/>
          <w:b/>
          <w:bCs/>
        </w:rPr>
        <w:t>Margate’s Newly Asserted Grounds for the Extensions</w:t>
      </w:r>
    </w:p>
    <w:p>
      <w:pPr>
        <w:pStyle w:val="Double"/>
        <w:spacing w:lineRule="auto" w:line="480"/>
        <w:rPr/>
      </w:pPr>
      <w:r>
        <w:rPr>
          <w:rFonts w:cs="Times New Roman" w:ascii="Times New Roman" w:hAnsi="Times New Roman"/>
        </w:rPr>
        <w:tab/>
        <w:t xml:space="preserve">As detailed in Energy Center’s Notice of Intention to Respond to Margate’s Motions, Margate’s telephonic request to Energy Center’s counsel for an enlargement of time sought an extension until October 19, 2001 (when Coral Springs’ responses are due), because Margate was using the same expert as Coral Springs and its answers would be largely the same as Coral Springs’ answers, and because the expert used by Coral Springs and Margate had been unexpectedly delayed in returning to the United States.  However, Margate’s formal Motions, filed one day later, sought an extension of </w:t>
      </w:r>
      <w:r>
        <w:rPr>
          <w:rFonts w:cs="Times New Roman" w:ascii="Times New Roman" w:hAnsi="Times New Roman"/>
          <w:i/>
          <w:iCs/>
        </w:rPr>
        <w:t>thirty days</w:t>
      </w:r>
      <w:r>
        <w:rPr>
          <w:rFonts w:cs="Times New Roman" w:ascii="Times New Roman" w:hAnsi="Times New Roman"/>
        </w:rPr>
        <w:t>, and raised new and entirely different grounds for the extensions: a previous illness of counsel and a surgery scheduled for October 18, 2001 (the day before the extended due date initially sought by Margate).</w:t>
      </w:r>
    </w:p>
    <w:p>
      <w:pPr>
        <w:pStyle w:val="Double"/>
        <w:spacing w:lineRule="auto" w:line="480"/>
        <w:rPr/>
      </w:pPr>
      <w:r>
        <w:rPr>
          <w:rFonts w:cs="Times New Roman" w:ascii="Times New Roman" w:hAnsi="Times New Roman"/>
        </w:rPr>
        <w:tab/>
        <w:t xml:space="preserve">Because Margate had not disclosed its desire for a thirty-day extension, nor the newly asserted grounds, in its telephone request to Energy Center’s counsel the day before Margate filed its Motions, Energy Center sought clarification from Margate’s counsel as to the specific facts underlying the newly-asserted grounds for the Motions.  Margate’s counsel responded, </w:t>
      </w:r>
      <w:r>
        <w:rPr>
          <w:rFonts w:cs="Times New Roman" w:ascii="Times New Roman" w:hAnsi="Times New Roman"/>
          <w:i/>
          <w:iCs/>
        </w:rPr>
        <w:t>inter alia,</w:t>
      </w:r>
      <w:r>
        <w:rPr>
          <w:rFonts w:cs="Times New Roman" w:ascii="Times New Roman" w:hAnsi="Times New Roman"/>
        </w:rPr>
        <w:t xml:space="preserve"> that</w:t>
      </w:r>
    </w:p>
    <w:p>
      <w:pPr>
        <w:pStyle w:val="Double"/>
        <w:numPr>
          <w:ilvl w:val="0"/>
          <w:numId w:val="2"/>
        </w:numPr>
        <w:spacing w:lineRule="auto" w:line="480"/>
        <w:rPr>
          <w:rFonts w:ascii="Times New Roman" w:hAnsi="Times New Roman" w:cs="Times New Roman"/>
        </w:rPr>
      </w:pPr>
      <w:r>
        <w:rPr>
          <w:rFonts w:cs="Times New Roman" w:ascii="Times New Roman" w:hAnsi="Times New Roman"/>
        </w:rPr>
        <w:t>he was scheduled for surgery on October 18, 2001 (today’s date);</w:t>
      </w:r>
    </w:p>
    <w:p>
      <w:pPr>
        <w:pStyle w:val="Double"/>
        <w:numPr>
          <w:ilvl w:val="0"/>
          <w:numId w:val="2"/>
        </w:numPr>
        <w:spacing w:lineRule="auto" w:line="480"/>
        <w:ind w:firstLine="360" w:start="0" w:end="0"/>
        <w:rPr>
          <w:rFonts w:ascii="Times New Roman" w:hAnsi="Times New Roman" w:cs="Times New Roman"/>
        </w:rPr>
      </w:pPr>
      <w:r>
        <w:rPr>
          <w:rFonts w:cs="Times New Roman" w:ascii="Times New Roman" w:hAnsi="Times New Roman"/>
        </w:rPr>
        <w:t>he was expected to be able to return to work some time during the week of October 22; and</w:t>
      </w:r>
    </w:p>
    <w:p>
      <w:pPr>
        <w:pStyle w:val="Double"/>
        <w:numPr>
          <w:ilvl w:val="0"/>
          <w:numId w:val="2"/>
        </w:numPr>
        <w:spacing w:lineRule="auto" w:line="480"/>
        <w:rPr>
          <w:rFonts w:ascii="Times New Roman" w:hAnsi="Times New Roman" w:cs="Times New Roman"/>
        </w:rPr>
      </w:pPr>
      <w:r>
        <w:rPr>
          <w:rFonts w:cs="Times New Roman" w:ascii="Times New Roman" w:hAnsi="Times New Roman"/>
        </w:rPr>
        <w:t>he should not drive for approximately one week following his return to work.</w:t>
      </w:r>
    </w:p>
    <w:p>
      <w:pPr>
        <w:pStyle w:val="Double"/>
        <w:spacing w:lineRule="auto" w:line="240"/>
        <w:rPr>
          <w:rFonts w:ascii="Times New Roman" w:hAnsi="Times New Roman" w:cs="Times New Roman"/>
        </w:rPr>
      </w:pPr>
      <w:r>
        <w:rPr>
          <w:rFonts w:cs="Times New Roman" w:ascii="Times New Roman" w:hAnsi="Times New Roman"/>
        </w:rPr>
      </w:r>
    </w:p>
    <w:p>
      <w:pPr>
        <w:pStyle w:val="Double"/>
        <w:spacing w:lineRule="auto" w:line="480"/>
        <w:jc w:val="center"/>
        <w:rPr>
          <w:rFonts w:ascii="Times New Roman" w:hAnsi="Times New Roman" w:cs="Times New Roman"/>
        </w:rPr>
      </w:pPr>
      <w:r>
        <w:rPr>
          <w:rFonts w:cs="Times New Roman" w:ascii="Times New Roman" w:hAnsi="Times New Roman"/>
          <w:b/>
          <w:bCs/>
        </w:rPr>
        <w:t>A Limited Extension Is Appropriate</w:t>
      </w:r>
    </w:p>
    <w:p>
      <w:pPr>
        <w:pStyle w:val="Double"/>
        <w:spacing w:lineRule="auto" w:line="480"/>
        <w:rPr/>
      </w:pPr>
      <w:r>
        <w:rPr>
          <w:rFonts w:cs="Times New Roman" w:ascii="Times New Roman" w:hAnsi="Times New Roman"/>
        </w:rPr>
        <w:tab/>
        <w:t>Based on the information provided by Margate’s counsel, Energy Center agrees that a reasonable enlargement of time would be appropriate.  Given that (1) Energy Center’s requests were propounded in September 2001;</w:t>
      </w:r>
      <w:r>
        <w:rPr>
          <w:rStyle w:val="FootnoteCharacters"/>
          <w:rStyle w:val="FootnoteReference"/>
        </w:rPr>
        <w:footnoteReference w:id="2"/>
      </w:r>
      <w:r>
        <w:rPr>
          <w:rFonts w:cs="Times New Roman" w:ascii="Times New Roman" w:hAnsi="Times New Roman"/>
        </w:rPr>
        <w:t xml:space="preserve"> (2) Margate is using the same expert as Coral Springs, and Margate’s responses are likely to be “largely the same” as Coral Springs’ responses, which are due on October 19, 2001; and (3) Margate’s counsel will be returning to work, though subject to some medical restrictions, during the week of October 22, 2001; Energy Center believes that an enlargement of time until November 5, 2001 for Margate’s responses will be more than adequate.  In addition, if the due date for Margate’s responses is extended to November 5, 2001, then Margate should be required to serve its responses, including all responsive documents, by hand delivery or overnight delivery service on that date.</w:t>
      </w:r>
    </w:p>
    <w:p>
      <w:pPr>
        <w:pStyle w:val="Double"/>
        <w:spacing w:lineRule="auto" w:line="240"/>
        <w:jc w:val="start"/>
        <w:rPr>
          <w:rFonts w:ascii="Times New Roman" w:hAnsi="Times New Roman" w:cs="Times New Roman"/>
        </w:rPr>
      </w:pPr>
      <w:r>
        <w:rPr>
          <w:rFonts w:cs="Times New Roman" w:ascii="Times New Roman" w:hAnsi="Times New Roman"/>
        </w:rPr>
      </w:r>
    </w:p>
    <w:p>
      <w:pPr>
        <w:pStyle w:val="Double"/>
        <w:spacing w:lineRule="auto" w:line="480"/>
        <w:jc w:val="center"/>
        <w:rPr>
          <w:rFonts w:ascii="Times New Roman" w:hAnsi="Times New Roman" w:cs="Times New Roman"/>
          <w:b/>
          <w:bCs/>
        </w:rPr>
      </w:pPr>
      <w:r>
        <w:rPr>
          <w:rFonts w:cs="Times New Roman" w:ascii="Times New Roman" w:hAnsi="Times New Roman"/>
          <w:b/>
          <w:bCs/>
        </w:rPr>
        <w:t>Energy Center Would Be Unfairly Prejudiced By Further Delay</w:t>
      </w:r>
    </w:p>
    <w:p>
      <w:pPr>
        <w:pStyle w:val="Double"/>
        <w:spacing w:lineRule="auto" w:line="480"/>
        <w:rPr/>
      </w:pPr>
      <w:r>
        <w:rPr>
          <w:rFonts w:cs="Times New Roman" w:ascii="Times New Roman" w:hAnsi="Times New Roman"/>
        </w:rPr>
        <w:tab/>
        <w:t>This matter is scheduled to be tried from December 11-14, 2001</w:t>
      </w:r>
      <w:r>
        <w:rPr>
          <w:rStyle w:val="FootnoteCharacters"/>
          <w:rStyle w:val="FootnoteReference"/>
        </w:rPr>
        <w:footnoteReference w:id="3"/>
      </w:r>
      <w:r>
        <w:rPr>
          <w:rFonts w:cs="Times New Roman" w:ascii="Times New Roman" w:hAnsi="Times New Roman"/>
        </w:rPr>
        <w:t xml:space="preserve"> -- barely one month after the November 5 response date proposed by Energy Center, and with an intervening Thanksgiving holiday.  If Margate were permitted to further delay its responses beyond November 5, Energy Center would be prejudiced in its ability to prepare for trial.</w:t>
      </w:r>
    </w:p>
    <w:p>
      <w:pPr>
        <w:pStyle w:val="Double"/>
        <w:spacing w:lineRule="auto" w:line="480"/>
        <w:rPr/>
      </w:pPr>
      <w:r>
        <w:rPr>
          <w:rFonts w:cs="Times New Roman" w:ascii="Times New Roman" w:hAnsi="Times New Roman"/>
        </w:rPr>
        <w:tab/>
        <w:t xml:space="preserve">The pending discovery requests are Energy Center’s </w:t>
      </w:r>
      <w:r>
        <w:rPr>
          <w:rFonts w:cs="Times New Roman" w:ascii="Times New Roman" w:hAnsi="Times New Roman"/>
          <w:i/>
          <w:iCs/>
        </w:rPr>
        <w:t>initial</w:t>
      </w:r>
      <w:r>
        <w:rPr>
          <w:rFonts w:cs="Times New Roman" w:ascii="Times New Roman" w:hAnsi="Times New Roman"/>
        </w:rPr>
        <w:t xml:space="preserve"> discovery requests.  Energy Center needs Margate’s responses in order to prepare for depositions and propound follow-up discovery requests.  Moreover, to the extent that Margate asserts one or more objections to the discovery requests, Energy Center will need time to (a) confer with Margate in an attempt to resolve the objection(s) by agreement, (b) prepare a motion to compel compliance with the discovery request(s), and (c) await Margate’s response and the administrative law judge’s ruling – all before receiving the discovery to which Margate has objected and which is necessary to Energy Center’s preparation.  November 5 is the </w:t>
      </w:r>
      <w:r>
        <w:rPr>
          <w:rFonts w:cs="Times New Roman" w:ascii="Times New Roman" w:hAnsi="Times New Roman"/>
          <w:i/>
          <w:iCs/>
        </w:rPr>
        <w:t>latest</w:t>
      </w:r>
      <w:r>
        <w:rPr>
          <w:rFonts w:cs="Times New Roman" w:ascii="Times New Roman" w:hAnsi="Times New Roman"/>
        </w:rPr>
        <w:t xml:space="preserve"> date for Margate’s response that will reasonably permit Energy Center to prepare for trial.</w:t>
      </w:r>
    </w:p>
    <w:p>
      <w:pPr>
        <w:pStyle w:val="Double"/>
        <w:spacing w:lineRule="auto" w:line="240"/>
        <w:rPr>
          <w:rFonts w:ascii="Times New Roman" w:hAnsi="Times New Roman" w:cs="Times New Roman"/>
        </w:rPr>
      </w:pPr>
      <w:r>
        <w:rPr>
          <w:rFonts w:cs="Times New Roman" w:ascii="Times New Roman" w:hAnsi="Times New Roman"/>
        </w:rPr>
      </w:r>
    </w:p>
    <w:p>
      <w:pPr>
        <w:pStyle w:val="Double"/>
        <w:spacing w:lineRule="auto" w:line="480"/>
        <w:jc w:val="center"/>
        <w:rPr>
          <w:rFonts w:ascii="Times New Roman" w:hAnsi="Times New Roman" w:cs="Times New Roman"/>
          <w:b/>
          <w:bCs/>
        </w:rPr>
      </w:pPr>
      <w:r>
        <w:rPr>
          <w:rFonts w:cs="Times New Roman" w:ascii="Times New Roman" w:hAnsi="Times New Roman"/>
          <w:b/>
          <w:bCs/>
        </w:rPr>
        <w:t>Future Adjustments of Discovery and Pretrial Deadlines May Become Necessary</w:t>
      </w:r>
    </w:p>
    <w:p>
      <w:pPr>
        <w:pStyle w:val="Double"/>
        <w:spacing w:lineRule="auto" w:line="480"/>
        <w:rPr>
          <w:rFonts w:ascii="Times New Roman" w:hAnsi="Times New Roman" w:cs="Times New Roman"/>
        </w:rPr>
      </w:pPr>
      <w:r>
        <w:rPr>
          <w:rFonts w:cs="Times New Roman" w:ascii="Times New Roman" w:hAnsi="Times New Roman"/>
        </w:rPr>
        <w:tab/>
        <w:t>Moreover, if Margate is allowed until November 5 to serve its discovery responses, adjustments in other pretrial deadlines for this matter are likely to become necessary.  For example, counsel’s meeting to prepare the pretrial stipulation is scheduled to take place by November 26 – only three weeks after Margate’s responses would be due.  The pretrial stipulation is due by Friday, November 30.  Depending upon the content of Margate’s responses, these deadlines may need to be amended.  Similarly, to the extent that Energy Center propounds follow-up discovery requests to Margate, the time for Margate’s responses to those requests should be shortened so that Energy Center receives the responses in sufficient time to use them for trial preparation.</w:t>
      </w:r>
    </w:p>
    <w:p>
      <w:pPr>
        <w:pStyle w:val="Double"/>
        <w:tabs>
          <w:tab w:val="clear" w:pos="720"/>
          <w:tab w:val="clear" w:pos="1440"/>
          <w:tab w:val="clear" w:pos="2160"/>
          <w:tab w:val="clear" w:pos="5040"/>
          <w:tab w:val="left" w:pos="9360" w:leader="none"/>
        </w:tabs>
        <w:spacing w:lineRule="auto" w:line="480"/>
        <w:ind w:firstLine="720" w:end="0"/>
        <w:rPr>
          <w:rFonts w:ascii="Times New Roman" w:hAnsi="Times New Roman" w:cs="Times New Roman"/>
        </w:rPr>
      </w:pPr>
      <w:r>
        <w:rPr>
          <w:rFonts w:cs="Times New Roman" w:ascii="Times New Roman" w:hAnsi="Times New Roman"/>
        </w:rPr>
        <w:t>The question of adjusting future deadlines, of course, is not yet ripe for disposition.  However, Energy Center should not be prejudiced in connection with future discovery or pretrial deadlines as a result of its having consented to extend Margate’s response deadline until November 5.</w:t>
      </w:r>
    </w:p>
    <w:p>
      <w:pPr>
        <w:pStyle w:val="Double"/>
        <w:tabs>
          <w:tab w:val="clear" w:pos="720"/>
          <w:tab w:val="clear" w:pos="1440"/>
          <w:tab w:val="clear" w:pos="2160"/>
          <w:tab w:val="clear" w:pos="5040"/>
        </w:tabs>
        <w:spacing w:lineRule="auto" w:line="240"/>
        <w:ind w:start="720" w:end="720"/>
        <w:rPr>
          <w:rFonts w:ascii="Times New Roman" w:hAnsi="Times New Roman" w:cs="Times New Roman"/>
        </w:rPr>
      </w:pPr>
      <w:r>
        <w:rPr>
          <w:rFonts w:cs="Times New Roman" w:ascii="Times New Roman" w:hAnsi="Times New Roman"/>
        </w:rPr>
      </w:r>
    </w:p>
    <w:p>
      <w:pPr>
        <w:pStyle w:val="Double"/>
        <w:tabs>
          <w:tab w:val="clear" w:pos="720"/>
          <w:tab w:val="clear" w:pos="1440"/>
          <w:tab w:val="clear" w:pos="2160"/>
          <w:tab w:val="clear" w:pos="5040"/>
        </w:tabs>
        <w:spacing w:lineRule="auto" w:line="480"/>
        <w:ind w:start="720" w:end="720"/>
        <w:jc w:val="center"/>
        <w:rPr>
          <w:rFonts w:ascii="Times New Roman" w:hAnsi="Times New Roman" w:cs="Times New Roman"/>
          <w:b/>
          <w:bCs/>
        </w:rPr>
      </w:pPr>
      <w:r>
        <w:rPr>
          <w:rFonts w:cs="Times New Roman" w:ascii="Times New Roman" w:hAnsi="Times New Roman"/>
          <w:b/>
          <w:bCs/>
        </w:rPr>
        <w:t>Conclusion</w:t>
      </w:r>
    </w:p>
    <w:p>
      <w:pPr>
        <w:pStyle w:val="Double"/>
        <w:tabs>
          <w:tab w:val="clear" w:pos="720"/>
          <w:tab w:val="clear" w:pos="1440"/>
          <w:tab w:val="clear" w:pos="2160"/>
          <w:tab w:val="clear" w:pos="5040"/>
        </w:tabs>
        <w:spacing w:lineRule="auto" w:line="480"/>
        <w:rPr>
          <w:rFonts w:ascii="Times New Roman" w:hAnsi="Times New Roman" w:cs="Times New Roman"/>
        </w:rPr>
      </w:pPr>
      <w:r>
        <w:rPr>
          <w:rFonts w:cs="Times New Roman" w:ascii="Times New Roman" w:hAnsi="Times New Roman"/>
        </w:rPr>
        <w:tab/>
        <w:t>In light of the medical circumstances identified by Margate’s counsel after Margate filed its Motions, an enlargement of Margate’s response date until November 5, 2001 is appropriate – provided that Margate serves its responses, including all responsive documents, by hand delivery or overnight delivery service.  Extending Margate’s response time beyond November 5 would be unnecessary and would unfairly prejudice Energy Center in its trial preparations.  In addition, if Margate is given until November 5 to respond to Energy Center’s discovery requests, then future discovery and pretrial deadlines should be adjusted as necessary to prevent prejudice to Energy Center due to the resulting delay in Margate’s response.</w:t>
      </w:r>
    </w:p>
    <w:p>
      <w:pPr>
        <w:pStyle w:val="Double"/>
        <w:tabs>
          <w:tab w:val="clear" w:pos="720"/>
          <w:tab w:val="clear" w:pos="1440"/>
          <w:tab w:val="clear" w:pos="2160"/>
          <w:tab w:val="clear" w:pos="5040"/>
        </w:tabs>
        <w:spacing w:lineRule="auto" w:line="480"/>
        <w:ind w:start="720" w:end="720"/>
        <w:rPr>
          <w:rFonts w:ascii="Times New Roman" w:hAnsi="Times New Roman" w:cs="Times New Roman"/>
        </w:rPr>
      </w:pPr>
      <w:r>
        <w:rPr>
          <w:rFonts w:cs="Times New Roman" w:ascii="Times New Roman" w:hAnsi="Times New Roman"/>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rFonts w:ascii="Times New Roman" w:hAnsi="Times New Roman" w:cs="Times New Roman"/>
              </w:rPr>
            </w:pPr>
            <w:r>
              <w:rPr>
                <w:rFonts w:cs="Times New Roman" w:ascii="Times New Roman" w:hAnsi="Times New Roman"/>
              </w:rPr>
            </w:r>
          </w:p>
        </w:tc>
        <w:tc>
          <w:tcPr>
            <w:tcW w:w="4788" w:type="dxa"/>
            <w:tcBorders/>
          </w:tcPr>
          <w:p>
            <w:pPr>
              <w:pStyle w:val="Normal"/>
              <w:keepNext w:val="true"/>
              <w:keepLines/>
              <w:rPr>
                <w:rFonts w:ascii="Times New Roman" w:hAnsi="Times New Roman" w:cs="Times New Roman"/>
              </w:rPr>
            </w:pPr>
            <w:r>
              <w:rPr>
                <w:rFonts w:cs="Times New Roman" w:ascii="Times New Roman" w:hAnsi="Times New Roman"/>
              </w:rPr>
              <w:t>Respectfully submitted,</w:t>
            </w:r>
          </w:p>
          <w:p>
            <w:pPr>
              <w:pStyle w:val="Normal"/>
              <w:keepNext w:val="true"/>
              <w:keepLines/>
              <w:rPr>
                <w:rFonts w:ascii="Times New Roman" w:hAnsi="Times New Roman" w:cs="Times New Roman"/>
              </w:rPr>
            </w:pPr>
            <w:r>
              <w:rPr>
                <w:rFonts w:cs="Times New Roman" w:ascii="Times New Roman" w:hAnsi="Times New Roman"/>
              </w:rPr>
            </w:r>
          </w:p>
          <w:p>
            <w:pPr>
              <w:pStyle w:val="Normal"/>
              <w:keepLines/>
              <w:rPr>
                <w:rFonts w:ascii="Times New Roman" w:hAnsi="Times New Roman" w:cs="Times New Roman"/>
              </w:rPr>
            </w:pPr>
            <w:r>
              <w:rPr>
                <w:rFonts w:cs="Times New Roman" w:ascii="Times New Roman" w:hAnsi="Times New Roman"/>
              </w:rPr>
              <w:t>Kerri L. Barsh, Esq.</w:t>
            </w:r>
          </w:p>
          <w:p>
            <w:pPr>
              <w:pStyle w:val="Normal"/>
              <w:keepLine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Florida Bar No. 443840</w:t>
            </w:r>
          </w:p>
          <w:p>
            <w:pPr>
              <w:pStyle w:val="Normal"/>
              <w:keepLines/>
              <w:rPr>
                <w:rFonts w:ascii="Times New Roman" w:hAnsi="Times New Roman" w:cs="Times New Roman"/>
              </w:rPr>
            </w:pPr>
            <w:r>
              <w:rPr>
                <w:rFonts w:cs="Times New Roman" w:ascii="Times New Roman" w:hAnsi="Times New Roman"/>
              </w:rPr>
              <w:t>C. Ryan Reetz</w:t>
            </w:r>
          </w:p>
          <w:p>
            <w:pPr>
              <w:pStyle w:val="Normal"/>
              <w:keepLine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Florida Bar No. 934062</w:t>
            </w:r>
          </w:p>
          <w:p>
            <w:pPr>
              <w:pStyle w:val="Normal"/>
              <w:keepLines/>
              <w:rPr>
                <w:rFonts w:ascii="Times New Roman" w:hAnsi="Times New Roman" w:cs="Times New Roman"/>
              </w:rPr>
            </w:pPr>
            <w:r>
              <w:rPr>
                <w:rFonts w:cs="Times New Roman" w:ascii="Times New Roman" w:hAnsi="Times New Roman"/>
              </w:rPr>
              <w:t>Paul C. Savage, Esq.</w:t>
            </w:r>
          </w:p>
          <w:p>
            <w:pPr>
              <w:pStyle w:val="Normal"/>
              <w:keepLine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Florida Bar No. 088587</w:t>
            </w:r>
          </w:p>
          <w:p>
            <w:pPr>
              <w:pStyle w:val="Normal"/>
              <w:keepLines/>
              <w:rPr>
                <w:rFonts w:ascii="Times New Roman" w:hAnsi="Times New Roman" w:cs="Times New Roman"/>
              </w:rPr>
            </w:pPr>
            <w:r>
              <w:rPr>
                <w:rFonts w:cs="Times New Roman" w:ascii="Times New Roman" w:hAnsi="Times New Roman"/>
              </w:rPr>
              <w:t>Greenberg Traurig, P.A.</w:t>
            </w:r>
          </w:p>
          <w:p>
            <w:pPr>
              <w:pStyle w:val="Normal"/>
              <w:keepLines/>
              <w:rPr>
                <w:rFonts w:ascii="Times New Roman" w:hAnsi="Times New Roman" w:cs="Times New Roman"/>
              </w:rPr>
            </w:pPr>
            <w:r>
              <w:rPr>
                <w:rFonts w:cs="Times New Roman" w:ascii="Times New Roman" w:hAnsi="Times New Roman"/>
              </w:rPr>
              <w:t>1221 Brickell Avenue</w:t>
            </w:r>
          </w:p>
          <w:p>
            <w:pPr>
              <w:pStyle w:val="Normal"/>
              <w:keepLines/>
              <w:rPr>
                <w:rFonts w:ascii="Times New Roman" w:hAnsi="Times New Roman" w:cs="Times New Roman"/>
              </w:rPr>
            </w:pPr>
            <w:r>
              <w:rPr>
                <w:rFonts w:cs="Times New Roman" w:ascii="Times New Roman" w:hAnsi="Times New Roman"/>
              </w:rPr>
              <w:t>Miami, Florida 33131</w:t>
            </w:r>
          </w:p>
          <w:p>
            <w:pPr>
              <w:pStyle w:val="Normal"/>
              <w:keepLines/>
              <w:rPr>
                <w:rFonts w:ascii="Times New Roman" w:hAnsi="Times New Roman" w:cs="Times New Roman"/>
              </w:rPr>
            </w:pPr>
            <w:r>
              <w:rPr>
                <w:rFonts w:cs="Times New Roman" w:ascii="Times New Roman" w:hAnsi="Times New Roman"/>
              </w:rPr>
              <w:t>Telephone:  (305) 579-0500</w:t>
            </w:r>
          </w:p>
          <w:p>
            <w:pPr>
              <w:pStyle w:val="Normal"/>
              <w:keepLines/>
              <w:rPr>
                <w:rFonts w:ascii="Times New Roman" w:hAnsi="Times New Roman" w:cs="Times New Roman"/>
              </w:rPr>
            </w:pPr>
            <w:r>
              <w:rPr>
                <w:rFonts w:cs="Times New Roman" w:ascii="Times New Roman" w:hAnsi="Times New Roman"/>
              </w:rPr>
              <w:t>Facsimile:  (305) 579-0717</w:t>
            </w:r>
          </w:p>
          <w:p>
            <w:pPr>
              <w:pStyle w:val="Normal"/>
              <w:keepLines/>
              <w:rPr>
                <w:rFonts w:ascii="Times New Roman" w:hAnsi="Times New Roman" w:cs="Times New Roman"/>
              </w:rPr>
            </w:pPr>
            <w:r>
              <w:rPr>
                <w:rFonts w:cs="Times New Roman" w:ascii="Times New Roman" w:hAnsi="Times New Roman"/>
              </w:rPr>
            </w:r>
          </w:p>
          <w:p>
            <w:pPr>
              <w:pStyle w:val="Normal"/>
              <w:keepLines/>
              <w:rPr>
                <w:rFonts w:ascii="Times New Roman" w:hAnsi="Times New Roman" w:cs="Times New Roman"/>
              </w:rPr>
            </w:pPr>
            <w:r>
              <w:rPr>
                <w:rFonts w:cs="Times New Roman" w:ascii="Times New Roman" w:hAnsi="Times New Roman"/>
              </w:rPr>
            </w:r>
          </w:p>
          <w:p>
            <w:pPr>
              <w:pStyle w:val="Normal"/>
              <w:keepLines/>
              <w:tabs>
                <w:tab w:val="clear" w:pos="5040"/>
                <w:tab w:val="left" w:pos="720" w:leader="none"/>
                <w:tab w:val="left" w:pos="1440" w:leader="none"/>
                <w:tab w:val="left" w:pos="2160" w:leader="none"/>
                <w:tab w:val="left" w:pos="4302" w:leader="none"/>
              </w:tabs>
              <w:rPr/>
            </w:pPr>
            <w:r>
              <w:rPr>
                <w:rFonts w:cs="Times New Roman" w:ascii="Times New Roman" w:hAnsi="Times New Roman"/>
              </w:rPr>
              <w:t>By:</w:t>
            </w:r>
            <w:r>
              <w:rPr>
                <w:rFonts w:cs="Times New Roman" w:ascii="Times New Roman" w:hAnsi="Times New Roman"/>
                <w:u w:val="single"/>
              </w:rPr>
              <w:tab/>
              <w:tab/>
              <w:tab/>
              <w:tab/>
            </w:r>
          </w:p>
          <w:p>
            <w:pPr>
              <w:pStyle w:val="Normal"/>
              <w:keepLines/>
              <w:jc w:val="center"/>
              <w:rPr>
                <w:rFonts w:ascii="Times New Roman" w:hAnsi="Times New Roman" w:cs="Times New Roman"/>
              </w:rPr>
            </w:pPr>
            <w:r>
              <w:rPr>
                <w:rFonts w:cs="Times New Roman" w:ascii="Times New Roman" w:hAnsi="Times New Roman"/>
              </w:rPr>
              <w:t>C. Ryan Reetz</w:t>
            </w:r>
          </w:p>
          <w:p>
            <w:pPr>
              <w:pStyle w:val="Normal"/>
              <w:keepLines/>
              <w:rPr>
                <w:rFonts w:ascii="Times New Roman" w:hAnsi="Times New Roman" w:cs="Times New Roman"/>
              </w:rPr>
            </w:pPr>
            <w:r>
              <w:rPr>
                <w:rFonts w:cs="Times New Roman" w:ascii="Times New Roman" w:hAnsi="Times New Roman"/>
              </w:rPr>
            </w:r>
          </w:p>
          <w:p>
            <w:pPr>
              <w:pStyle w:val="Normal"/>
              <w:keepLines/>
              <w:rPr>
                <w:rFonts w:ascii="Times New Roman" w:hAnsi="Times New Roman" w:cs="Times New Roman"/>
              </w:rPr>
            </w:pPr>
            <w:r>
              <w:rPr>
                <w:rFonts w:cs="Times New Roman" w:ascii="Times New Roman" w:hAnsi="Times New Roman"/>
                <w:i/>
              </w:rPr>
              <w:t>Counsel for Pompano Beach Energy, L.L.C.</w:t>
            </w:r>
          </w:p>
          <w:p>
            <w:pPr>
              <w:pStyle w:val="Normal"/>
              <w:rPr>
                <w:rFonts w:ascii="Times New Roman" w:hAnsi="Times New Roman" w:cs="Times New Roman"/>
              </w:rPr>
            </w:pPr>
            <w:r>
              <w:rPr>
                <w:rFonts w:cs="Times New Roman" w:ascii="Times New Roman" w:hAnsi="Times New Roman"/>
              </w:rPr>
            </w:r>
          </w:p>
        </w:tc>
      </w:tr>
    </w:tbl>
    <w:p>
      <w:pPr>
        <w:pStyle w:val="Double"/>
        <w:spacing w:lineRule="auto" w:line="240"/>
        <w:rPr>
          <w:rFonts w:ascii="Times New Roman" w:hAnsi="Times New Roman" w:cs="Times New Roman"/>
        </w:rPr>
      </w:pPr>
      <w:r>
        <w:rPr>
          <w:rFonts w:cs="Times New Roman" w:ascii="Times New Roman" w:hAnsi="Times New Roman"/>
        </w:rPr>
      </w:r>
      <w:r>
        <w:br w:type="page"/>
      </w:r>
    </w:p>
    <w:p>
      <w:pPr>
        <w:pStyle w:val="Double"/>
        <w:spacing w:lineRule="auto" w:line="240"/>
        <w:jc w:val="center"/>
        <w:rPr>
          <w:rFonts w:ascii="Times New Roman" w:hAnsi="Times New Roman" w:cs="Times New Roman"/>
          <w:b/>
          <w:bCs/>
          <w:u w:val="single"/>
        </w:rPr>
      </w:pPr>
      <w:r>
        <w:rPr>
          <w:rFonts w:cs="Times New Roman" w:ascii="Times New Roman" w:hAnsi="Times New Roman"/>
          <w:b/>
          <w:bCs/>
          <w:u w:val="single"/>
        </w:rPr>
        <w:t>CERTIFICATE OF SERVICE</w:t>
      </w:r>
    </w:p>
    <w:p>
      <w:pPr>
        <w:pStyle w:val="Double"/>
        <w:spacing w:before="0" w:after="240"/>
        <w:rPr>
          <w:rFonts w:ascii="Times New Roman" w:hAnsi="Times New Roman" w:cs="Times New Roman"/>
        </w:rPr>
      </w:pPr>
      <w:r>
        <w:rPr>
          <w:rFonts w:cs="Times New Roman" w:ascii="Times New Roman" w:hAnsi="Times New Roman"/>
        </w:rPr>
        <w:tab/>
        <w:t>I certify that copies of the foregoing document were served by facsimile and U.S. Mail on October 12, 2001 to:</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Times New Roman" w:hAnsi="Times New Roman" w:cs="Times New Roman"/>
              </w:rPr>
            </w:pPr>
            <w:r>
              <w:rPr>
                <w:rFonts w:cs="Times New Roman" w:ascii="Times New Roman" w:hAnsi="Times New Roman"/>
              </w:rPr>
              <w:t>Martha L. Nebelsiek, Esq.</w:t>
            </w:r>
          </w:p>
          <w:p>
            <w:pPr>
              <w:pStyle w:val="Normal"/>
              <w:rPr>
                <w:rFonts w:ascii="Times New Roman" w:hAnsi="Times New Roman" w:cs="Times New Roman"/>
              </w:rPr>
            </w:pPr>
            <w:r>
              <w:rPr>
                <w:rFonts w:cs="Times New Roman" w:ascii="Times New Roman" w:hAnsi="Times New Roman"/>
              </w:rPr>
              <w:t>Department of Environmental Protection</w:t>
            </w:r>
          </w:p>
          <w:p>
            <w:pPr>
              <w:pStyle w:val="Normal"/>
              <w:rPr>
                <w:rFonts w:ascii="Times New Roman" w:hAnsi="Times New Roman" w:cs="Times New Roman"/>
              </w:rPr>
            </w:pPr>
            <w:r>
              <w:rPr>
                <w:rFonts w:cs="Times New Roman" w:ascii="Times New Roman" w:hAnsi="Times New Roman"/>
              </w:rPr>
              <w:t>3900 Commonwealth Boulevard</w:t>
            </w:r>
          </w:p>
          <w:p>
            <w:pPr>
              <w:pStyle w:val="Normal"/>
              <w:rPr>
                <w:rFonts w:ascii="Times New Roman" w:hAnsi="Times New Roman" w:cs="Times New Roman"/>
              </w:rPr>
            </w:pPr>
            <w:r>
              <w:rPr>
                <w:rFonts w:cs="Times New Roman" w:ascii="Times New Roman" w:hAnsi="Times New Roman"/>
              </w:rPr>
              <w:t xml:space="preserve">Tallahassee, Florida  32399-3000 </w:t>
            </w:r>
          </w:p>
          <w:p>
            <w:pPr>
              <w:pStyle w:val="Normal"/>
              <w:rPr>
                <w:rFonts w:ascii="Times New Roman" w:hAnsi="Times New Roman" w:cs="Times New Roman"/>
              </w:rPr>
            </w:pPr>
            <w:r>
              <w:rPr>
                <w:rFonts w:cs="Times New Roman" w:ascii="Times New Roman" w:hAnsi="Times New Roman"/>
              </w:rPr>
            </w:r>
          </w:p>
        </w:tc>
        <w:tc>
          <w:tcPr>
            <w:tcW w:w="4788" w:type="dxa"/>
            <w:tcBorders/>
          </w:tcPr>
          <w:p>
            <w:pPr>
              <w:pStyle w:val="Normal"/>
              <w:rPr>
                <w:rFonts w:ascii="Times New Roman" w:hAnsi="Times New Roman" w:cs="Times New Roman"/>
              </w:rPr>
            </w:pPr>
            <w:r>
              <w:rPr>
                <w:rFonts w:cs="Times New Roman" w:ascii="Times New Roman" w:hAnsi="Times New Roman"/>
              </w:rPr>
              <w:t>John Hearn, Esq.</w:t>
            </w:r>
          </w:p>
          <w:p>
            <w:pPr>
              <w:pStyle w:val="Normal"/>
              <w:rPr>
                <w:rFonts w:ascii="Times New Roman" w:hAnsi="Times New Roman" w:cs="Times New Roman"/>
              </w:rPr>
            </w:pPr>
            <w:r>
              <w:rPr>
                <w:rFonts w:cs="Times New Roman" w:ascii="Times New Roman" w:hAnsi="Times New Roman"/>
              </w:rPr>
              <w:t>City of Coral Springs</w:t>
            </w:r>
          </w:p>
          <w:p>
            <w:pPr>
              <w:pStyle w:val="Normal"/>
              <w:rPr>
                <w:rFonts w:ascii="Times New Roman" w:hAnsi="Times New Roman" w:cs="Times New Roman"/>
              </w:rPr>
            </w:pPr>
            <w:r>
              <w:rPr>
                <w:rFonts w:cs="Times New Roman" w:ascii="Times New Roman" w:hAnsi="Times New Roman"/>
              </w:rPr>
              <w:t>9551 West Sample Road</w:t>
            </w:r>
          </w:p>
          <w:p>
            <w:pPr>
              <w:pStyle w:val="Normal"/>
              <w:rPr>
                <w:rFonts w:ascii="Times New Roman" w:hAnsi="Times New Roman" w:cs="Times New Roman"/>
              </w:rPr>
            </w:pPr>
            <w:r>
              <w:rPr>
                <w:rFonts w:cs="Times New Roman" w:ascii="Times New Roman" w:hAnsi="Times New Roman"/>
              </w:rPr>
              <w:t>Coral Springs, Florida  33065</w:t>
            </w:r>
          </w:p>
        </w:tc>
      </w:tr>
      <w:tr>
        <w:trPr/>
        <w:tc>
          <w:tcPr>
            <w:tcW w:w="4788" w:type="dxa"/>
            <w:tcBorders/>
          </w:tcPr>
          <w:p>
            <w:pPr>
              <w:pStyle w:val="Normal"/>
              <w:rPr>
                <w:rFonts w:ascii="Times New Roman" w:hAnsi="Times New Roman" w:cs="Times New Roman"/>
              </w:rPr>
            </w:pPr>
            <w:r>
              <w:rPr>
                <w:rFonts w:cs="Times New Roman" w:ascii="Times New Roman" w:hAnsi="Times New Roman"/>
              </w:rPr>
              <w:t>Eugene M. Steinfield, Esq.</w:t>
            </w:r>
          </w:p>
          <w:p>
            <w:pPr>
              <w:pStyle w:val="Normal"/>
              <w:rPr>
                <w:rFonts w:ascii="Times New Roman" w:hAnsi="Times New Roman" w:cs="Times New Roman"/>
              </w:rPr>
            </w:pPr>
            <w:r>
              <w:rPr>
                <w:rFonts w:cs="Times New Roman" w:ascii="Times New Roman" w:hAnsi="Times New Roman"/>
              </w:rPr>
              <w:t>City of Margate</w:t>
            </w:r>
          </w:p>
          <w:p>
            <w:pPr>
              <w:pStyle w:val="Normal"/>
              <w:rPr>
                <w:rFonts w:ascii="Times New Roman" w:hAnsi="Times New Roman" w:cs="Times New Roman"/>
              </w:rPr>
            </w:pPr>
            <w:r>
              <w:rPr>
                <w:rFonts w:cs="Times New Roman" w:ascii="Times New Roman" w:hAnsi="Times New Roman"/>
              </w:rPr>
              <w:t>5790 Margate Boulevard</w:t>
            </w:r>
          </w:p>
          <w:p>
            <w:pPr>
              <w:pStyle w:val="Normal"/>
              <w:rPr>
                <w:rFonts w:ascii="Times New Roman" w:hAnsi="Times New Roman" w:cs="Times New Roman"/>
              </w:rPr>
            </w:pPr>
            <w:r>
              <w:rPr>
                <w:rFonts w:cs="Times New Roman" w:ascii="Times New Roman" w:hAnsi="Times New Roman"/>
              </w:rPr>
              <w:t>Margate, Florida  33063</w:t>
            </w:r>
          </w:p>
          <w:p>
            <w:pPr>
              <w:pStyle w:val="Normal"/>
              <w:rPr>
                <w:rFonts w:ascii="Times New Roman" w:hAnsi="Times New Roman" w:cs="Times New Roman"/>
              </w:rPr>
            </w:pPr>
            <w:r>
              <w:rPr>
                <w:rFonts w:cs="Times New Roman" w:ascii="Times New Roman" w:hAnsi="Times New Roman"/>
              </w:rPr>
            </w:r>
          </w:p>
        </w:tc>
        <w:tc>
          <w:tcPr>
            <w:tcW w:w="4788" w:type="dxa"/>
            <w:tcBorders/>
          </w:tcPr>
          <w:p>
            <w:pPr>
              <w:pStyle w:val="Normal"/>
              <w:autoSpaceDE w:val="false"/>
              <w:rPr>
                <w:rFonts w:ascii="Times New Roman" w:hAnsi="Times New Roman" w:cs="Times New Roman"/>
                <w:color w:val="000000"/>
                <w:szCs w:val="20"/>
              </w:rPr>
            </w:pPr>
            <w:r>
              <w:rPr>
                <w:rFonts w:cs="Times New Roman" w:ascii="Times New Roman" w:hAnsi="Times New Roman"/>
                <w:color w:val="000000"/>
                <w:szCs w:val="20"/>
              </w:rPr>
              <w:t>Paul S. Stuart, Esq.</w:t>
            </w:r>
          </w:p>
          <w:p>
            <w:pPr>
              <w:pStyle w:val="Normal"/>
              <w:autoSpaceDE w:val="false"/>
              <w:rPr>
                <w:rFonts w:ascii="Times New Roman" w:hAnsi="Times New Roman" w:cs="Times New Roman"/>
                <w:color w:val="000000"/>
                <w:szCs w:val="20"/>
              </w:rPr>
            </w:pPr>
            <w:r>
              <w:rPr>
                <w:rFonts w:cs="Times New Roman" w:ascii="Times New Roman" w:hAnsi="Times New Roman"/>
                <w:color w:val="000000"/>
                <w:szCs w:val="20"/>
              </w:rPr>
              <w:t>City of Coconut Creek</w:t>
            </w:r>
          </w:p>
          <w:p>
            <w:pPr>
              <w:pStyle w:val="Normal"/>
              <w:autoSpaceDE w:val="false"/>
              <w:rPr>
                <w:rFonts w:ascii="Times New Roman" w:hAnsi="Times New Roman" w:cs="Times New Roman"/>
                <w:color w:val="000000"/>
                <w:szCs w:val="20"/>
              </w:rPr>
            </w:pPr>
            <w:r>
              <w:rPr>
                <w:rFonts w:cs="Times New Roman" w:ascii="Times New Roman" w:hAnsi="Times New Roman"/>
                <w:color w:val="000000"/>
                <w:szCs w:val="20"/>
              </w:rPr>
              <w:t>4900 W. Copans Rd.</w:t>
            </w:r>
          </w:p>
          <w:p>
            <w:pPr>
              <w:pStyle w:val="Normal"/>
              <w:rPr>
                <w:rFonts w:ascii="Times New Roman" w:hAnsi="Times New Roman" w:cs="Times New Roman"/>
              </w:rPr>
            </w:pPr>
            <w:r>
              <w:rPr>
                <w:rFonts w:cs="Times New Roman" w:ascii="Times New Roman" w:hAnsi="Times New Roman"/>
                <w:color w:val="000000"/>
                <w:szCs w:val="20"/>
              </w:rPr>
              <w:t>Coconut Creek, FL 33062</w:t>
            </w:r>
          </w:p>
        </w:tc>
      </w:tr>
      <w:tr>
        <w:trPr/>
        <w:tc>
          <w:tcPr>
            <w:tcW w:w="4788" w:type="dxa"/>
            <w:tcBorders/>
          </w:tcPr>
          <w:p>
            <w:pPr>
              <w:pStyle w:val="Normal"/>
              <w:rPr>
                <w:rFonts w:ascii="Times New Roman" w:hAnsi="Times New Roman" w:cs="Times New Roman"/>
              </w:rPr>
            </w:pPr>
            <w:r>
              <w:rPr>
                <w:rFonts w:cs="Times New Roman" w:ascii="Times New Roman" w:hAnsi="Times New Roman"/>
              </w:rPr>
              <w:t>Nancy A. Cousins, Esq.</w:t>
            </w:r>
          </w:p>
          <w:p>
            <w:pPr>
              <w:pStyle w:val="Normal"/>
              <w:rPr>
                <w:rFonts w:ascii="Times New Roman" w:hAnsi="Times New Roman" w:cs="Times New Roman"/>
              </w:rPr>
            </w:pPr>
            <w:r>
              <w:rPr>
                <w:rFonts w:cs="Times New Roman" w:ascii="Times New Roman" w:hAnsi="Times New Roman"/>
              </w:rPr>
              <w:t>City of Coconut Creek</w:t>
            </w:r>
          </w:p>
          <w:p>
            <w:pPr>
              <w:pStyle w:val="Normal"/>
              <w:rPr>
                <w:rFonts w:ascii="Times New Roman" w:hAnsi="Times New Roman" w:cs="Times New Roman"/>
              </w:rPr>
            </w:pPr>
            <w:r>
              <w:rPr>
                <w:rFonts w:cs="Times New Roman" w:ascii="Times New Roman" w:hAnsi="Times New Roman"/>
              </w:rPr>
              <w:t>4800 West Copans Road</w:t>
            </w:r>
          </w:p>
          <w:p>
            <w:pPr>
              <w:pStyle w:val="Normal"/>
              <w:rPr>
                <w:rFonts w:ascii="Times New Roman" w:hAnsi="Times New Roman" w:cs="Times New Roman"/>
              </w:rPr>
            </w:pPr>
            <w:r>
              <w:rPr>
                <w:rFonts w:cs="Times New Roman" w:ascii="Times New Roman" w:hAnsi="Times New Roman"/>
              </w:rPr>
              <w:t>Coconut Creek, Florida  33063</w:t>
            </w:r>
          </w:p>
          <w:p>
            <w:pPr>
              <w:pStyle w:val="Normal"/>
              <w:rPr>
                <w:rFonts w:ascii="Times New Roman" w:hAnsi="Times New Roman" w:cs="Times New Roman"/>
              </w:rPr>
            </w:pPr>
            <w:r>
              <w:rPr>
                <w:rFonts w:cs="Times New Roman" w:ascii="Times New Roman" w:hAnsi="Times New Roman"/>
              </w:rPr>
            </w:r>
          </w:p>
        </w:tc>
        <w:tc>
          <w:tcPr>
            <w:tcW w:w="4788" w:type="dxa"/>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p>
      <w:pPr>
        <w:pStyle w:val="SignBlock"/>
        <w:rPr/>
      </w:pPr>
      <w:r>
        <w:rPr>
          <w:rFonts w:cs="Times New Roman" w:ascii="Times New Roman" w:hAnsi="Times New Roman"/>
        </w:rPr>
        <w:tab/>
      </w:r>
      <w:r>
        <w:rPr>
          <w:rFonts w:cs="Times New Roman" w:ascii="Times New Roman" w:hAnsi="Times New Roman"/>
          <w:u w:val="single"/>
        </w:rPr>
        <w:tab/>
        <w:tab/>
      </w:r>
    </w:p>
    <w:p>
      <w:pPr>
        <w:pStyle w:val="SignBlock"/>
        <w:rPr>
          <w:rFonts w:ascii="Times New Roman" w:hAnsi="Times New Roman" w:cs="Times New Roman"/>
        </w:rPr>
      </w:pPr>
      <w:r>
        <w:rPr>
          <w:rFonts w:cs="Times New Roman" w:ascii="Times New Roman" w:hAnsi="Times New Roman"/>
        </w:rPr>
        <w:tab/>
        <w:tab/>
        <w:t>C. Ryan Reetz</w:t>
      </w:r>
    </w:p>
    <w:p>
      <w:pPr>
        <w:pStyle w:val="SignBlock"/>
        <w:rPr>
          <w:rFonts w:ascii="Times New Roman" w:hAnsi="Times New Roman" w:cs="Times New Roman"/>
        </w:rPr>
      </w:pPr>
      <w:r>
        <w:rPr>
          <w:rFonts w:cs="Times New Roman" w:ascii="Times New Roman" w:hAnsi="Times New Roman"/>
        </w:rPr>
      </w:r>
    </w:p>
    <w:p>
      <w:pPr>
        <w:pStyle w:val="Double"/>
        <w:spacing w:before="720" w:after="0"/>
        <w:rPr>
          <w:rFonts w:ascii="Times New Roman" w:hAnsi="Times New Roman" w:cs="Times New Roman"/>
          <w:sz w:val="16"/>
        </w:rPr>
      </w:pPr>
      <w:r>
        <w:rPr>
          <w:rFonts w:cs="Times New Roman" w:ascii="Times New Roman" w:hAnsi="Times New Roman"/>
          <w:sz w:val="16"/>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93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G Times Bold">
    <w:altName w:val="Times New Roman"/>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alisto MT">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Normal"/>
                            <w:rPr/>
                          </w:pPr>
                          <w:r>
                            <w:rPr/>
                            <w:fldChar w:fldCharType="begin"/>
                          </w:r>
                          <w:r>
                            <w:rPr/>
                            <w:instrText xml:space="preserve">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Normal"/>
                      <w:rPr/>
                    </w:pPr>
                    <w:r>
                      <w:rPr/>
                      <w:fldChar w:fldCharType="begin"/>
                    </w:r>
                    <w:r>
                      <w:rPr/>
                      <w:instrText xml:space="preserve"> PAGE </w:instrText>
                    </w:r>
                    <w:r>
                      <w:rPr/>
                      <w:fldChar w:fldCharType="separate"/>
                    </w:r>
                    <w:r>
                      <w:rPr/>
                      <w:t>6</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00" w:before="0" w:after="120"/>
        <w:rPr/>
      </w:pPr>
      <w:r>
        <w:rPr>
          <w:rStyle w:val="FootnoteCharacters"/>
        </w:rPr>
        <w:footnoteRef/>
      </w:r>
      <w:r>
        <w:rPr>
          <w:sz w:val="20"/>
        </w:rPr>
        <w:t xml:space="preserve"> </w:t>
      </w:r>
      <w:r>
        <w:rPr>
          <w:sz w:val="20"/>
        </w:rPr>
        <w:tab/>
        <w:t>Energy Center’s First Set of Interrogatories were served by mail on all parties on September 6, 2001, and its First Set of Requests for Production were served by mail on all parties on September 20, 2001.</w:t>
      </w:r>
    </w:p>
  </w:footnote>
  <w:footnote w:id="3">
    <w:p>
      <w:pPr>
        <w:pStyle w:val="FootnoteText"/>
        <w:spacing w:lineRule="exact" w:line="200" w:before="0" w:after="120"/>
        <w:rPr/>
      </w:pPr>
      <w:r>
        <w:rPr>
          <w:rStyle w:val="FootnoteCharacters"/>
        </w:rPr>
        <w:footnoteRef/>
      </w:r>
      <w:r>
        <w:rPr>
          <w:sz w:val="20"/>
        </w:rPr>
        <w:t xml:space="preserve"> </w:t>
      </w:r>
      <w:r>
        <w:rPr>
          <w:sz w:val="20"/>
        </w:rPr>
        <w:tab/>
        <w:t>The case was originally scheduled to be tried later this month, but the trial date was postponed due to the surgery and recovery period of DEP’s counsel.  Obviously, any further delay in the trial date is prejudicial to Energy Center, and improperly serves the petitioners’ interests, because petitioners are seeking to delay the issuance of an air construction permit for Energy Center’s facility, notwithstanding DEP’s careful review of Energy Center’s application and DEP’s determination of intent to issue the permit.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CASE NOS. 01-2682, 01-2683, 01-2684</w:t>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pStyle w:val="Heading2"/>
      <w:numFmt w:val="upperLetter"/>
      <w:lvlText w:val="%2."/>
      <w:lvlJc w:val="start"/>
      <w:pPr>
        <w:tabs>
          <w:tab w:val="num" w:pos="1440"/>
        </w:tabs>
        <w:ind w:start="1440" w:hanging="720"/>
      </w:pPr>
      <w:rPr/>
    </w:lvl>
    <w:lvl w:ilvl="2">
      <w:start w:val="1"/>
      <w:pStyle w:val="Heading3"/>
      <w:numFmt w:val="decimal"/>
      <w:lvlText w:val="(%3)"/>
      <w:lvlJc w:val="start"/>
      <w:pPr>
        <w:tabs>
          <w:tab w:val="num" w:pos="2160"/>
        </w:tabs>
        <w:ind w:start="2160" w:hanging="720"/>
      </w:pPr>
      <w:rPr/>
    </w:lvl>
    <w:lvl w:ilvl="3">
      <w:start w:val="1"/>
      <w:pStyle w:val="Heading4"/>
      <w:numFmt w:val="lowerLetter"/>
      <w:lvlText w:val="(%4)"/>
      <w:lvlJc w:val="start"/>
      <w:pPr>
        <w:tabs>
          <w:tab w:val="num" w:pos="2880"/>
        </w:tabs>
        <w:ind w:start="2880" w:hanging="720"/>
      </w:pPr>
      <w:rPr/>
    </w:lvl>
    <w:lvl w:ilvl="4">
      <w:start w:val="1"/>
      <w:pStyle w:val="Heading5"/>
      <w:numFmt w:val="lowerRoman"/>
      <w:lvlText w:val="(%5)"/>
      <w:lvlJc w:val="start"/>
      <w:pPr>
        <w:tabs>
          <w:tab w:val="num" w:pos="3600"/>
        </w:tabs>
        <w:ind w:start="3600" w:hanging="720"/>
      </w:pPr>
      <w:rPr/>
    </w:lvl>
    <w:lvl w:ilvl="5">
      <w:start w:val="1"/>
      <w:pStyle w:val="Heading6"/>
      <w:numFmt w:val="decimal"/>
      <w:lvlText w:val="%6."/>
      <w:lvlJc w:val="start"/>
      <w:pPr>
        <w:tabs>
          <w:tab w:val="num" w:pos="4320"/>
        </w:tabs>
        <w:ind w:start="4320" w:hanging="720"/>
      </w:pPr>
      <w:rPr/>
    </w:lvl>
    <w:lvl w:ilvl="6">
      <w:start w:val="1"/>
      <w:pStyle w:val="Heading7"/>
      <w:numFmt w:val="lowerLetter"/>
      <w:lvlText w:val="%7."/>
      <w:lvlJc w:val="start"/>
      <w:pPr>
        <w:tabs>
          <w:tab w:val="num" w:pos="5040"/>
        </w:tabs>
        <w:ind w:start="5040" w:hanging="720"/>
      </w:pPr>
      <w:rPr/>
    </w:lvl>
    <w:lvl w:ilvl="7">
      <w:start w:val="1"/>
      <w:pStyle w:val="Heading8"/>
      <w:numFmt w:val="lowerRoman"/>
      <w:lvlText w:val="%8."/>
      <w:lvlJc w:val="start"/>
      <w:pPr>
        <w:tabs>
          <w:tab w:val="num" w:pos="5760"/>
        </w:tabs>
        <w:ind w:start="5760" w:hanging="720"/>
      </w:pPr>
      <w:rPr/>
    </w:lvl>
    <w:lvl w:ilvl="8">
      <w:start w:val="1"/>
      <w:pStyle w:val="Heading9"/>
      <w:numFmt w:val="decimal"/>
      <w:lvlText w:val="%9)"/>
      <w:lvlJc w:val="start"/>
      <w:pPr>
        <w:tabs>
          <w:tab w:val="num" w:pos="6480"/>
        </w:tabs>
        <w:ind w:start="6480" w:hanging="720"/>
      </w:pPr>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gtTLAUPref" w:val="0"/>
    <w:docVar w:name="gtTLDlgPref" w:val="Last page;36 points;Left;6;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5040" w:leader="none"/>
      </w:tabs>
      <w:suppressAutoHyphens w:val="true"/>
      <w:bidi w:val="0"/>
    </w:pPr>
    <w:rPr>
      <w:rFonts w:ascii="CG Times" w:hAnsi="CG Times" w:eastAsia="Times New Roman" w:cs="CG Times"/>
      <w:color w:val="auto"/>
      <w:sz w:val="24"/>
      <w:szCs w:val="24"/>
      <w:lang w:val="en-US" w:bidi="ar-SA" w:eastAsia="zh-CN"/>
    </w:rPr>
  </w:style>
  <w:style w:type="paragraph" w:styleId="Heading1">
    <w:name w:val="heading 1"/>
    <w:basedOn w:val="Normal"/>
    <w:next w:val="Double"/>
    <w:qFormat/>
    <w:pPr>
      <w:keepNext w:val="true"/>
      <w:numPr>
        <w:ilvl w:val="0"/>
        <w:numId w:val="1"/>
      </w:numPr>
      <w:spacing w:before="0" w:after="120"/>
      <w:ind w:hanging="0" w:start="0" w:end="720"/>
      <w:outlineLvl w:val="0"/>
    </w:pPr>
    <w:rPr>
      <w:rFonts w:ascii="CG Times Bold;Times New Roman" w:hAnsi="CG Times Bold;Times New Roman" w:cs="CG Times Bold;Times New Roman"/>
      <w:b/>
    </w:rPr>
  </w:style>
  <w:style w:type="paragraph" w:styleId="Heading2">
    <w:name w:val="heading 2"/>
    <w:basedOn w:val="Heading1"/>
    <w:next w:val="Double"/>
    <w:qFormat/>
    <w:pPr>
      <w:numPr>
        <w:ilvl w:val="1"/>
        <w:numId w:val="1"/>
      </w:numPr>
      <w:tabs>
        <w:tab w:val="left" w:pos="360" w:leader="none"/>
        <w:tab w:val="left" w:pos="720" w:leader="none"/>
        <w:tab w:val="left" w:pos="1440" w:leader="none"/>
        <w:tab w:val="left" w:pos="2160" w:leader="none"/>
        <w:tab w:val="left" w:pos="5040" w:leader="none"/>
      </w:tabs>
      <w:ind w:hanging="0" w:start="720" w:end="720"/>
      <w:outlineLvl w:val="1"/>
    </w:pPr>
    <w:rPr/>
  </w:style>
  <w:style w:type="paragraph" w:styleId="Heading3">
    <w:name w:val="heading 3"/>
    <w:basedOn w:val="Heading2"/>
    <w:next w:val="Double"/>
    <w:qFormat/>
    <w:pPr>
      <w:numPr>
        <w:ilvl w:val="2"/>
        <w:numId w:val="1"/>
      </w:numPr>
      <w:outlineLvl w:val="2"/>
    </w:pPr>
    <w:rPr/>
  </w:style>
  <w:style w:type="paragraph" w:styleId="Heading4">
    <w:name w:val="heading 4"/>
    <w:basedOn w:val="Heading3"/>
    <w:next w:val="Double"/>
    <w:qFormat/>
    <w:pPr>
      <w:numPr>
        <w:ilvl w:val="3"/>
        <w:numId w:val="1"/>
      </w:numPr>
      <w:outlineLvl w:val="3"/>
    </w:pPr>
    <w:rPr/>
  </w:style>
  <w:style w:type="paragraph" w:styleId="Heading5">
    <w:name w:val="heading 5"/>
    <w:basedOn w:val="Heading1"/>
    <w:next w:val="Double"/>
    <w:qFormat/>
    <w:pPr>
      <w:numPr>
        <w:ilvl w:val="4"/>
        <w:numId w:val="1"/>
      </w:numPr>
      <w:outlineLvl w:val="4"/>
    </w:pPr>
    <w:rPr/>
  </w:style>
  <w:style w:type="paragraph" w:styleId="Heading6">
    <w:name w:val="heading 6"/>
    <w:basedOn w:val="Heading1"/>
    <w:next w:val="Double"/>
    <w:qFormat/>
    <w:pPr>
      <w:numPr>
        <w:ilvl w:val="5"/>
        <w:numId w:val="1"/>
      </w:numPr>
      <w:outlineLvl w:val="5"/>
    </w:pPr>
    <w:rPr/>
  </w:style>
  <w:style w:type="paragraph" w:styleId="Heading7">
    <w:name w:val="heading 7"/>
    <w:basedOn w:val="Heading6"/>
    <w:next w:val="Double"/>
    <w:qFormat/>
    <w:pPr>
      <w:numPr>
        <w:ilvl w:val="6"/>
        <w:numId w:val="1"/>
      </w:numPr>
      <w:outlineLvl w:val="6"/>
    </w:pPr>
    <w:rPr/>
  </w:style>
  <w:style w:type="paragraph" w:styleId="Heading8">
    <w:name w:val="heading 8"/>
    <w:basedOn w:val="Heading7"/>
    <w:next w:val="Double"/>
    <w:qFormat/>
    <w:pPr>
      <w:numPr>
        <w:ilvl w:val="7"/>
        <w:numId w:val="1"/>
      </w:numPr>
      <w:outlineLvl w:val="7"/>
    </w:pPr>
    <w:rPr/>
  </w:style>
  <w:style w:type="paragraph" w:styleId="Heading9">
    <w:name w:val="heading 9"/>
    <w:basedOn w:val="Heading8"/>
    <w:next w:val="Double"/>
    <w:qFormat/>
    <w:pPr>
      <w:numPr>
        <w:ilvl w:val="8"/>
        <w:numId w:val="1"/>
      </w:numPr>
      <w:outlineLvl w:val="8"/>
    </w:pPr>
    <w:rPr/>
  </w:style>
  <w:style w:type="character" w:styleId="WW8Num1z0">
    <w:name w:val="WW8Num1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CG Times" w:hAnsi="CG Times" w:cs="CG Times"/>
      <w:sz w:val="24"/>
      <w:u w:val="none"/>
      <w:vertAlign w:val="superscript"/>
    </w:rPr>
  </w:style>
  <w:style w:type="character" w:styleId="PageNumber">
    <w:name w:val="page number"/>
    <w:basedOn w:val="DefaultParagraphFont"/>
    <w:rPr>
      <w:rFonts w:ascii="CG Times" w:hAnsi="CG Times" w:cs="CG Times"/>
      <w:sz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uble">
    <w:name w:val="Double"/>
    <w:basedOn w:val="Normal"/>
    <w:qFormat/>
    <w:pPr>
      <w:spacing w:lineRule="exact" w:line="480"/>
      <w:jc w:val="both"/>
    </w:pPr>
    <w:rPr/>
  </w:style>
  <w:style w:type="paragraph" w:styleId="QuoteIndent">
    <w:name w:val="QuoteIndent"/>
    <w:basedOn w:val="Normal"/>
    <w:next w:val="Double"/>
    <w:qFormat/>
    <w:pPr>
      <w:spacing w:before="200" w:after="160"/>
      <w:ind w:hanging="0" w:start="720" w:end="720"/>
      <w:jc w:val="both"/>
    </w:pPr>
    <w:rPr/>
  </w:style>
  <w:style w:type="paragraph" w:styleId="SignBlock">
    <w:name w:val="SignBlock"/>
    <w:basedOn w:val="Normal"/>
    <w:qFormat/>
    <w:pPr>
      <w:tabs>
        <w:tab w:val="clear" w:pos="720"/>
        <w:tab w:val="clear" w:pos="1440"/>
        <w:tab w:val="clear" w:pos="2160"/>
        <w:tab w:val="left" w:pos="5040" w:leader="none"/>
        <w:tab w:val="center" w:pos="7200" w:leader="none"/>
        <w:tab w:val="left" w:pos="9360" w:leader="none"/>
      </w:tabs>
    </w:pPr>
    <w:rPr/>
  </w:style>
  <w:style w:type="paragraph" w:styleId="TOC1">
    <w:name w:val="toc 1"/>
    <w:basedOn w:val="Normal"/>
    <w:pPr>
      <w:tabs>
        <w:tab w:val="clear" w:pos="720"/>
        <w:tab w:val="clear" w:pos="1440"/>
        <w:tab w:val="clear" w:pos="2160"/>
        <w:tab w:val="clear" w:pos="5040"/>
        <w:tab w:val="right" w:pos="9360" w:leader="dot"/>
      </w:tabs>
      <w:spacing w:before="0" w:after="240"/>
      <w:ind w:hanging="720" w:start="720" w:end="1440"/>
    </w:pPr>
    <w:rPr/>
  </w:style>
  <w:style w:type="paragraph" w:styleId="TOC2">
    <w:name w:val="toc 2"/>
    <w:basedOn w:val="TOC1"/>
    <w:pPr>
      <w:tabs>
        <w:tab w:val="left" w:pos="1440" w:leader="none"/>
        <w:tab w:val="right" w:pos="9360" w:leader="dot"/>
      </w:tabs>
      <w:ind w:hanging="720" w:start="1440" w:end="1440"/>
    </w:pPr>
    <w:rPr/>
  </w:style>
  <w:style w:type="paragraph" w:styleId="TOC3">
    <w:name w:val="toc 3"/>
    <w:basedOn w:val="TOC2"/>
    <w:pPr>
      <w:tabs>
        <w:tab w:val="left" w:pos="1440" w:leader="none"/>
        <w:tab w:val="left" w:pos="2160" w:leader="none"/>
        <w:tab w:val="right" w:pos="9360" w:leader="dot"/>
      </w:tabs>
      <w:ind w:hanging="720" w:start="2160" w:end="1440"/>
    </w:pPr>
    <w:rPr/>
  </w:style>
  <w:style w:type="paragraph" w:styleId="TOC4">
    <w:name w:val="toc 4"/>
    <w:basedOn w:val="TOC3"/>
    <w:pPr>
      <w:tabs>
        <w:tab w:val="left" w:pos="1440" w:leader="none"/>
        <w:tab w:val="left" w:pos="2160" w:leader="none"/>
        <w:tab w:val="left" w:pos="2880" w:leader="none"/>
        <w:tab w:val="right" w:pos="9360" w:leader="dot"/>
      </w:tabs>
      <w:ind w:hanging="720" w:start="2880" w:end="1440"/>
    </w:pPr>
    <w:rPr/>
  </w:style>
  <w:style w:type="paragraph" w:styleId="TOC5">
    <w:name w:val="toc 5"/>
    <w:basedOn w:val="TOC4"/>
    <w:pPr>
      <w:tabs>
        <w:tab w:val="left" w:pos="1440" w:leader="none"/>
        <w:tab w:val="left" w:pos="2160" w:leader="none"/>
        <w:tab w:val="left" w:pos="2880" w:leader="none"/>
        <w:tab w:val="left" w:pos="3600" w:leader="none"/>
        <w:tab w:val="right" w:pos="9360" w:leader="dot"/>
      </w:tabs>
      <w:ind w:hanging="720" w:start="3600" w:end="1440"/>
    </w:pPr>
    <w:rPr/>
  </w:style>
  <w:style w:type="paragraph" w:styleId="TOC6">
    <w:name w:val="toc 6"/>
    <w:basedOn w:val="TOC5"/>
    <w:next w:val="Normal"/>
    <w:pPr>
      <w:tabs>
        <w:tab w:val="left" w:pos="1440" w:leader="none"/>
        <w:tab w:val="left" w:pos="2160" w:leader="none"/>
        <w:tab w:val="left" w:pos="2880" w:leader="none"/>
        <w:tab w:val="left" w:pos="3600" w:leader="none"/>
        <w:tab w:val="left" w:pos="4320" w:leader="none"/>
        <w:tab w:val="right" w:pos="9360" w:leader="dot"/>
      </w:tabs>
      <w:ind w:hanging="720" w:start="4320" w:end="1440"/>
    </w:pPr>
    <w:rPr/>
  </w:style>
  <w:style w:type="paragraph" w:styleId="HeaderandFooter">
    <w:name w:val="Header and Footer"/>
    <w:basedOn w:val="Normal"/>
    <w:qFormat/>
    <w:pPr>
      <w:suppressLineNumbers/>
      <w:tabs>
        <w:tab w:val="clear" w:pos="720"/>
        <w:tab w:val="clear" w:pos="1440"/>
        <w:tab w:val="clear" w:pos="2160"/>
        <w:tab w:val="clear" w:pos="5040"/>
        <w:tab w:val="center" w:pos="4986" w:leader="none"/>
        <w:tab w:val="right" w:pos="9972" w:leader="none"/>
      </w:tabs>
    </w:pPr>
    <w:rPr/>
  </w:style>
  <w:style w:type="paragraph" w:styleId="Footer">
    <w:name w:val="footer"/>
    <w:basedOn w:val="Normal"/>
    <w:pPr/>
    <w:rPr/>
  </w:style>
  <w:style w:type="paragraph" w:styleId="FootnoteText">
    <w:name w:val="footnote text"/>
    <w:basedOn w:val="Normal"/>
    <w:pPr>
      <w:spacing w:before="0" w:after="120"/>
      <w:ind w:hanging="720" w:start="720" w:end="0"/>
      <w:jc w:val="both"/>
    </w:pPr>
    <w:rPr/>
  </w:style>
  <w:style w:type="paragraph" w:styleId="CenteredSM">
    <w:name w:val="Centered/SM"/>
    <w:basedOn w:val="Normal"/>
    <w:next w:val="Double"/>
    <w:qFormat/>
    <w:pPr>
      <w:keepNext w:val="true"/>
      <w:spacing w:before="0" w:after="120"/>
      <w:ind w:hanging="0" w:start="1440" w:end="1440"/>
      <w:jc w:val="center"/>
    </w:pPr>
    <w:rPr>
      <w:rFonts w:ascii="CG Times Bold;Times New Roman" w:hAnsi="CG Times Bold;Times New Roman" w:cs="CG Times Bold;Times New Roman"/>
      <w:b/>
      <w:smallCaps/>
    </w:rPr>
  </w:style>
  <w:style w:type="paragraph" w:styleId="CenteredHdg">
    <w:name w:val="CenteredHdg."/>
    <w:basedOn w:val="Normal"/>
    <w:next w:val="Double"/>
    <w:qFormat/>
    <w:pPr>
      <w:keepNext w:val="true"/>
      <w:spacing w:before="0" w:after="120"/>
      <w:ind w:hanging="0" w:start="1440" w:end="1440"/>
      <w:jc w:val="center"/>
    </w:pPr>
    <w:rPr>
      <w:rFonts w:ascii="CG Times Bold;Times New Roman" w:hAnsi="CG Times Bold;Times New Roman" w:cs="CG Times Bold;Times New Roman"/>
      <w:b/>
      <w:caps/>
    </w:rPr>
  </w:style>
  <w:style w:type="paragraph" w:styleId="Header">
    <w:name w:val="header"/>
    <w:basedOn w:val="Normal"/>
    <w:pPr/>
    <w:rPr/>
  </w:style>
  <w:style w:type="paragraph" w:styleId="DoubleLine">
    <w:name w:val="DoubleLine"/>
    <w:basedOn w:val="Normal"/>
    <w:next w:val="Normal"/>
    <w:qFormat/>
    <w:pPr>
      <w:tabs>
        <w:tab w:val="clear" w:pos="720"/>
        <w:tab w:val="clear" w:pos="1440"/>
        <w:tab w:val="clear" w:pos="2160"/>
        <w:tab w:val="clear" w:pos="5040"/>
        <w:tab w:val="right" w:pos="9360" w:leader="none"/>
      </w:tabs>
    </w:pPr>
    <w:rPr>
      <w:rFonts w:ascii="Calisto MT;Book Antiqua" w:hAnsi="Calisto MT;Book Antiqua" w:cs="Calisto MT;Book Antiqua"/>
      <w:u w:val="double"/>
    </w:rPr>
  </w:style>
  <w:style w:type="paragraph" w:styleId="QuoteFootnote">
    <w:name w:val="QuoteFootnote"/>
    <w:basedOn w:val="FootnoteText"/>
    <w:next w:val="FootnoteText"/>
    <w:qFormat/>
    <w:pPr>
      <w:ind w:hanging="0" w:start="1440" w:end="720"/>
    </w:pPr>
    <w:rPr/>
  </w:style>
  <w:style w:type="paragraph" w:styleId="Separator">
    <w:name w:val="Separator"/>
    <w:basedOn w:val="Normal"/>
    <w:qFormat/>
    <w:pPr/>
    <w:rPr/>
  </w:style>
  <w:style w:type="paragraph" w:styleId="Subsection">
    <w:name w:val="Subsection"/>
    <w:basedOn w:val="QuoteIndent"/>
    <w:next w:val="Double"/>
    <w:qFormat/>
    <w:pPr>
      <w:keepNext w:val="true"/>
      <w:spacing w:before="120" w:after="120"/>
    </w:pPr>
    <w:rPr>
      <w:b/>
    </w:rPr>
  </w:style>
  <w:style w:type="paragraph" w:styleId="TableofAuthorities">
    <w:name w:val="Table of Authorities"/>
    <w:basedOn w:val="Normal"/>
    <w:next w:val="Normal"/>
    <w:qFormat/>
    <w:pPr>
      <w:keepLines/>
      <w:tabs>
        <w:tab w:val="left" w:pos="720" w:leader="none"/>
        <w:tab w:val="left" w:pos="1440" w:leader="none"/>
        <w:tab w:val="left" w:pos="2160" w:leader="none"/>
        <w:tab w:val="left" w:pos="5040" w:leader="none"/>
        <w:tab w:val="right" w:pos="9360" w:leader="dot"/>
      </w:tabs>
      <w:spacing w:before="0" w:after="240"/>
      <w:ind w:hanging="720" w:start="720" w:end="1440"/>
    </w:pPr>
    <w:rPr/>
  </w:style>
  <w:style w:type="paragraph" w:styleId="TOAHeading">
    <w:name w:val="TOA Heading"/>
    <w:basedOn w:val="Normal"/>
    <w:next w:val="TableofAuthorities"/>
    <w:qFormat/>
    <w:pPr>
      <w:keepNext w:val="true"/>
      <w:spacing w:before="0" w:after="240"/>
      <w:jc w:val="center"/>
    </w:pPr>
    <w:rPr>
      <w:rFonts w:ascii="CG Times Bold;Times New Roman" w:hAnsi="CG Times Bold;Times New Roman" w:cs="CG Times Bold;Times New Roman"/>
      <w:b/>
    </w:rPr>
  </w:style>
  <w:style w:type="paragraph" w:styleId="TOC7">
    <w:name w:val="toc 7"/>
    <w:basedOn w:val="TOC6"/>
    <w:pPr>
      <w:tabs>
        <w:tab w:val="left" w:pos="1440" w:leader="none"/>
        <w:tab w:val="left" w:pos="2160" w:leader="none"/>
        <w:tab w:val="left" w:pos="2880" w:leader="none"/>
        <w:tab w:val="left" w:pos="3600" w:leader="none"/>
        <w:tab w:val="left" w:pos="4320" w:leader="none"/>
        <w:tab w:val="left" w:pos="5040" w:leader="none"/>
        <w:tab w:val="right" w:pos="9360" w:leader="dot"/>
      </w:tabs>
      <w:ind w:hanging="720" w:start="5040" w:end="1440"/>
    </w:pPr>
    <w:rPr/>
  </w:style>
  <w:style w:type="paragraph" w:styleId="TOC8">
    <w:name w:val="toc 8"/>
    <w:basedOn w:val="TOC7"/>
    <w:next w:val="Normal"/>
    <w:pPr>
      <w:tabs>
        <w:tab w:val="left" w:pos="1440" w:leader="none"/>
        <w:tab w:val="left" w:pos="2160" w:leader="none"/>
        <w:tab w:val="left" w:pos="2880" w:leader="none"/>
        <w:tab w:val="left" w:pos="3600" w:leader="none"/>
        <w:tab w:val="left" w:pos="4320" w:leader="none"/>
        <w:tab w:val="left" w:pos="5040" w:leader="none"/>
        <w:tab w:val="left" w:pos="5760" w:leader="none"/>
        <w:tab w:val="right" w:pos="9360" w:leader="dot"/>
      </w:tabs>
      <w:ind w:hanging="720" w:start="5760" w:end="1440"/>
    </w:pPr>
    <w:rPr/>
  </w:style>
  <w:style w:type="paragraph" w:styleId="TOC9">
    <w:name w:val="toc 9"/>
    <w:basedOn w:val="TOC8"/>
    <w:p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dot"/>
      </w:tabs>
      <w:ind w:hanging="720" w:start="648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Pleading--DCA.dot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2001-10-18T17:21:00Z</dcterms:created>
  <dc:creator>Barbara Augenblick</dc:creator>
  <dc:description/>
  <dc:language>en-CA</dc:language>
  <cp:lastModifiedBy>Ryan Reetz</cp:lastModifiedBy>
  <cp:lastPrinted>2001-10-12T15:33:00Z</cp:lastPrinted>
  <dcterms:modified xsi:type="dcterms:W3CDTF">2001-10-18T17:21:00Z</dcterms:modified>
  <cp:revision>2</cp:revision>
  <dc:subject/>
  <dc:title>WINSTON/MOTION TO EXPEDITE APPEAL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\\MIA-SRV01\REETZR\616669v01\D7TP01!.DOC\9/26/01\42292.011300</vt:lpwstr>
  </property>
</Properties>
</file>