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rPr/>
      </w:pPr>
      <w:r>
        <w:rPr/>
      </w:r>
    </w:p>
    <w:p>
      <w:pPr>
        <w:sectPr>
          <w:headerReference w:type="default" r:id="rId2"/>
          <w:type w:val="nextPage"/>
          <w:pgSz w:w="12240" w:h="15840"/>
          <w:pgMar w:left="1800" w:right="1800" w:gutter="0" w:header="720" w:top="2880" w:footer="0" w:bottom="1440"/>
          <w:pgNumType w:fmt="decimal"/>
          <w:formProt w:val="false"/>
          <w:textDirection w:val="lrTb"/>
          <w:docGrid w:type="default" w:linePitch="360" w:charSpace="0"/>
        </w:sectPr>
      </w:pPr>
    </w:p>
    <w:p>
      <w:pPr>
        <w:pStyle w:val="Normal"/>
        <w:rPr>
          <w:sz w:val="24"/>
        </w:rPr>
      </w:pPr>
      <w:r>
        <w:rPr>
          <w:sz w:val="24"/>
        </w:rPr>
        <w:t>TO:</w:t>
        <w:tab/>
        <w:tab/>
        <w:t>Chairman Pat Wood</w:t>
      </w:r>
    </w:p>
    <w:p>
      <w:pPr>
        <w:pStyle w:val="Normal"/>
        <w:rPr>
          <w:sz w:val="24"/>
        </w:rPr>
      </w:pPr>
      <w:r>
        <w:rPr>
          <w:sz w:val="24"/>
        </w:rPr>
        <w:tab/>
        <w:tab/>
        <w:t>Commissioner Brett Perlman</w:t>
      </w:r>
    </w:p>
    <w:p>
      <w:pPr>
        <w:pStyle w:val="Normal"/>
        <w:rPr>
          <w:sz w:val="24"/>
        </w:rPr>
      </w:pPr>
      <w:r>
        <w:rPr>
          <w:sz w:val="24"/>
        </w:rPr>
        <w:t>FROM:</w:t>
        <w:tab/>
        <w:t>Eric S. Schubert, Market Oversight Division</w:t>
      </w:r>
    </w:p>
    <w:p>
      <w:pPr>
        <w:pStyle w:val="Normal"/>
        <w:rPr>
          <w:sz w:val="24"/>
        </w:rPr>
      </w:pPr>
      <w:r>
        <w:rPr>
          <w:sz w:val="24"/>
        </w:rPr>
        <w:t>DATE:</w:t>
        <w:tab/>
        <w:tab/>
        <w:t>May 7, 2001</w:t>
      </w:r>
    </w:p>
    <w:p>
      <w:pPr>
        <w:pStyle w:val="Normal"/>
        <w:rPr>
          <w:sz w:val="24"/>
        </w:rPr>
      </w:pPr>
      <w:r>
        <w:rPr>
          <w:sz w:val="24"/>
        </w:rPr>
      </w:r>
    </w:p>
    <w:p>
      <w:pPr>
        <w:pStyle w:val="Normal"/>
        <w:ind w:hanging="1440" w:start="1440" w:end="0"/>
        <w:rPr/>
      </w:pPr>
      <w:r>
        <w:rPr>
          <w:sz w:val="24"/>
        </w:rPr>
        <w:t>RE:</w:t>
        <w:tab/>
        <w:t xml:space="preserve">Docket 23774, </w:t>
      </w:r>
      <w:r>
        <w:rPr>
          <w:i/>
          <w:sz w:val="24"/>
        </w:rPr>
        <w:t>Implementation of the Capacity Auction Rule</w:t>
      </w:r>
      <w:r>
        <w:rPr>
          <w:sz w:val="24"/>
        </w:rPr>
        <w:t>, Update and Request for Action</w:t>
      </w:r>
    </w:p>
    <w:p>
      <w:pPr>
        <w:pStyle w:val="Normal"/>
        <w:rPr>
          <w:sz w:val="24"/>
          <w:lang w:eastAsia="en-US"/>
        </w:rPr>
      </w:pPr>
      <w:r>
        <w:rPr>
          <w:sz w:val="24"/>
          <w:lang w:eastAsia="en-US"/>
        </w:rPr>
      </w:r>
    </w:p>
    <w:p>
      <w:pPr>
        <w:pStyle w:val="Normal"/>
        <w:rPr>
          <w:sz w:val="24"/>
          <w:lang w:eastAsia="en-US"/>
        </w:rPr>
      </w:pPr>
      <w:r>
        <w:rPr>
          <w:sz w:val="24"/>
          <w:lang w:eastAsia="en-US"/>
        </w:rPr>
      </w:r>
    </w:p>
    <w:p>
      <w:pPr>
        <w:pStyle w:val="Normal"/>
        <w:rPr/>
      </w:pPr>
      <w:r>
        <w:rPr>
          <w:sz w:val="24"/>
          <w:lang w:eastAsia="en-US"/>
        </w:rPr>
        <w:t xml:space="preserve">During the months of April and May 2001, Staff has been collaborating with two stakeholder working groups to implement PUC SUBST. R.   25.381, </w:t>
      </w:r>
      <w:r>
        <w:rPr>
          <w:i/>
          <w:sz w:val="24"/>
          <w:lang w:eastAsia="en-US"/>
        </w:rPr>
        <w:t>Capacity Auctions.</w:t>
      </w:r>
      <w:r>
        <w:rPr>
          <w:sz w:val="24"/>
          <w:lang w:eastAsia="en-US"/>
        </w:rPr>
        <w:t xml:space="preserve">  These groups have included potential buyers and sellers of capacity auction products in ERCOT and the Texas portions of the Southwest Power Pool (SPP).  The two working groups have accomplished the following:</w:t>
      </w:r>
    </w:p>
    <w:p>
      <w:pPr>
        <w:pStyle w:val="Normal"/>
        <w:rPr>
          <w:sz w:val="24"/>
          <w:lang w:eastAsia="en-US"/>
        </w:rPr>
      </w:pPr>
      <w:r>
        <w:rPr>
          <w:sz w:val="24"/>
          <w:lang w:eastAsia="en-US"/>
        </w:rPr>
      </w:r>
    </w:p>
    <w:p>
      <w:pPr>
        <w:pStyle w:val="Normal"/>
        <w:tabs>
          <w:tab w:val="left" w:pos="720" w:leader="none"/>
        </w:tabs>
        <w:ind w:hanging="360" w:start="720" w:end="0"/>
        <w:rPr>
          <w:sz w:val="24"/>
          <w:lang w:eastAsia="en-US"/>
        </w:rPr>
      </w:pPr>
      <w:r>
        <w:rPr>
          <w:sz w:val="24"/>
          <w:lang w:eastAsia="en-US"/>
        </w:rPr>
        <w:t>1.</w:t>
        <w:tab/>
        <w:t xml:space="preserve">Created a standard form agreement for the purchase and sale of capacity auction products in ERCOT and the SPP, </w:t>
      </w:r>
    </w:p>
    <w:p>
      <w:pPr>
        <w:pStyle w:val="Normal"/>
        <w:ind w:hanging="360" w:start="720" w:end="0"/>
        <w:rPr>
          <w:sz w:val="24"/>
          <w:lang w:eastAsia="en-US"/>
        </w:rPr>
      </w:pPr>
      <w:r>
        <w:rPr>
          <w:sz w:val="24"/>
          <w:lang w:eastAsia="en-US"/>
        </w:rPr>
        <w:t>2.</w:t>
        <w:tab/>
        <w:t>Provided more detail about the scheduling and characteristics of the four capacity auction products listed in PUC SUBST. R.   25.381 so buyers may use these products to provide ancillary services, and</w:t>
      </w:r>
    </w:p>
    <w:p>
      <w:pPr>
        <w:pStyle w:val="Normal"/>
        <w:ind w:hanging="360" w:start="720" w:end="0"/>
        <w:rPr>
          <w:sz w:val="24"/>
          <w:lang w:eastAsia="en-US"/>
        </w:rPr>
      </w:pPr>
      <w:r>
        <w:rPr>
          <w:sz w:val="24"/>
          <w:lang w:eastAsia="en-US"/>
        </w:rPr>
        <w:t>3.</w:t>
        <w:tab/>
        <w:t>Developed procedures and methodologies for capacity auctions that will take place in 2001 and 2002.</w:t>
      </w:r>
    </w:p>
    <w:p>
      <w:pPr>
        <w:pStyle w:val="Normal"/>
        <w:rPr>
          <w:sz w:val="24"/>
          <w:lang w:eastAsia="en-US"/>
        </w:rPr>
      </w:pPr>
      <w:r>
        <w:rPr>
          <w:sz w:val="24"/>
          <w:lang w:eastAsia="en-US"/>
        </w:rPr>
      </w:r>
    </w:p>
    <w:p>
      <w:pPr>
        <w:pStyle w:val="Normal"/>
        <w:rPr/>
      </w:pPr>
      <w:r>
        <w:rPr>
          <w:sz w:val="24"/>
          <w:lang w:eastAsia="en-US"/>
        </w:rPr>
        <w:t xml:space="preserve">At the request of the working groups, Staff is filing the work product of these efforts on May 8, 2001 for formal review by the Commission.  </w:t>
      </w:r>
      <w:r>
        <w:rPr>
          <w:sz w:val="24"/>
        </w:rPr>
        <w:t xml:space="preserve">Because of the importance of the capacity auctions, Staff has converted the Project 23774, </w:t>
      </w:r>
      <w:r>
        <w:rPr>
          <w:i/>
          <w:sz w:val="24"/>
        </w:rPr>
        <w:t>Implementation of the Capacity Auction Rule</w:t>
      </w:r>
      <w:r>
        <w:rPr>
          <w:sz w:val="24"/>
        </w:rPr>
        <w:t xml:space="preserve"> into a docket with a final order to resolve remaining areas of stakeholder disagreement.  Because the implementation has become a docket, parties to the case may request a hearing on the merits.  A pre-hearing conference has been scheduled for May 22, 2001.</w:t>
      </w:r>
    </w:p>
    <w:p>
      <w:pPr>
        <w:pStyle w:val="Normal"/>
        <w:rPr>
          <w:sz w:val="24"/>
        </w:rPr>
      </w:pPr>
      <w:r>
        <w:rPr>
          <w:sz w:val="24"/>
        </w:rPr>
      </w:r>
    </w:p>
    <w:p>
      <w:pPr>
        <w:pStyle w:val="Normal"/>
        <w:rPr>
          <w:sz w:val="24"/>
        </w:rPr>
      </w:pPr>
      <w:r>
        <w:rPr>
          <w:sz w:val="24"/>
        </w:rPr>
        <w:t>Staff requests the following actions at the open meeting tomorrow:</w:t>
      </w:r>
    </w:p>
    <w:p>
      <w:pPr>
        <w:pStyle w:val="Normal"/>
        <w:rPr>
          <w:sz w:val="24"/>
        </w:rPr>
      </w:pPr>
      <w:r>
        <w:rPr>
          <w:sz w:val="24"/>
        </w:rPr>
      </w:r>
    </w:p>
    <w:p>
      <w:pPr>
        <w:pStyle w:val="Normal"/>
        <w:numPr>
          <w:ilvl w:val="0"/>
          <w:numId w:val="1"/>
        </w:numPr>
        <w:rPr>
          <w:sz w:val="24"/>
        </w:rPr>
      </w:pPr>
      <w:r>
        <w:rPr>
          <w:sz w:val="24"/>
        </w:rPr>
        <w:t>Confirm that you will be available for a hearing in late June if one of the parties to the case requests a hearing.  If the hearing is short, Staff hopes that an hour or two of the scheduled June 28 Open Meeting will be sufficient to address outstanding issues and concerns.</w:t>
      </w:r>
    </w:p>
    <w:p>
      <w:pPr>
        <w:pStyle w:val="Normal"/>
        <w:ind w:start="360" w:end="0"/>
        <w:rPr>
          <w:sz w:val="24"/>
        </w:rPr>
      </w:pPr>
      <w:r>
        <w:rPr>
          <w:sz w:val="24"/>
        </w:rPr>
      </w:r>
    </w:p>
    <w:p>
      <w:pPr>
        <w:pStyle w:val="Normal"/>
        <w:ind w:start="360" w:end="0"/>
        <w:rPr>
          <w:sz w:val="24"/>
        </w:rPr>
      </w:pPr>
      <w:r>
        <w:rPr>
          <w:sz w:val="24"/>
        </w:rPr>
      </w:r>
    </w:p>
    <w:p>
      <w:pPr>
        <w:pStyle w:val="Normal"/>
        <w:ind w:start="360" w:end="0"/>
        <w:rPr>
          <w:sz w:val="24"/>
        </w:rPr>
      </w:pPr>
      <w:r>
        <w:rPr>
          <w:sz w:val="24"/>
        </w:rPr>
      </w:r>
    </w:p>
    <w:p>
      <w:pPr>
        <w:pStyle w:val="Normal"/>
        <w:ind w:start="360" w:end="0"/>
        <w:rPr>
          <w:sz w:val="24"/>
        </w:rPr>
      </w:pPr>
      <w:r>
        <w:rPr>
          <w:sz w:val="24"/>
        </w:rPr>
      </w:r>
    </w:p>
    <w:p>
      <w:pPr>
        <w:pStyle w:val="Normal"/>
        <w:ind w:start="360" w:end="0"/>
        <w:rPr>
          <w:sz w:val="24"/>
        </w:rPr>
      </w:pPr>
      <w:r>
        <w:rPr>
          <w:sz w:val="24"/>
        </w:rPr>
      </w:r>
    </w:p>
    <w:p>
      <w:pPr>
        <w:pStyle w:val="Normal"/>
        <w:ind w:start="360" w:end="0"/>
        <w:rPr>
          <w:sz w:val="24"/>
        </w:rPr>
      </w:pPr>
      <w:r>
        <w:rPr>
          <w:sz w:val="24"/>
        </w:rPr>
      </w:r>
    </w:p>
    <w:p>
      <w:pPr>
        <w:pStyle w:val="Normal"/>
        <w:ind w:start="360" w:end="0"/>
        <w:rPr/>
      </w:pPr>
      <w:r>
        <w:rPr>
          <w:sz w:val="24"/>
        </w:rPr>
        <w:t>2.</w:t>
        <w:tab/>
        <w:t xml:space="preserve">Direct Staff to review the results of the first capacity auction (to be completed by September 1, 2001) and authorize Staff to initiate a rulemaking procedure, if needed, to revise </w:t>
      </w:r>
      <w:r>
        <w:rPr>
          <w:sz w:val="24"/>
          <w:lang w:eastAsia="en-US"/>
        </w:rPr>
        <w:t xml:space="preserve">PUC SUBST. R.   25.381 to implement any needed improvements in capacity auction products or procedures, per PUC SUBST. R.   25.381(j). </w:t>
      </w:r>
      <w:r>
        <w:rPr>
          <w:sz w:val="24"/>
        </w:rPr>
        <w:t xml:space="preserve"> This rulemaking will be concluded in a timely fashion so that the sellers of capacity auction products can adjust their offerings prior to the second auction scheduled in March 2002.</w:t>
      </w:r>
    </w:p>
    <w:p>
      <w:pPr>
        <w:pStyle w:val="Normal"/>
        <w:tabs>
          <w:tab w:val="clear" w:pos="720"/>
          <w:tab w:val="left" w:pos="1170" w:leader="none"/>
        </w:tabs>
        <w:rPr>
          <w:sz w:val="24"/>
        </w:rPr>
      </w:pPr>
      <w:r>
        <w:rPr>
          <w:sz w:val="24"/>
        </w:rPr>
      </w:r>
    </w:p>
    <w:p>
      <w:pPr>
        <w:sectPr>
          <w:type w:val="continuous"/>
          <w:pgSz w:w="12240" w:h="15840"/>
          <w:pgMar w:left="1440" w:right="1800" w:gutter="0" w:header="720" w:top="2880" w:footer="0" w:bottom="1440"/>
          <w:formProt w:val="false"/>
          <w:textDirection w:val="lrTb"/>
          <w:docGrid w:type="default" w:linePitch="360" w:charSpace="0"/>
        </w:sectPr>
      </w:pPr>
    </w:p>
    <w:p>
      <w:pPr>
        <w:pStyle w:val="Normal"/>
        <w:tabs>
          <w:tab w:val="clear" w:pos="720"/>
          <w:tab w:val="left" w:pos="1170" w:leader="none"/>
        </w:tabs>
        <w:rPr/>
      </w:pPr>
      <w:r>
        <w:rPr/>
      </w:r>
    </w:p>
    <w:sectPr>
      <w:type w:val="continuous"/>
      <w:pgSz w:w="12240" w:h="15840"/>
      <w:pgMar w:left="1440" w:right="1800" w:gutter="0" w:header="720" w:top="288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38"/>
      </w:rPr>
    </w:pPr>
    <w:r>
      <w:rPr>
        <w:b/>
        <w:i/>
        <w:sz w:val="38"/>
      </w:rPr>
      <w:t>Public Utility Commission of Texas</w:t>
    </w:r>
  </w:p>
  <w:p>
    <w:pPr>
      <w:pStyle w:val="Header"/>
      <w:tabs>
        <w:tab w:val="clear" w:pos="4320"/>
        <w:tab w:val="left" w:pos="1800" w:leader="none"/>
        <w:tab w:val="left" w:pos="6840" w:leader="none"/>
        <w:tab w:val="right" w:pos="8640" w:leader="none"/>
      </w:tabs>
      <w:spacing w:before="120" w:after="120"/>
      <w:rPr>
        <w:b/>
        <w:sz w:val="12"/>
      </w:rPr>
    </w:pPr>
    <w:r>
      <w:rPr>
        <w:b/>
        <w:sz w:val="12"/>
      </w:rPr>
      <w:tab/>
    </w:r>
    <w:r>
      <w:rPr>
        <w:b/>
        <w:sz w:val="12"/>
        <w:u w:val="single"/>
      </w:rPr>
      <w:tab/>
    </w:r>
  </w:p>
  <w:p>
    <w:pPr>
      <w:pStyle w:val="Header"/>
      <w:tabs>
        <w:tab w:val="left" w:pos="1980" w:leader="none"/>
        <w:tab w:val="center" w:pos="4320" w:leader="none"/>
        <w:tab w:val="left" w:pos="6750" w:leader="none"/>
        <w:tab w:val="right" w:pos="8640" w:leader="none"/>
      </w:tabs>
      <w:jc w:val="center"/>
      <w:rPr>
        <w:b/>
        <w:sz w:val="38"/>
      </w:rPr>
    </w:pPr>
    <w:r>
      <w:rPr>
        <w:b/>
        <w:sz w:val="38"/>
      </w:rPr>
      <w:t>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Pucmemo.dot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2001-05-07T15:47:00Z</dcterms:created>
  <dc:creator>eschubert</dc:creator>
  <dc:description/>
  <dc:language>en-CA</dc:language>
  <cp:lastModifiedBy>eschubert</cp:lastModifiedBy>
  <cp:lastPrinted>2001-05-07T13:37:00Z</cp:lastPrinted>
  <dcterms:modified xsi:type="dcterms:W3CDTF">2001-05-07T16:14:00Z</dcterms:modified>
  <cp:revision>4</cp:revision>
  <dc:subject/>
  <dc:title>TO:</dc:title>
</cp:coreProperties>
</file>