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KIRK G. FORREST</w:t>
      </w:r>
    </w:p>
    <w:p>
      <w:pPr>
        <w:pStyle w:val="Normal"/>
        <w:tabs>
          <w:tab w:val="clear" w:pos="720"/>
          <w:tab w:val="left" w:pos="540" w:leader="none"/>
          <w:tab w:val="center" w:pos="4680" w:leader="none"/>
        </w:tabs>
        <w:jc w:val="center"/>
        <w:rPr>
          <w:sz w:val="26"/>
        </w:rPr>
      </w:pPr>
      <w:r>
        <w:rPr>
          <w:sz w:val="28"/>
        </w:rPr>
        <w:t>3520 East 104</w:t>
      </w:r>
      <w:r>
        <w:rPr>
          <w:sz w:val="28"/>
          <w:vertAlign w:val="superscript"/>
        </w:rPr>
        <w:t>th</w:t>
      </w:r>
      <w:r>
        <w:rPr>
          <w:sz w:val="28"/>
        </w:rPr>
        <w:t xml:space="preserve"> Street</w:t>
      </w:r>
    </w:p>
    <w:p>
      <w:pPr>
        <w:pStyle w:val="Normal"/>
        <w:tabs>
          <w:tab w:val="clear" w:pos="720"/>
          <w:tab w:val="left" w:pos="540" w:leader="none"/>
          <w:tab w:val="center" w:pos="4680" w:leader="none"/>
        </w:tabs>
        <w:jc w:val="center"/>
        <w:rPr>
          <w:sz w:val="26"/>
        </w:rPr>
      </w:pPr>
      <w:r>
        <w:rPr>
          <w:sz w:val="26"/>
        </w:rPr>
        <w:t>Tulsa, Oklahoma  74137</w:t>
      </w:r>
    </w:p>
    <w:p>
      <w:pPr>
        <w:pStyle w:val="Normal"/>
        <w:pBdr>
          <w:bottom w:val="single" w:sz="4" w:space="1" w:color="000000"/>
        </w:pBdr>
        <w:tabs>
          <w:tab w:val="clear" w:pos="720"/>
          <w:tab w:val="left" w:pos="540" w:leader="none"/>
          <w:tab w:val="center" w:pos="4680" w:leader="none"/>
        </w:tabs>
        <w:jc w:val="center"/>
        <w:rPr>
          <w:sz w:val="26"/>
        </w:rPr>
      </w:pPr>
      <w:r>
        <w:rPr>
          <w:sz w:val="26"/>
        </w:rPr>
        <w:t>Home:  (918) 296-5005, Office:  (918) 523-3354</w:t>
      </w:r>
    </w:p>
    <w:p>
      <w:pPr>
        <w:pStyle w:val="Normal"/>
        <w:pBdr>
          <w:bottom w:val="single" w:sz="4" w:space="1" w:color="000000"/>
        </w:pBdr>
        <w:tabs>
          <w:tab w:val="clear" w:pos="720"/>
          <w:tab w:val="left" w:pos="540" w:leader="none"/>
          <w:tab w:val="center" w:pos="4680" w:leader="none"/>
        </w:tabs>
        <w:jc w:val="center"/>
        <w:rPr>
          <w:sz w:val="26"/>
        </w:rPr>
      </w:pPr>
      <w:r>
        <w:rPr>
          <w:sz w:val="26"/>
        </w:rPr>
      </w:r>
    </w:p>
    <w:p>
      <w:pPr>
        <w:pStyle w:val="Normal"/>
        <w:tabs>
          <w:tab w:val="clear" w:pos="720"/>
          <w:tab w:val="left" w:pos="540" w:leader="none"/>
        </w:tabs>
        <w:rPr>
          <w:sz w:val="26"/>
        </w:rPr>
      </w:pPr>
      <w:r>
        <w:rPr>
          <w:sz w:val="26"/>
        </w:rPr>
      </w:r>
    </w:p>
    <w:p>
      <w:pPr>
        <w:pStyle w:val="Normal"/>
        <w:tabs>
          <w:tab w:val="clear" w:pos="720"/>
          <w:tab w:val="left" w:pos="540" w:leader="none"/>
        </w:tabs>
        <w:rPr>
          <w:b/>
          <w:sz w:val="26"/>
        </w:rPr>
      </w:pPr>
      <w:r>
        <w:rPr>
          <w:b/>
          <w:sz w:val="26"/>
        </w:rPr>
        <w:t>EDUCATION:</w:t>
      </w:r>
    </w:p>
    <w:p>
      <w:pPr>
        <w:pStyle w:val="Normal"/>
        <w:tabs>
          <w:tab w:val="clear" w:pos="720"/>
          <w:tab w:val="left" w:pos="540" w:leader="none"/>
        </w:tabs>
        <w:ind w:firstLine="720" w:end="0"/>
        <w:rPr/>
      </w:pPr>
      <w:r>
        <w:rPr/>
      </w:r>
    </w:p>
    <w:p>
      <w:pPr>
        <w:pStyle w:val="Normal"/>
        <w:tabs>
          <w:tab w:val="clear" w:pos="720"/>
          <w:tab w:val="left" w:pos="540" w:leader="none"/>
        </w:tabs>
        <w:rPr/>
      </w:pPr>
      <w:r>
        <w:rPr/>
        <w:tab/>
        <w:tab/>
        <w:t>J.D. Harvard Law School, 1975</w:t>
      </w:r>
    </w:p>
    <w:p>
      <w:pPr>
        <w:pStyle w:val="Normal"/>
        <w:tabs>
          <w:tab w:val="clear" w:pos="720"/>
          <w:tab w:val="left" w:pos="540" w:leader="none"/>
        </w:tabs>
        <w:rPr/>
      </w:pPr>
      <w:r>
        <w:rPr/>
        <w:tab/>
        <w:tab/>
        <w:t xml:space="preserve">A.B., </w:t>
      </w:r>
      <w:r>
        <w:rPr>
          <w:i/>
        </w:rPr>
        <w:t>Magna Cum Laude</w:t>
      </w:r>
      <w:r>
        <w:rPr/>
        <w:t>, Cornell University, 1971</w:t>
      </w:r>
    </w:p>
    <w:p>
      <w:pPr>
        <w:pStyle w:val="Normal"/>
        <w:tabs>
          <w:tab w:val="clear" w:pos="720"/>
          <w:tab w:val="left" w:pos="540" w:leader="none"/>
        </w:tabs>
        <w:rPr/>
      </w:pPr>
      <w:r>
        <w:rPr/>
      </w:r>
    </w:p>
    <w:p>
      <w:pPr>
        <w:pStyle w:val="Normal"/>
        <w:tabs>
          <w:tab w:val="clear" w:pos="720"/>
          <w:tab w:val="left" w:pos="540" w:leader="none"/>
        </w:tabs>
        <w:rPr>
          <w:b/>
          <w:sz w:val="26"/>
        </w:rPr>
      </w:pPr>
      <w:r>
        <w:rPr>
          <w:b/>
          <w:sz w:val="26"/>
        </w:rPr>
        <w:t>WORK EXPERIENCE:</w:t>
      </w:r>
    </w:p>
    <w:p>
      <w:pPr>
        <w:pStyle w:val="Normal"/>
        <w:tabs>
          <w:tab w:val="clear" w:pos="720"/>
          <w:tab w:val="left" w:pos="540" w:leader="none"/>
        </w:tabs>
        <w:rPr>
          <w:b/>
          <w:sz w:val="26"/>
        </w:rPr>
      </w:pPr>
      <w:r>
        <w:rPr>
          <w:b/>
          <w:sz w:val="26"/>
        </w:rPr>
      </w:r>
    </w:p>
    <w:p>
      <w:pPr>
        <w:pStyle w:val="Normal"/>
        <w:tabs>
          <w:tab w:val="clear" w:pos="720"/>
          <w:tab w:val="left" w:pos="540" w:leader="none"/>
        </w:tabs>
        <w:ind w:start="540" w:end="0"/>
        <w:rPr/>
      </w:pPr>
      <w:r>
        <w:rPr>
          <w:sz w:val="26"/>
        </w:rPr>
        <w:tab/>
      </w:r>
      <w:r>
        <w:rPr/>
        <w:t>1998 - Present</w:t>
        <w:tab/>
        <w:tab/>
      </w:r>
      <w:r>
        <w:rPr>
          <w:b/>
        </w:rPr>
        <w:t>ASSOCIATE GENERAL COUNSEL</w:t>
      </w:r>
    </w:p>
    <w:p>
      <w:pPr>
        <w:pStyle w:val="Normal"/>
        <w:tabs>
          <w:tab w:val="clear" w:pos="720"/>
          <w:tab w:val="left" w:pos="540" w:leader="none"/>
        </w:tabs>
        <w:ind w:start="540" w:end="0"/>
        <w:rPr/>
      </w:pPr>
      <w:r>
        <w:rPr/>
        <w:tab/>
        <w:tab/>
        <w:tab/>
        <w:tab/>
        <w:t>The Williams Companies, Tulsa, Oklahoma</w:t>
      </w:r>
    </w:p>
    <w:p>
      <w:pPr>
        <w:pStyle w:val="Normal"/>
        <w:tabs>
          <w:tab w:val="clear" w:pos="720"/>
          <w:tab w:val="left" w:pos="540" w:leader="none"/>
        </w:tabs>
        <w:rPr/>
      </w:pPr>
      <w:r>
        <w:rPr/>
      </w:r>
    </w:p>
    <w:p>
      <w:pPr>
        <w:pStyle w:val="BodyTextIndent"/>
        <w:jc w:val="both"/>
        <w:rPr>
          <w:sz w:val="24"/>
        </w:rPr>
      </w:pPr>
      <w:r>
        <w:rPr>
          <w:sz w:val="24"/>
        </w:rPr>
        <w:t>Corporate Vice President level position reporting to Senior Vice President &amp; General Counsel.  Williams is a large (Fortune 168) diversified energy and communications company with annual revenue exceeding $12 billion.  One of four associate general counsel leading a combined legal staff of 100 attorneys.  Shared Legal Department management and included among the Company’s 60 senior officers.  Primary responsibilities include the management of the following Legal Department functions:  (1) litigation, (2) environmental, (3) compliance, (4) real estate, and (5) insurance.    I personally handle active litigation (first chair), litigation management, mediation, arbitration and other dispute resolution techniques.  Established and built the Litigation Department from its inception, including the recruitment and hiring of experienced litigators who are able to “partner” with outside counsel on selected matters.  Active complex, commercial litigation practice.  Accountable for the handling of the Company’s litigation and environmental matters and the reporting of same to both internal and external auditors, as well as the Board of Directors.  In addition to litigation matters, counseling responsibilities include Risk Management, Corporate Insurance, Corporate Audit, Ethics and Business Practices, as well as the counseling related to Employment Practices and Corporate Governance.</w:t>
      </w:r>
    </w:p>
    <w:p>
      <w:pPr>
        <w:pStyle w:val="BodyTextIndent"/>
        <w:jc w:val="both"/>
        <w:rPr>
          <w:sz w:val="24"/>
        </w:rPr>
      </w:pPr>
      <w:r>
        <w:rPr>
          <w:sz w:val="24"/>
        </w:rPr>
      </w:r>
    </w:p>
    <w:p>
      <w:pPr>
        <w:pStyle w:val="Normal"/>
        <w:tabs>
          <w:tab w:val="clear" w:pos="720"/>
          <w:tab w:val="left" w:pos="540" w:leader="none"/>
        </w:tabs>
        <w:ind w:start="720" w:end="0"/>
        <w:rPr/>
      </w:pPr>
      <w:r>
        <w:rPr/>
        <w:t>1996 - 1998</w:t>
        <w:tab/>
        <w:tab/>
      </w:r>
      <w:r>
        <w:rPr>
          <w:b/>
        </w:rPr>
        <w:t>GENERAL COUNSEL - LITIGATION</w:t>
      </w:r>
    </w:p>
    <w:p>
      <w:pPr>
        <w:pStyle w:val="Normal"/>
        <w:tabs>
          <w:tab w:val="clear" w:pos="720"/>
          <w:tab w:val="left" w:pos="540" w:leader="none"/>
        </w:tabs>
        <w:ind w:start="720" w:end="0"/>
        <w:rPr/>
      </w:pPr>
      <w:r>
        <w:rPr/>
        <w:tab/>
        <w:tab/>
        <w:tab/>
        <w:t>MAPCO Inc., Tulsa, Oklahoma</w:t>
      </w:r>
    </w:p>
    <w:p>
      <w:pPr>
        <w:pStyle w:val="Normal"/>
        <w:tabs>
          <w:tab w:val="clear" w:pos="720"/>
          <w:tab w:val="left" w:pos="540" w:leader="none"/>
        </w:tabs>
        <w:ind w:start="720" w:end="0"/>
        <w:jc w:val="both"/>
        <w:rPr/>
      </w:pPr>
      <w:r>
        <w:rPr/>
      </w:r>
    </w:p>
    <w:p>
      <w:pPr>
        <w:pStyle w:val="BodyTextIndent"/>
        <w:jc w:val="both"/>
        <w:rPr>
          <w:sz w:val="24"/>
        </w:rPr>
      </w:pPr>
      <w:r>
        <w:rPr>
          <w:sz w:val="24"/>
        </w:rPr>
        <w:t>MAPCO was a diversified Fortune 400 energy company which merged with Williams in March 1998.  Recruited to establish, staff and lead a litigation function in addition to counseling responsibilities for several corporate departments, including Risk Management and Corporate Insurance.  Recruited as the number two lawyer to succeed the then Senior Vice President and Corporate General Counsel upon his retirement.  Substantial counseling of and interaction with the Senior Management Team and the Board of Directors, including regular presentations to the Board’s Audit Committee.  Assisted Senior Management on issues of organization structure and corporate governance.  Obtained court victories and/or favorable settlements of substantial business disputes as well as the management of the Company’s commercial litigation and tort practice which had a docket of several hundred cases.</w:t>
      </w:r>
    </w:p>
    <w:p>
      <w:pPr>
        <w:pStyle w:val="Normal"/>
        <w:tabs>
          <w:tab w:val="clear" w:pos="720"/>
          <w:tab w:val="left" w:pos="540" w:leader="none"/>
        </w:tabs>
        <w:jc w:val="both"/>
        <w:rPr>
          <w:sz w:val="24"/>
        </w:rPr>
      </w:pPr>
      <w:r>
        <w:rPr>
          <w:sz w:val="24"/>
        </w:rPr>
      </w:r>
    </w:p>
    <w:p>
      <w:pPr>
        <w:pStyle w:val="Normal"/>
        <w:tabs>
          <w:tab w:val="clear" w:pos="720"/>
          <w:tab w:val="left" w:pos="-1440" w:leader="none"/>
          <w:tab w:val="left" w:pos="540" w:leader="none"/>
        </w:tabs>
        <w:rPr/>
      </w:pPr>
      <w:r>
        <w:rPr/>
        <w:tab/>
        <w:tab/>
        <w:t>1990 - 1996</w:t>
        <w:tab/>
        <w:tab/>
      </w:r>
      <w:r>
        <w:rPr>
          <w:b/>
        </w:rPr>
        <w:t>PARTNER</w:t>
      </w:r>
      <w:r>
        <w:rPr/>
        <w:t>, Carroll, Burdick &amp; McDonough LLP</w:t>
      </w:r>
    </w:p>
    <w:p>
      <w:pPr>
        <w:pStyle w:val="Normal"/>
        <w:tabs>
          <w:tab w:val="clear" w:pos="720"/>
          <w:tab w:val="left" w:pos="540" w:leader="none"/>
        </w:tabs>
        <w:ind w:start="2160" w:end="0"/>
        <w:rPr/>
      </w:pPr>
      <w:r>
        <w:rPr/>
        <w:tab/>
        <w:t>San Francisco, California</w:t>
      </w:r>
    </w:p>
    <w:p>
      <w:pPr>
        <w:pStyle w:val="Normal"/>
        <w:tabs>
          <w:tab w:val="clear" w:pos="720"/>
          <w:tab w:val="left" w:pos="540" w:leader="none"/>
        </w:tabs>
        <w:jc w:val="both"/>
        <w:rPr/>
      </w:pPr>
      <w:r>
        <w:rPr/>
      </w:r>
    </w:p>
    <w:p>
      <w:pPr>
        <w:pStyle w:val="BodyTextIndent3"/>
        <w:jc w:val="both"/>
        <w:rPr/>
      </w:pPr>
      <w:r>
        <w:rPr/>
        <w:t>Recruited as a litigation and corporate counseling partner to a mid-sized northern California law firm with offices in San Francisco, Walnut Creek (East Bay) and Sacramento. Substantial litigation and insurance coverage practice in both State and Federal courts.  Chair of the Firm’s Business Litigation Committee and Co-Chair of the Firm’s Business Development Committee.  Represented insurance carriers in massive and complex environmental insurance coverage litigation (in excess of $500 million).</w:t>
      </w:r>
    </w:p>
    <w:p>
      <w:pPr>
        <w:pStyle w:val="Normal"/>
        <w:tabs>
          <w:tab w:val="clear" w:pos="720"/>
          <w:tab w:val="left" w:pos="540" w:leader="none"/>
        </w:tabs>
        <w:rPr/>
      </w:pPr>
      <w:r>
        <w:rPr/>
      </w:r>
    </w:p>
    <w:p>
      <w:pPr>
        <w:pStyle w:val="Normal"/>
        <w:tabs>
          <w:tab w:val="clear" w:pos="720"/>
          <w:tab w:val="left" w:pos="540" w:leader="none"/>
        </w:tabs>
        <w:ind w:start="720" w:end="0"/>
        <w:rPr/>
      </w:pPr>
      <w:r>
        <w:rPr/>
        <w:t>1984 - 1990</w:t>
        <w:tab/>
        <w:tab/>
      </w:r>
      <w:r>
        <w:rPr>
          <w:b/>
        </w:rPr>
        <w:t>SENIOR COUNSEL,</w:t>
      </w:r>
      <w:r>
        <w:rPr/>
        <w:t xml:space="preserve"> International Paper Company</w:t>
      </w:r>
    </w:p>
    <w:p>
      <w:pPr>
        <w:pStyle w:val="Normal"/>
        <w:tabs>
          <w:tab w:val="clear" w:pos="720"/>
          <w:tab w:val="left" w:pos="540" w:leader="none"/>
        </w:tabs>
        <w:ind w:start="2160" w:end="0"/>
        <w:rPr/>
      </w:pPr>
      <w:r>
        <w:rPr/>
        <w:tab/>
        <w:t>Purchase, New York</w:t>
      </w:r>
    </w:p>
    <w:p>
      <w:pPr>
        <w:pStyle w:val="Normal"/>
        <w:tabs>
          <w:tab w:val="clear" w:pos="720"/>
          <w:tab w:val="left" w:pos="540" w:leader="none"/>
        </w:tabs>
        <w:rPr/>
      </w:pPr>
      <w:r>
        <w:rPr/>
      </w:r>
    </w:p>
    <w:p>
      <w:pPr>
        <w:pStyle w:val="BodyTextIndent3"/>
        <w:jc w:val="both"/>
        <w:rPr/>
      </w:pPr>
      <w:r>
        <w:rPr/>
        <w:t>Recruited to establish and lead a litigation management department within the corporate General Counsel’s office.  Established guidelines and protocols for the efficient handling of out-of-state litigation and the monitoring of outside counsel.  Negotiated innovative and creative billing arrangements with major firms which, in conjunction with the billing guidelines being put into place, yielded a savings in its first year in excess of $1.2 million and increasing annual savings thereafter.</w:t>
      </w:r>
    </w:p>
    <w:p>
      <w:pPr>
        <w:pStyle w:val="Normal"/>
        <w:tabs>
          <w:tab w:val="clear" w:pos="720"/>
          <w:tab w:val="left" w:pos="540" w:leader="none"/>
        </w:tabs>
        <w:rPr/>
      </w:pPr>
      <w:r>
        <w:rPr/>
      </w:r>
    </w:p>
    <w:p>
      <w:pPr>
        <w:pStyle w:val="Normal"/>
        <w:tabs>
          <w:tab w:val="clear" w:pos="720"/>
          <w:tab w:val="left" w:pos="-1440" w:leader="none"/>
          <w:tab w:val="left" w:pos="540" w:leader="none"/>
        </w:tabs>
        <w:ind w:hanging="1440" w:start="2160" w:end="0"/>
        <w:rPr/>
      </w:pPr>
      <w:r>
        <w:rPr/>
        <w:t>1976 - 1984</w:t>
        <w:tab/>
        <w:tab/>
      </w:r>
      <w:r>
        <w:rPr>
          <w:b/>
        </w:rPr>
        <w:t>COUNSEL</w:t>
      </w:r>
      <w:r>
        <w:rPr/>
        <w:t>, XEROX Corporation</w:t>
      </w:r>
    </w:p>
    <w:p>
      <w:pPr>
        <w:pStyle w:val="Normal"/>
        <w:tabs>
          <w:tab w:val="clear" w:pos="720"/>
          <w:tab w:val="left" w:pos="-1440" w:leader="none"/>
          <w:tab w:val="left" w:pos="540" w:leader="none"/>
        </w:tabs>
        <w:ind w:hanging="1440" w:start="2160" w:end="0"/>
        <w:rPr/>
      </w:pPr>
      <w:r>
        <w:rPr/>
        <w:tab/>
        <w:tab/>
        <w:tab/>
        <w:t>Stamford, Connecticut</w:t>
      </w:r>
    </w:p>
    <w:p>
      <w:pPr>
        <w:pStyle w:val="BodyTextIndent3"/>
        <w:tabs>
          <w:tab w:val="left" w:pos="-1440" w:leader="none"/>
          <w:tab w:val="left" w:pos="540" w:leader="none"/>
        </w:tabs>
        <w:jc w:val="both"/>
        <w:rPr/>
      </w:pPr>
      <w:r>
        <w:rPr/>
        <w:t xml:space="preserve">Various assignments of increasing responsibilities within the XEROX Legal Department over an eight year period, including a two year assignment at the Rochester, New York operations and manufacturing facilities.  Assignments included counseling responsibilities for litigation, antitrust compliance, employment practices, procurement counseling (Uniform Commercial Code), antitrust litigation, contracts and other business counseling.  The first in-house XEROX lawyer to try a case to a jury -- </w:t>
      </w:r>
      <w:r>
        <w:rPr>
          <w:i/>
        </w:rPr>
        <w:t>Robinson Patman Antitrust</w:t>
      </w:r>
      <w:r>
        <w:rPr/>
        <w:t xml:space="preserve"> case in Federal District Court.</w:t>
      </w:r>
    </w:p>
    <w:p>
      <w:pPr>
        <w:pStyle w:val="BodyTextIndent3"/>
        <w:tabs>
          <w:tab w:val="left" w:pos="-1440" w:leader="none"/>
          <w:tab w:val="left" w:pos="540" w:leader="none"/>
        </w:tabs>
        <w:jc w:val="both"/>
        <w:rPr/>
      </w:pPr>
      <w:r>
        <w:rPr/>
      </w:r>
    </w:p>
    <w:p>
      <w:pPr>
        <w:pStyle w:val="BodyTextIndent3"/>
        <w:tabs>
          <w:tab w:val="left" w:pos="-1440" w:leader="none"/>
          <w:tab w:val="left" w:pos="540" w:leader="none"/>
        </w:tabs>
        <w:ind w:start="0" w:end="0"/>
        <w:jc w:val="both"/>
        <w:rPr>
          <w:b/>
          <w:sz w:val="26"/>
        </w:rPr>
      </w:pPr>
      <w:r>
        <w:rPr>
          <w:b/>
          <w:sz w:val="26"/>
        </w:rPr>
        <w:t>BAR MEMBERSHIPS:</w:t>
      </w:r>
    </w:p>
    <w:p>
      <w:pPr>
        <w:pStyle w:val="BodyTextIndent3"/>
        <w:tabs>
          <w:tab w:val="left" w:pos="-1440" w:leader="none"/>
          <w:tab w:val="left" w:pos="540" w:leader="none"/>
        </w:tabs>
        <w:jc w:val="both"/>
        <w:rPr>
          <w:b/>
          <w:sz w:val="26"/>
        </w:rPr>
      </w:pPr>
      <w:r>
        <w:rPr>
          <w:b/>
          <w:sz w:val="26"/>
        </w:rPr>
      </w:r>
    </w:p>
    <w:p>
      <w:pPr>
        <w:pStyle w:val="BodyTextIndent3"/>
        <w:tabs>
          <w:tab w:val="left" w:pos="-1440" w:leader="none"/>
          <w:tab w:val="left" w:pos="540" w:leader="none"/>
        </w:tabs>
        <w:jc w:val="both"/>
        <w:rPr>
          <w:sz w:val="26"/>
        </w:rPr>
      </w:pPr>
      <w:r>
        <w:rPr>
          <w:sz w:val="26"/>
        </w:rPr>
        <w:t>Admitted to practice law in the following states:</w:t>
      </w:r>
    </w:p>
    <w:p>
      <w:pPr>
        <w:pStyle w:val="BodyTextIndent3"/>
        <w:tabs>
          <w:tab w:val="left" w:pos="-1440" w:leader="none"/>
          <w:tab w:val="left" w:pos="540" w:leader="none"/>
        </w:tabs>
        <w:jc w:val="both"/>
        <w:rPr>
          <w:sz w:val="26"/>
        </w:rPr>
      </w:pPr>
      <w:r>
        <w:rPr>
          <w:sz w:val="26"/>
        </w:rPr>
      </w:r>
    </w:p>
    <w:p>
      <w:pPr>
        <w:pStyle w:val="BodyTextIndent3"/>
        <w:tabs>
          <w:tab w:val="left" w:pos="-1440" w:leader="none"/>
          <w:tab w:val="left" w:pos="540" w:leader="none"/>
        </w:tabs>
        <w:jc w:val="both"/>
        <w:rPr>
          <w:sz w:val="26"/>
        </w:rPr>
      </w:pPr>
      <w:r>
        <w:rPr>
          <w:sz w:val="26"/>
        </w:rPr>
        <w:t>New York - 1976</w:t>
      </w:r>
    </w:p>
    <w:p>
      <w:pPr>
        <w:pStyle w:val="BodyTextIndent3"/>
        <w:tabs>
          <w:tab w:val="left" w:pos="-1440" w:leader="none"/>
          <w:tab w:val="left" w:pos="540" w:leader="none"/>
        </w:tabs>
        <w:jc w:val="both"/>
        <w:rPr>
          <w:sz w:val="26"/>
        </w:rPr>
      </w:pPr>
      <w:r>
        <w:rPr>
          <w:sz w:val="26"/>
        </w:rPr>
        <w:t>Connecticut - 1984</w:t>
      </w:r>
    </w:p>
    <w:p>
      <w:pPr>
        <w:pStyle w:val="BodyTextIndent3"/>
        <w:tabs>
          <w:tab w:val="left" w:pos="-1440" w:leader="none"/>
          <w:tab w:val="left" w:pos="540" w:leader="none"/>
        </w:tabs>
        <w:jc w:val="both"/>
        <w:rPr>
          <w:sz w:val="26"/>
        </w:rPr>
      </w:pPr>
      <w:r>
        <w:rPr>
          <w:sz w:val="26"/>
        </w:rPr>
        <w:t>California - 1991</w:t>
      </w:r>
    </w:p>
    <w:p>
      <w:pPr>
        <w:pStyle w:val="BodyTextIndent3"/>
        <w:tabs>
          <w:tab w:val="left" w:pos="-1440" w:leader="none"/>
          <w:tab w:val="left" w:pos="540" w:leader="none"/>
        </w:tabs>
        <w:jc w:val="both"/>
        <w:rPr>
          <w:sz w:val="26"/>
        </w:rPr>
      </w:pPr>
      <w:r>
        <w:rPr>
          <w:sz w:val="26"/>
        </w:rPr>
        <w:t>Oklahoma – 1999</w:t>
      </w:r>
      <w:r>
        <w:br w:type="page"/>
      </w:r>
    </w:p>
    <w:p>
      <w:pPr>
        <w:pStyle w:val="BodyTextIndent3"/>
        <w:tabs>
          <w:tab w:val="left" w:pos="-1440" w:leader="none"/>
          <w:tab w:val="left" w:pos="540" w:leader="none"/>
        </w:tabs>
        <w:ind w:start="0" w:end="0"/>
        <w:jc w:val="both"/>
        <w:rPr>
          <w:sz w:val="26"/>
        </w:rPr>
      </w:pPr>
      <w:r>
        <w:rPr>
          <w:b/>
          <w:sz w:val="26"/>
        </w:rPr>
        <w:t>PUBLISHED ARTICLES:</w:t>
      </w:r>
    </w:p>
    <w:p>
      <w:pPr>
        <w:pStyle w:val="BodyTextIndent3"/>
        <w:tabs>
          <w:tab w:val="left" w:pos="-1440" w:leader="none"/>
          <w:tab w:val="left" w:pos="540" w:leader="none"/>
        </w:tabs>
        <w:ind w:start="540" w:end="0"/>
        <w:jc w:val="both"/>
        <w:rPr>
          <w:b/>
          <w:sz w:val="26"/>
        </w:rPr>
      </w:pPr>
      <w:r>
        <w:rPr>
          <w:b/>
          <w:sz w:val="26"/>
        </w:rPr>
      </w:r>
    </w:p>
    <w:p>
      <w:pPr>
        <w:pStyle w:val="BodyTextIndent3"/>
        <w:tabs>
          <w:tab w:val="left" w:pos="-1440" w:leader="none"/>
          <w:tab w:val="left" w:pos="540" w:leader="none"/>
        </w:tabs>
        <w:jc w:val="both"/>
        <w:rPr/>
      </w:pPr>
      <w:r>
        <w:rPr/>
        <w:t>“</w:t>
      </w:r>
      <w:r>
        <w:rPr/>
        <w:t>Trying Cases Economically,” 6 California Litigation 2, Winter 1993.</w:t>
      </w:r>
    </w:p>
    <w:p>
      <w:pPr>
        <w:pStyle w:val="BodyTextIndent3"/>
        <w:tabs>
          <w:tab w:val="left" w:pos="-1440" w:leader="none"/>
          <w:tab w:val="left" w:pos="540" w:leader="none"/>
        </w:tabs>
        <w:jc w:val="both"/>
        <w:rPr/>
      </w:pPr>
      <w:r>
        <w:rPr/>
      </w:r>
    </w:p>
    <w:p>
      <w:pPr>
        <w:pStyle w:val="BodyTextIndent3"/>
        <w:tabs>
          <w:tab w:val="left" w:pos="-1440" w:leader="none"/>
          <w:tab w:val="left" w:pos="540" w:leader="none"/>
        </w:tabs>
        <w:jc w:val="both"/>
        <w:rPr/>
      </w:pPr>
      <w:r>
        <w:rPr/>
        <w:t>“</w:t>
      </w:r>
      <w:r>
        <w:rPr/>
        <w:t>Using Case Management Orders in Insurance Coverage Cases,” 5 The Practical Litigator 5, September 1994.</w:t>
      </w:r>
    </w:p>
    <w:p>
      <w:pPr>
        <w:pStyle w:val="BodyTextIndent3"/>
        <w:tabs>
          <w:tab w:val="left" w:pos="-1440" w:leader="none"/>
          <w:tab w:val="left" w:pos="540" w:leader="none"/>
        </w:tabs>
        <w:jc w:val="both"/>
        <w:rPr/>
      </w:pPr>
      <w:r>
        <w:rPr/>
      </w:r>
    </w:p>
    <w:p>
      <w:pPr>
        <w:pStyle w:val="BodyTextIndent3"/>
        <w:tabs>
          <w:tab w:val="left" w:pos="-1440" w:leader="none"/>
          <w:tab w:val="left" w:pos="540" w:leader="none"/>
        </w:tabs>
        <w:jc w:val="both"/>
        <w:rPr/>
      </w:pPr>
      <w:r>
        <w:rPr/>
        <w:t xml:space="preserve">Member of the Editorial Board of the </w:t>
      </w:r>
      <w:r>
        <w:rPr>
          <w:u w:val="single"/>
        </w:rPr>
        <w:t>Practical Litigator</w:t>
      </w:r>
      <w:r>
        <w:rPr/>
        <w:t xml:space="preserve"> (ALI-ABA Professional publication).</w:t>
      </w:r>
    </w:p>
    <w:p>
      <w:pPr>
        <w:pStyle w:val="BodyTextIndent3"/>
        <w:tabs>
          <w:tab w:val="left" w:pos="-1440" w:leader="none"/>
          <w:tab w:val="left" w:pos="540" w:leader="none"/>
        </w:tabs>
        <w:jc w:val="both"/>
        <w:rPr/>
      </w:pPr>
      <w:r>
        <w:rPr/>
      </w:r>
    </w:p>
    <w:p>
      <w:pPr>
        <w:pStyle w:val="BodyTextIndent3"/>
        <w:tabs>
          <w:tab w:val="left" w:pos="-1440" w:leader="none"/>
          <w:tab w:val="left" w:pos="540" w:leader="none"/>
        </w:tabs>
        <w:jc w:val="both"/>
        <w:rPr/>
      </w:pPr>
      <w:r>
        <w:rPr/>
        <w:t>Frequent lecturer and faculty member at ABA and PLI programs on litigation, litigation management, insurance coverage, client relations, and the relationship between inside and outside counsel.</w:t>
      </w:r>
    </w:p>
    <w:p>
      <w:pPr>
        <w:pStyle w:val="BodyTextIndent3"/>
        <w:tabs>
          <w:tab w:val="left" w:pos="-1440" w:leader="none"/>
          <w:tab w:val="left" w:pos="540" w:leader="none"/>
        </w:tabs>
        <w:jc w:val="both"/>
        <w:rPr/>
      </w:pPr>
      <w:r>
        <w:rPr/>
      </w:r>
    </w:p>
    <w:p>
      <w:pPr>
        <w:pStyle w:val="BodyTextIndent3"/>
        <w:tabs>
          <w:tab w:val="left" w:pos="-1440" w:leader="none"/>
          <w:tab w:val="left" w:pos="540" w:leader="none"/>
        </w:tabs>
        <w:ind w:start="0" w:end="0"/>
        <w:jc w:val="both"/>
        <w:rPr>
          <w:sz w:val="26"/>
        </w:rPr>
      </w:pPr>
      <w:r>
        <w:rPr>
          <w:b/>
          <w:sz w:val="26"/>
        </w:rPr>
        <w:t>PROFESSIONAL &amp; CIVIC LEADERSHIP:</w:t>
      </w:r>
    </w:p>
    <w:p>
      <w:pPr>
        <w:pStyle w:val="BodyTextIndent3"/>
        <w:tabs>
          <w:tab w:val="left" w:pos="-1440" w:leader="none"/>
          <w:tab w:val="left" w:pos="540" w:leader="none"/>
        </w:tabs>
        <w:ind w:start="0" w:end="0"/>
        <w:jc w:val="both"/>
        <w:rPr>
          <w:sz w:val="26"/>
        </w:rPr>
      </w:pPr>
      <w:r>
        <w:rPr>
          <w:sz w:val="26"/>
        </w:rPr>
      </w:r>
    </w:p>
    <w:p>
      <w:pPr>
        <w:pStyle w:val="BodyTextIndent3"/>
        <w:numPr>
          <w:ilvl w:val="0"/>
          <w:numId w:val="1"/>
        </w:numPr>
        <w:tabs>
          <w:tab w:val="left" w:pos="-1440" w:leader="none"/>
          <w:tab w:val="left" w:pos="540" w:leader="none"/>
          <w:tab w:val="left" w:pos="1080" w:leader="none"/>
        </w:tabs>
        <w:ind w:hanging="360" w:start="1080" w:end="0"/>
        <w:jc w:val="both"/>
        <w:rPr/>
      </w:pPr>
      <w:r>
        <w:rPr/>
        <w:t>Chair, Attorneys Division, United Way of Tulsa Annual Campaign:  2001</w:t>
      </w:r>
    </w:p>
    <w:p>
      <w:pPr>
        <w:pStyle w:val="BodyTextIndent3"/>
        <w:numPr>
          <w:ilvl w:val="0"/>
          <w:numId w:val="1"/>
        </w:numPr>
        <w:tabs>
          <w:tab w:val="left" w:pos="-1440" w:leader="none"/>
          <w:tab w:val="left" w:pos="540" w:leader="none"/>
          <w:tab w:val="left" w:pos="1080" w:leader="none"/>
        </w:tabs>
        <w:ind w:hanging="360" w:start="1080" w:end="0"/>
        <w:jc w:val="both"/>
        <w:rPr/>
      </w:pPr>
      <w:r>
        <w:rPr/>
        <w:t xml:space="preserve">The Simon Estes Educational Foundation, Inc. </w:t>
      </w:r>
    </w:p>
    <w:p>
      <w:pPr>
        <w:pStyle w:val="BodyTextIndent3"/>
        <w:numPr>
          <w:ilvl w:val="0"/>
          <w:numId w:val="1"/>
        </w:numPr>
        <w:tabs>
          <w:tab w:val="left" w:pos="-1440" w:leader="none"/>
          <w:tab w:val="left" w:pos="540" w:leader="none"/>
          <w:tab w:val="left" w:pos="1440" w:leader="none"/>
        </w:tabs>
        <w:ind w:hanging="360" w:start="1440" w:end="0"/>
        <w:jc w:val="both"/>
        <w:rPr/>
      </w:pPr>
      <w:r>
        <w:rPr/>
        <w:t>President, 2001 – present</w:t>
      </w:r>
    </w:p>
    <w:p>
      <w:pPr>
        <w:pStyle w:val="BodyTextIndent3"/>
        <w:numPr>
          <w:ilvl w:val="0"/>
          <w:numId w:val="1"/>
        </w:numPr>
        <w:tabs>
          <w:tab w:val="left" w:pos="-1440" w:leader="none"/>
          <w:tab w:val="left" w:pos="540" w:leader="none"/>
          <w:tab w:val="left" w:pos="1440" w:leader="none"/>
        </w:tabs>
        <w:ind w:hanging="360" w:start="1440" w:end="0"/>
        <w:jc w:val="both"/>
        <w:rPr/>
      </w:pPr>
      <w:r>
        <w:rPr/>
        <w:t>Board of Directors, 1999 - present</w:t>
      </w:r>
    </w:p>
    <w:p>
      <w:pPr>
        <w:pStyle w:val="BodyTextIndent3"/>
        <w:numPr>
          <w:ilvl w:val="0"/>
          <w:numId w:val="1"/>
        </w:numPr>
        <w:tabs>
          <w:tab w:val="left" w:pos="-1440" w:leader="none"/>
          <w:tab w:val="left" w:pos="540" w:leader="none"/>
          <w:tab w:val="left" w:pos="1080" w:leader="none"/>
        </w:tabs>
        <w:ind w:hanging="360" w:start="1080" w:end="0"/>
        <w:jc w:val="both"/>
        <w:rPr/>
      </w:pPr>
      <w:r>
        <w:rPr/>
        <w:t>American Bar Association</w:t>
      </w:r>
    </w:p>
    <w:p>
      <w:pPr>
        <w:pStyle w:val="BodyTextIndent3"/>
        <w:numPr>
          <w:ilvl w:val="0"/>
          <w:numId w:val="1"/>
        </w:numPr>
        <w:tabs>
          <w:tab w:val="left" w:pos="-1440" w:leader="none"/>
          <w:tab w:val="left" w:pos="540" w:leader="none"/>
          <w:tab w:val="left" w:pos="1440" w:leader="none"/>
        </w:tabs>
        <w:ind w:hanging="360" w:start="1440" w:end="0"/>
        <w:jc w:val="both"/>
        <w:rPr/>
      </w:pPr>
      <w:r>
        <w:rPr/>
        <w:t>Member - House of Delegates - 1992-96</w:t>
      </w:r>
    </w:p>
    <w:p>
      <w:pPr>
        <w:pStyle w:val="BodyTextIndent3"/>
        <w:numPr>
          <w:ilvl w:val="0"/>
          <w:numId w:val="1"/>
        </w:numPr>
        <w:tabs>
          <w:tab w:val="left" w:pos="-1440" w:leader="none"/>
          <w:tab w:val="left" w:pos="540" w:leader="none"/>
          <w:tab w:val="left" w:pos="1440" w:leader="none"/>
        </w:tabs>
        <w:ind w:hanging="360" w:start="1440" w:end="0"/>
        <w:jc w:val="both"/>
        <w:rPr/>
      </w:pPr>
      <w:r>
        <w:rPr/>
        <w:t>Co-Chair, Membership Committee, Section of Litigation, 1989-91</w:t>
      </w:r>
    </w:p>
    <w:p>
      <w:pPr>
        <w:pStyle w:val="BodyTextIndent3"/>
        <w:numPr>
          <w:ilvl w:val="0"/>
          <w:numId w:val="1"/>
        </w:numPr>
        <w:tabs>
          <w:tab w:val="left" w:pos="-1440" w:leader="none"/>
          <w:tab w:val="left" w:pos="540" w:leader="none"/>
          <w:tab w:val="left" w:pos="1440" w:leader="none"/>
        </w:tabs>
        <w:ind w:hanging="360" w:start="1440" w:end="0"/>
        <w:jc w:val="both"/>
        <w:rPr/>
      </w:pPr>
      <w:r>
        <w:rPr/>
        <w:t>Vice-Chair, Litigation Section, Committee on Corporate Counsel, 1988-90</w:t>
      </w:r>
    </w:p>
    <w:p>
      <w:pPr>
        <w:pStyle w:val="BodyTextIndent3"/>
        <w:numPr>
          <w:ilvl w:val="0"/>
          <w:numId w:val="1"/>
        </w:numPr>
        <w:tabs>
          <w:tab w:val="left" w:pos="-1440" w:leader="none"/>
          <w:tab w:val="left" w:pos="540" w:leader="none"/>
          <w:tab w:val="left" w:pos="1440" w:leader="none"/>
        </w:tabs>
        <w:ind w:hanging="360" w:start="1440" w:end="0"/>
        <w:jc w:val="both"/>
        <w:rPr/>
      </w:pPr>
      <w:r>
        <w:rPr/>
        <w:t>Chair, Subcommittee on Insurance Coverage Litigation (Committee on Corporate Counsel), 1990-93</w:t>
      </w:r>
    </w:p>
    <w:p>
      <w:pPr>
        <w:pStyle w:val="BodyTextIndent3"/>
        <w:numPr>
          <w:ilvl w:val="0"/>
          <w:numId w:val="2"/>
        </w:numPr>
        <w:tabs>
          <w:tab w:val="left" w:pos="-1440" w:leader="none"/>
          <w:tab w:val="left" w:pos="540" w:leader="none"/>
          <w:tab w:val="left" w:pos="1080" w:leader="none"/>
        </w:tabs>
        <w:ind w:hanging="360" w:start="1080" w:end="0"/>
        <w:jc w:val="both"/>
        <w:rPr/>
      </w:pPr>
      <w:r>
        <w:rPr/>
        <w:t>Board of Directors, The Legal Aid Society of San Francisco, 1994-96</w:t>
      </w:r>
    </w:p>
    <w:p>
      <w:pPr>
        <w:pStyle w:val="BodyTextIndent3"/>
        <w:numPr>
          <w:ilvl w:val="0"/>
          <w:numId w:val="2"/>
        </w:numPr>
        <w:tabs>
          <w:tab w:val="left" w:pos="-1440" w:leader="none"/>
          <w:tab w:val="left" w:pos="540" w:leader="none"/>
          <w:tab w:val="left" w:pos="1080" w:leader="none"/>
        </w:tabs>
        <w:ind w:hanging="360" w:start="1080" w:end="0"/>
        <w:jc w:val="both"/>
        <w:rPr/>
      </w:pPr>
      <w:r>
        <w:rPr/>
        <w:t>Dean’s Advisory Council, School of Business Administration, San Francisco State University, 1994-96</w:t>
      </w:r>
    </w:p>
    <w:p>
      <w:pPr>
        <w:pStyle w:val="BodyTextIndent3"/>
        <w:numPr>
          <w:ilvl w:val="0"/>
          <w:numId w:val="2"/>
        </w:numPr>
        <w:tabs>
          <w:tab w:val="left" w:pos="-1440" w:leader="none"/>
          <w:tab w:val="left" w:pos="540" w:leader="none"/>
          <w:tab w:val="left" w:pos="1080" w:leader="none"/>
        </w:tabs>
        <w:ind w:hanging="360" w:start="1080" w:end="0"/>
        <w:jc w:val="both"/>
        <w:rPr/>
      </w:pPr>
      <w:r>
        <w:rPr/>
        <w:t>Cornell University</w:t>
      </w:r>
    </w:p>
    <w:p>
      <w:pPr>
        <w:pStyle w:val="BodyTextIndent3"/>
        <w:numPr>
          <w:ilvl w:val="0"/>
          <w:numId w:val="2"/>
        </w:numPr>
        <w:tabs>
          <w:tab w:val="left" w:pos="-1440" w:leader="none"/>
          <w:tab w:val="left" w:pos="540" w:leader="none"/>
          <w:tab w:val="left" w:pos="1440" w:leader="none"/>
        </w:tabs>
        <w:ind w:hanging="360" w:start="1440" w:end="0"/>
        <w:jc w:val="both"/>
        <w:rPr/>
      </w:pPr>
      <w:r>
        <w:rPr/>
        <w:t>Cornell University Council, 1988-92</w:t>
      </w:r>
    </w:p>
    <w:p>
      <w:pPr>
        <w:pStyle w:val="BodyTextIndent3"/>
        <w:numPr>
          <w:ilvl w:val="0"/>
          <w:numId w:val="2"/>
        </w:numPr>
        <w:tabs>
          <w:tab w:val="left" w:pos="-1440" w:leader="none"/>
          <w:tab w:val="left" w:pos="540" w:leader="none"/>
          <w:tab w:val="left" w:pos="1440" w:leader="none"/>
        </w:tabs>
        <w:ind w:hanging="360" w:start="1440" w:end="0"/>
        <w:jc w:val="both"/>
        <w:rPr/>
      </w:pPr>
      <w:r>
        <w:rPr/>
        <w:t>Dean’s Advisory Council,  College of Arts and Sciences, 1974-78 &amp; 1984-88</w:t>
      </w:r>
    </w:p>
    <w:p>
      <w:pPr>
        <w:pStyle w:val="BodyTextIndent3"/>
        <w:tabs>
          <w:tab w:val="left" w:pos="-1440" w:leader="none"/>
          <w:tab w:val="left" w:pos="540" w:leader="none"/>
        </w:tabs>
        <w:jc w:val="both"/>
        <w:rPr/>
      </w:pPr>
      <w:r>
        <w:rPr/>
      </w:r>
    </w:p>
    <w:p>
      <w:pPr>
        <w:pStyle w:val="BodyTextIndent3"/>
        <w:tabs>
          <w:tab w:val="left" w:pos="-1440" w:leader="none"/>
          <w:tab w:val="left" w:pos="540" w:leader="none"/>
        </w:tabs>
        <w:ind w:start="0" w:end="0"/>
        <w:jc w:val="both"/>
        <w:rPr>
          <w:b/>
          <w:sz w:val="26"/>
        </w:rPr>
      </w:pPr>
      <w:r>
        <w:rPr>
          <w:b/>
          <w:sz w:val="26"/>
        </w:rPr>
        <w:t>PERSONAL DATA:</w:t>
      </w:r>
    </w:p>
    <w:p>
      <w:pPr>
        <w:pStyle w:val="BodyTextIndent3"/>
        <w:tabs>
          <w:tab w:val="left" w:pos="-1440" w:leader="none"/>
          <w:tab w:val="left" w:pos="540" w:leader="none"/>
        </w:tabs>
        <w:ind w:start="0" w:end="0"/>
        <w:jc w:val="both"/>
        <w:rPr>
          <w:b/>
          <w:sz w:val="26"/>
        </w:rPr>
      </w:pPr>
      <w:r>
        <w:rPr>
          <w:b/>
          <w:sz w:val="26"/>
        </w:rPr>
      </w:r>
    </w:p>
    <w:p>
      <w:pPr>
        <w:pStyle w:val="BodyTextIndent3"/>
        <w:tabs>
          <w:tab w:val="left" w:pos="-1440" w:leader="none"/>
          <w:tab w:val="left" w:pos="540" w:leader="none"/>
        </w:tabs>
        <w:jc w:val="both"/>
        <w:rPr/>
      </w:pPr>
      <w:r>
        <w:rPr/>
        <w:t>Born:</w:t>
        <w:tab/>
        <w:t>1951, New York City</w:t>
      </w:r>
    </w:p>
    <w:p>
      <w:pPr>
        <w:pStyle w:val="BodyTextIndent3"/>
        <w:tabs>
          <w:tab w:val="left" w:pos="-1440" w:leader="none"/>
          <w:tab w:val="left" w:pos="540" w:leader="none"/>
        </w:tabs>
        <w:jc w:val="both"/>
        <w:rPr/>
      </w:pPr>
      <w:r>
        <w:rPr/>
        <w:t>Family:  Married (1976), two children</w:t>
      </w:r>
    </w:p>
    <w:p>
      <w:pPr>
        <w:pStyle w:val="BodyTextIndent3"/>
        <w:tabs>
          <w:tab w:val="left" w:pos="-1440" w:leader="none"/>
          <w:tab w:val="left" w:pos="540" w:leader="none"/>
        </w:tabs>
        <w:jc w:val="both"/>
        <w:rPr/>
      </w:pPr>
      <w:r>
        <w:rPr/>
        <w:t>Health:  Excellent</w:t>
      </w:r>
    </w:p>
    <w:p>
      <w:pPr>
        <w:pStyle w:val="BodyTextIndent3"/>
        <w:tabs>
          <w:tab w:val="left" w:pos="-1440" w:leader="none"/>
          <w:tab w:val="left" w:pos="540" w:leader="none"/>
        </w:tabs>
        <w:jc w:val="both"/>
        <w:rPr/>
      </w:pPr>
      <w:r>
        <w:rPr/>
        <w:t>Leisure Activities:  Travel, tennis and other racket sports</w:t>
      </w:r>
    </w:p>
    <w:p>
      <w:pPr>
        <w:pStyle w:val="BodyTextIndent3"/>
        <w:tabs>
          <w:tab w:val="left" w:pos="-1440" w:leader="none"/>
          <w:tab w:val="left" w:pos="540" w:leader="none"/>
        </w:tabs>
        <w:ind w:start="0" w:end="0"/>
        <w:jc w:val="both"/>
        <w:rPr>
          <w:sz w:val="26"/>
        </w:rPr>
      </w:pPr>
      <w:r>
        <w:rPr>
          <w:sz w:val="26"/>
        </w:rPr>
      </w:r>
    </w:p>
    <w:p>
      <w:pPr>
        <w:pStyle w:val="BodyTextIndent3"/>
        <w:tabs>
          <w:tab w:val="left" w:pos="-1440" w:leader="none"/>
          <w:tab w:val="left" w:pos="540" w:leader="none"/>
        </w:tabs>
        <w:ind w:start="0" w:end="0"/>
        <w:jc w:val="both"/>
        <w:rPr/>
      </w:pPr>
      <w:r>
        <w:rPr>
          <w:b/>
          <w:sz w:val="26"/>
        </w:rPr>
        <w:t xml:space="preserve">REFERENCES:     </w:t>
      </w:r>
      <w:r>
        <w:rPr/>
        <w:t>References will be provided upon request</w:t>
      </w:r>
    </w:p>
    <w:sectPr>
      <w:headerReference w:type="default" r:id="rId2"/>
      <w:headerReference w:type="first" r:id="rId3"/>
      <w:type w:val="nextPage"/>
      <w:pgSz w:w="12240" w:h="15840"/>
      <w:pgMar w:left="1296" w:right="1296" w:gutter="0" w:header="1440" w:top="149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RESUME OF KIRK G. FORREST</w:t>
    </w:r>
  </w:p>
  <w:p>
    <w:pPr>
      <w:pStyle w:val="Header"/>
      <w:rPr>
        <w:rStyle w:val="PageNumber"/>
        <w:b/>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3</w:t>
    </w:r>
    <w:r>
      <w:rPr>
        <w:rStyle w:val="PageNumber"/>
        <w:b/>
      </w:rPr>
      <w:fldChar w:fldCharType="end"/>
    </w:r>
  </w:p>
  <w:p>
    <w:pPr>
      <w:pStyle w:val="Header"/>
      <w:pBdr>
        <w:bottom w:val="single" w:sz="4" w:space="1" w:color="000000"/>
      </w:pBdr>
      <w:rPr>
        <w:rStyle w:val="PageNumber"/>
        <w:b/>
      </w:rPr>
    </w:pPr>
    <w:r>
      <w:rPr/>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540" w:leader="none"/>
        <w:tab w:val="center" w:pos="468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720" w:end="0"/>
    </w:pPr>
    <w:rPr>
      <w:sz w:val="26"/>
    </w:rPr>
  </w:style>
  <w:style w:type="paragraph" w:styleId="BodyTextIndent2">
    <w:name w:val="Body Text Indent 2"/>
    <w:basedOn w:val="Normal"/>
    <w:qFormat/>
    <w:pPr>
      <w:tabs>
        <w:tab w:val="clear" w:pos="720"/>
        <w:tab w:val="left" w:pos="540" w:leader="none"/>
      </w:tabs>
      <w:ind w:hanging="0" w:start="720" w:end="0"/>
      <w:jc w:val="both"/>
    </w:pPr>
    <w:rPr/>
  </w:style>
  <w:style w:type="paragraph" w:styleId="BodyTextIndent3">
    <w:name w:val="Body Text Indent 3"/>
    <w:basedOn w:val="Normal"/>
    <w:qFormat/>
    <w:pPr>
      <w:tabs>
        <w:tab w:val="clear" w:pos="720"/>
        <w:tab w:val="left" w:pos="540" w:leader="none"/>
      </w:tabs>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2001-08-10T10:58:00Z</dcterms:created>
  <dc:creator>Williams</dc:creator>
  <dc:description/>
  <dc:language>en-CA</dc:language>
  <cp:lastModifiedBy>Pamela Worthington</cp:lastModifiedBy>
  <cp:lastPrinted>2001-04-25T12:29:00Z</cp:lastPrinted>
  <dcterms:modified xsi:type="dcterms:W3CDTF">2001-08-10T10:58:00Z</dcterms:modified>
  <cp:revision>2</cp:revision>
  <dc:subject/>
  <dc:title>KIRK G</dc:title>
</cp:coreProperties>
</file>