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headerReference w:type="default" r:id="rId2"/>
          <w:headerReference w:type="first" r:id="rId3"/>
          <w:footerReference w:type="default" r:id="rId4"/>
          <w:footerReference w:type="first" r:id="rId5"/>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xml:space="preserve">"), and </w:t>
      </w:r>
      <w:r>
        <w:rPr>
          <w:rFonts w:cs="Arial Narrow" w:ascii="Arial Narrow" w:hAnsi="Arial Narrow"/>
          <w:b/>
          <w:sz w:val="18"/>
        </w:rPr>
        <w:t>Cutter Oil Company</w:t>
      </w:r>
      <w:r>
        <w:rPr>
          <w:rFonts w:cs="Arial Narrow" w:ascii="Arial Narrow" w:hAnsi="Arial Narrow"/>
          <w:sz w:val="18"/>
        </w:rPr>
        <w:t xml:space="preserve"> an Ohio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month from the Effective Date  and thereafter continue in effect from month to month, unless terminated by either Party upon written notice to the other Party given 30 Days prior to the end of the  Term provided, this agreement shall continue to apply to all Transactions then in effect until all Transactions are completed.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 xml:space="preserve">Seller's Sales Obligation, </w:t>
      </w:r>
      <w:r>
        <w:rPr>
          <w:rFonts w:cs="Arial Narrow" w:ascii="Arial Narrow" w:hAnsi="Arial Narrow"/>
          <w:sz w:val="18"/>
        </w:rPr>
        <w:t xml:space="preserve">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TO SELLER: </w:t>
        <w:tab/>
        <w:t>Cutter Oil Company</w:t>
      </w:r>
    </w:p>
    <w:p>
      <w:pPr>
        <w:pStyle w:val="Normal"/>
        <w:jc w:val="both"/>
        <w:rPr>
          <w:rFonts w:ascii="Arial Narrow" w:hAnsi="Arial Narrow" w:cs="Arial Narrow"/>
          <w:sz w:val="18"/>
          <w:u w:val="single"/>
        </w:rPr>
      </w:pPr>
      <w:r>
        <w:rPr>
          <w:rFonts w:cs="Arial Narrow" w:ascii="Arial Narrow" w:hAnsi="Arial Narrow"/>
          <w:sz w:val="18"/>
        </w:rPr>
        <w:tab/>
        <w:tab/>
        <w:t>Attn:  Mr. Chuck Cutter</w:t>
      </w:r>
    </w:p>
    <w:p>
      <w:pPr>
        <w:pStyle w:val="Normal"/>
        <w:jc w:val="both"/>
        <w:rPr>
          <w:rFonts w:ascii="Arial Narrow" w:hAnsi="Arial Narrow" w:cs="Arial Narrow"/>
          <w:sz w:val="18"/>
          <w:u w:val="single"/>
        </w:rPr>
      </w:pPr>
      <w:r>
        <w:rPr>
          <w:rFonts w:cs="Arial Narrow" w:ascii="Arial Narrow" w:hAnsi="Arial Narrow"/>
          <w:sz w:val="18"/>
        </w:rPr>
        <w:tab/>
        <w:tab/>
        <w:t>9270 Cedar Valley</w:t>
      </w:r>
    </w:p>
    <w:p>
      <w:pPr>
        <w:pStyle w:val="Normal"/>
        <w:jc w:val="both"/>
        <w:rPr>
          <w:rFonts w:ascii="Arial Narrow" w:hAnsi="Arial Narrow" w:cs="Arial Narrow"/>
          <w:sz w:val="18"/>
        </w:rPr>
      </w:pPr>
      <w:r>
        <w:rPr>
          <w:rFonts w:cs="Arial Narrow" w:ascii="Arial Narrow" w:hAnsi="Arial Narrow"/>
          <w:sz w:val="18"/>
        </w:rPr>
        <w:tab/>
        <w:tab/>
        <w:t>West Salem, OH 44287</w:t>
      </w:r>
    </w:p>
    <w:p>
      <w:pPr>
        <w:pStyle w:val="Normal"/>
        <w:jc w:val="both"/>
        <w:rPr>
          <w:rFonts w:ascii="Arial Narrow" w:hAnsi="Arial Narrow" w:cs="Arial Narrow"/>
          <w:sz w:val="18"/>
        </w:rPr>
      </w:pPr>
      <w:r>
        <w:rPr>
          <w:rFonts w:cs="Arial Narrow" w:ascii="Arial Narrow" w:hAnsi="Arial Narrow"/>
          <w:sz w:val="18"/>
        </w:rPr>
        <w:tab/>
        <w:tab/>
        <w:t>Telephone:  (419) 846-3850</w:t>
      </w:r>
    </w:p>
    <w:p>
      <w:pPr>
        <w:pStyle w:val="Normal"/>
        <w:jc w:val="both"/>
        <w:rPr>
          <w:rFonts w:ascii="Arial Narrow" w:hAnsi="Arial Narrow" w:cs="Arial Narrow"/>
          <w:sz w:val="18"/>
        </w:rPr>
      </w:pPr>
      <w:r>
        <w:rPr>
          <w:rFonts w:cs="Arial Narrow" w:ascii="Arial Narrow" w:hAnsi="Arial Narrow"/>
          <w:sz w:val="18"/>
        </w:rPr>
        <w:tab/>
        <w:tab/>
        <w:t>Facsimile:  (419) 846-6878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720" w:top="7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SELLER:  CUTTER OIL COMPANY</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/mnt/main-storage/datasets/enron-docs/doc/Cutter_Oil_Clean.doc</w:t>
      </w:r>
      <w:r>
        <w:rPr>
          <w:sz w:val="18"/>
          <w:rFonts w:cs="Arial Narrow" w:ascii="Arial Narrow" w:hAnsi="Arial Narrow"/>
        </w:rPr>
        <w:fldChar w:fldCharType="end"/>
      </w:r>
    </w:p>
    <w:p>
      <w:pPr>
        <w:sectPr>
          <w:type w:val="continuous"/>
          <w:pgSz w:w="12240" w:h="15840"/>
          <w:pgMar w:left="576" w:right="576" w:gutter="0" w:header="720" w:top="7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720" w:top="776"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_______________________________</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2001-02-20T20:33:00Z</dcterms:created>
  <dc:creator>ees</dc:creator>
  <dc:description/>
  <cp:keywords>3105</cp:keywords>
  <dc:language>en-CA</dc:language>
  <cp:lastModifiedBy>dperlin</cp:lastModifiedBy>
  <cp:lastPrinted>2001-02-20T17:07:00Z</cp:lastPrinted>
  <dcterms:modified xsi:type="dcterms:W3CDTF">2001-02-20T20:38:00Z</dcterms:modified>
  <cp:revision>3</cp:revision>
  <dc:subject>3105</dc:subject>
  <dc:title>3105 master mark up</dc:title>
</cp:coreProperties>
</file>