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SUBJECT TO ATTORNEY-CLIENT AND WORK PRODUCT PRIVILEGES</w:t>
      </w:r>
    </w:p>
    <w:p>
      <w:pPr>
        <w:pStyle w:val="Heading"/>
        <w:jc w:val="start"/>
        <w:rPr/>
      </w:pPr>
      <w:r>
        <w:rPr/>
      </w:r>
    </w:p>
    <w:p>
      <w:pPr>
        <w:pStyle w:val="Heading"/>
        <w:rPr/>
      </w:pPr>
      <w:r>
        <w:rPr/>
      </w:r>
    </w:p>
    <w:p>
      <w:pPr>
        <w:pStyle w:val="Heading"/>
        <w:rPr/>
      </w:pPr>
      <w:r>
        <w:rPr/>
        <w:t>SUMMARY OF CUSTOMS ISSUES</w:t>
      </w:r>
    </w:p>
    <w:p>
      <w:pPr>
        <w:pStyle w:val="Heading"/>
        <w:rPr/>
      </w:pPr>
      <w:r>
        <w:rPr/>
        <w:t>AND RISK ASSESSMENT AS TO LNG</w:t>
      </w:r>
    </w:p>
    <w:p>
      <w:pPr>
        <w:pStyle w:val="Normal"/>
        <w:jc w:val="center"/>
        <w:rPr>
          <w:b/>
          <w:sz w:val="24"/>
        </w:rPr>
      </w:pPr>
      <w:r>
        <w:rPr>
          <w:b/>
          <w:sz w:val="24"/>
        </w:rPr>
      </w:r>
    </w:p>
    <w:p>
      <w:pPr>
        <w:pStyle w:val="BodyText"/>
        <w:rPr/>
      </w:pPr>
      <w:r>
        <w:rPr/>
        <w:t>This note is very preliminary and lays out the DPC customs issues on a very high level. The customs issues have been known to DPC for some time; however, a detailed risk assessment is new.  The issues thus far appear to be as follows:</w:t>
      </w:r>
    </w:p>
    <w:p>
      <w:pPr>
        <w:pStyle w:val="BodyText"/>
        <w:rPr/>
      </w:pPr>
      <w:r>
        <w:rPr/>
      </w:r>
    </w:p>
    <w:p>
      <w:pPr>
        <w:pStyle w:val="BodyText"/>
        <w:numPr>
          <w:ilvl w:val="0"/>
          <w:numId w:val="1"/>
        </w:numPr>
        <w:rPr/>
      </w:pPr>
      <w:r>
        <w:rPr/>
        <w:t>How should certain facilities be classified for duty rate purposes?</w:t>
      </w:r>
    </w:p>
    <w:p>
      <w:pPr>
        <w:pStyle w:val="BodyText"/>
        <w:numPr>
          <w:ilvl w:val="0"/>
          <w:numId w:val="1"/>
        </w:numPr>
        <w:rPr/>
      </w:pPr>
      <w:r>
        <w:rPr/>
        <w:t>What portion of the offshore service contract should be “clubbed” into the offshore supply contract for purposes of assessing duty?</w:t>
      </w:r>
    </w:p>
    <w:p>
      <w:pPr>
        <w:pStyle w:val="BodyText"/>
        <w:numPr>
          <w:ilvl w:val="0"/>
          <w:numId w:val="1"/>
        </w:numPr>
        <w:rPr/>
      </w:pPr>
      <w:r>
        <w:rPr/>
        <w:t>What is the commercial impact of Customs delay in clearing of consignments?</w:t>
      </w:r>
    </w:p>
    <w:p>
      <w:pPr>
        <w:pStyle w:val="BodyText"/>
        <w:rPr/>
      </w:pPr>
      <w:r>
        <w:rPr/>
      </w:r>
    </w:p>
    <w:p>
      <w:pPr>
        <w:pStyle w:val="BodyText"/>
        <w:rPr/>
      </w:pPr>
      <w:r>
        <w:rPr/>
        <w:t xml:space="preserve">The multiple facets of these issues can be generally summarized as delineated below.  In addition, for your information, attached separately is a preliminary LNG customs duty risk evaluation.  </w:t>
      </w:r>
    </w:p>
    <w:p>
      <w:pPr>
        <w:pStyle w:val="Normal"/>
        <w:rPr>
          <w:sz w:val="24"/>
        </w:rPr>
      </w:pPr>
      <w:r>
        <w:rPr>
          <w:sz w:val="24"/>
        </w:rPr>
      </w:r>
    </w:p>
    <w:p>
      <w:pPr>
        <w:pStyle w:val="Normal"/>
        <w:rPr>
          <w:sz w:val="24"/>
        </w:rPr>
      </w:pPr>
      <w:r>
        <w:rPr>
          <w:sz w:val="24"/>
        </w:rPr>
        <w:t xml:space="preserve">The current Customs issues involve classification of facilities either as integral and necessary facilities for the plant or facilities for third party sales of LNG.  The most controversial aspect is the classification of the third LNG tank.  Customs contends that the third tank is primarily for the benefit of third party sales (Metgas).  As support for this position, Customs points to multiple press releases announcing the development of the Metgas project, an annexure to a procurement contract, and a letter from Neil McGregor that discusses a tank sharing arrangement between Metgas and DPC.  A strong counterweight to this position are the provisions in the PPA that require a third tank and at least one consultant’s report that states that the third tank is integral and necessary to the power plant.  </w:t>
      </w:r>
    </w:p>
    <w:p>
      <w:pPr>
        <w:pStyle w:val="Normal"/>
        <w:rPr>
          <w:sz w:val="24"/>
        </w:rPr>
      </w:pPr>
      <w:r>
        <w:rPr>
          <w:sz w:val="24"/>
        </w:rPr>
      </w:r>
    </w:p>
    <w:p>
      <w:pPr>
        <w:pStyle w:val="Normal"/>
        <w:rPr>
          <w:sz w:val="24"/>
        </w:rPr>
      </w:pPr>
      <w:r>
        <w:rPr>
          <w:sz w:val="24"/>
        </w:rPr>
        <w:t xml:space="preserve">In any event, Customs seeks to separate the costs of the third tank and assess duty at a higher rate than the project import benefit rate of 22.38%.  There are two higher levels of duty: the 53.8% industrial plant rate and the 67% merit duty rate.  It is unlikely that an attempt to assess the merit duty rate would be successful; thus, for purposes of this note, the duty at risk will be the difference between the project import benefit rate and industrial plant rate, approximately 30%.  </w:t>
      </w:r>
    </w:p>
    <w:p>
      <w:pPr>
        <w:pStyle w:val="Normal"/>
        <w:rPr>
          <w:sz w:val="24"/>
        </w:rPr>
      </w:pPr>
      <w:r>
        <w:rPr>
          <w:sz w:val="24"/>
        </w:rPr>
      </w:r>
    </w:p>
    <w:p>
      <w:pPr>
        <w:pStyle w:val="Normal"/>
        <w:rPr/>
      </w:pPr>
      <w:r>
        <w:rPr>
          <w:sz w:val="24"/>
        </w:rPr>
        <w:t>Intertwined into the third tank issue are the offshore supplies contract ($103MM) and the offshore services contract. ($149 MM).  Whereas services are typically not the subject of duty, in this case, Customs contends that in this case, the services contract contains procurement and other supply-related services that should not be duty-free.  Thus, we understand that Customs contends that the portions of the two contracts that pertain to the third tank and other shared facilities should be “clubbed” (added together) and charged a higher rate of duty.</w:t>
      </w:r>
      <w:r>
        <w:rPr>
          <w:rStyle w:val="FootnoteCharacters"/>
          <w:rStyle w:val="FootnoteReference"/>
          <w:sz w:val="24"/>
        </w:rPr>
        <w:footnoteReference w:id="2"/>
      </w:r>
      <w:r>
        <w:rPr>
          <w:sz w:val="24"/>
        </w:rPr>
        <w:t xml:space="preserve">  In addition, it may be that there are costs that relate to supplies for the power plant included in the services contract.  Neither this note nor the duty risk evaluation address this facet as its possibility has just come to light.</w:t>
      </w:r>
    </w:p>
    <w:p>
      <w:pPr>
        <w:pStyle w:val="Normal"/>
        <w:rPr>
          <w:sz w:val="24"/>
        </w:rPr>
      </w:pPr>
      <w:r>
        <w:rPr>
          <w:sz w:val="24"/>
        </w:rPr>
      </w:r>
    </w:p>
    <w:p>
      <w:pPr>
        <w:pStyle w:val="Normal"/>
        <w:rPr>
          <w:sz w:val="24"/>
        </w:rPr>
      </w:pPr>
      <w:r>
        <w:rPr>
          <w:sz w:val="24"/>
        </w:rPr>
        <w:t>Our internal assessment is that there is a portion in the services contract that should have been included in the supply contract.</w:t>
      </w:r>
      <w:r>
        <w:rPr>
          <w:rStyle w:val="FootnoteCharacters"/>
          <w:rStyle w:val="FootnoteReference"/>
          <w:sz w:val="24"/>
        </w:rPr>
        <w:footnoteReference w:id="3"/>
      </w:r>
      <w:r>
        <w:rPr>
          <w:sz w:val="24"/>
        </w:rPr>
        <w:t xml:space="preserve">  However, in addition to not having full information as to the inputs into the service contract, we do not have consensus as to the cost of the third tank.  Thus, the table addressing the various customs duty risk evaluation scenarios is currently in Draft form.</w:t>
      </w:r>
      <w:r>
        <w:rPr>
          <w:rStyle w:val="FootnoteCharacters"/>
          <w:rStyle w:val="FootnoteReference"/>
          <w:sz w:val="24"/>
        </w:rPr>
        <w:footnoteReference w:id="4"/>
      </w:r>
    </w:p>
    <w:p>
      <w:pPr>
        <w:pStyle w:val="Normal"/>
        <w:rPr>
          <w:sz w:val="24"/>
        </w:rPr>
      </w:pPr>
      <w:r>
        <w:rPr>
          <w:sz w:val="24"/>
        </w:rPr>
      </w:r>
    </w:p>
    <w:p>
      <w:pPr>
        <w:pStyle w:val="BodyText2"/>
        <w:rPr/>
      </w:pPr>
      <w:r>
        <w:rPr/>
        <w:t>In a separate issue that has recently been strongly brought to our attention by site personnel, it appears that Customs continues to delay clearing various consignments of equipment that were received in early February due to the above-described conflict. This has resulted in one contractor delay claim, necessity for another contractor to purchase covers to protect equipment in the customs yard and the possibility of missing the Guaranteed Completion Dates for the LNG facility. This issue does not figure into the risk analysis as of yet.</w:t>
      </w:r>
    </w:p>
    <w:p>
      <w:pPr>
        <w:pStyle w:val="BodyText2"/>
        <w:rPr/>
      </w:pPr>
      <w:r>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Previously we obtained a provisional decision by the Commissioner of Customs that the supply contract should receive the project import benefit rate, and the entire services contract would be duty-free.  He then referred this decision to the Central Board of Customs and Excise in New Delhi (the apex body for formulation of customs policy and its implementation).  One of the Commissioner’s subordinates complained to the Chief Collector of Customs, the Commissioner’s superior, about the validity of the provisional decision.  The Chief Collector has reactivated Customs’ contention and is launching a potential internal investigation of that provisional decision.   </w:t>
      </w:r>
    </w:p>
  </w:footnote>
  <w:footnote w:id="3">
    <w:p>
      <w:pPr>
        <w:pStyle w:val="FootnoteText"/>
        <w:rPr/>
      </w:pPr>
      <w:r>
        <w:rPr>
          <w:rStyle w:val="FootnoteCharacters"/>
        </w:rPr>
        <w:footnoteRef/>
      </w:r>
      <w:r>
        <w:rPr/>
        <w:t xml:space="preserve"> </w:t>
      </w:r>
      <w:r>
        <w:rPr/>
        <w:t>How much belongs in the supplies contract is unclear because we have not been able to determine from EE&amp;CC the contents of the service contract.  Neil McGregor will pursue this matter.</w:t>
      </w:r>
    </w:p>
  </w:footnote>
  <w:footnote w:id="4">
    <w:p>
      <w:pPr>
        <w:pStyle w:val="Normal"/>
        <w:rPr/>
      </w:pPr>
      <w:r>
        <w:rPr>
          <w:rStyle w:val="FootnoteCharacters"/>
        </w:rPr>
        <w:footnoteRef/>
      </w:r>
      <w:r>
        <w:rPr/>
        <w:t xml:space="preserve"> </w:t>
      </w:r>
      <w:r>
        <w:rPr/>
        <w:t>Also included in the risk assessment is the fact that various facilities linked to LNG have been redesigned to include more shared equipment.  The value increased from $4 MM to $10 MM.  That additional duty amount is also included.</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spacing w:lineRule="atLeast" w:line="240"/>
    </w:pPr>
    <w:rPr>
      <w:color w:val="000000"/>
      <w:sz w:val="24"/>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2001-03-02T10:08:00Z</dcterms:created>
  <dc:creator>Enron Technology</dc:creator>
  <dc:description/>
  <dc:language>en-CA</dc:language>
  <cp:lastModifiedBy>Enron Technology</cp:lastModifiedBy>
  <cp:lastPrinted>2001-03-02T19:10:00Z</cp:lastPrinted>
  <dcterms:modified xsi:type="dcterms:W3CDTF">2001-03-02T12:10:00Z</dcterms:modified>
  <cp:revision>10</cp:revision>
  <dc:subject/>
  <dc:title>SUBJECT TO ATTORNEY-CLIENT AND WORK PRODUCT PRIVILEGES</dc:title>
</cp:coreProperties>
</file>