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13 November 2001</w:t>
      </w:r>
    </w:p>
    <w:p>
      <w:pPr>
        <w:pStyle w:val="Normal"/>
        <w:jc w:val="both"/>
        <w:rPr>
          <w:sz w:val="22"/>
        </w:rPr>
      </w:pPr>
      <w:r>
        <w:rPr>
          <w:sz w:val="22"/>
        </w:rPr>
      </w:r>
    </w:p>
    <w:p>
      <w:pPr>
        <w:pStyle w:val="Normal"/>
        <w:jc w:val="both"/>
        <w:rPr>
          <w:sz w:val="22"/>
        </w:rPr>
      </w:pPr>
      <w:r>
        <w:rPr>
          <w:sz w:val="22"/>
        </w:rPr>
        <w:t>[Company]</w:t>
      </w:r>
    </w:p>
    <w:p>
      <w:pPr>
        <w:pStyle w:val="Normal"/>
        <w:jc w:val="both"/>
        <w:rPr>
          <w:sz w:val="22"/>
        </w:rPr>
      </w:pPr>
      <w:r>
        <w:rPr>
          <w:sz w:val="22"/>
        </w:rPr>
        <w:t>[Address1]</w:t>
      </w:r>
    </w:p>
    <w:p>
      <w:pPr>
        <w:pStyle w:val="Normal"/>
        <w:jc w:val="both"/>
        <w:rPr>
          <w:sz w:val="22"/>
        </w:rPr>
      </w:pPr>
      <w:r>
        <w:rPr>
          <w:sz w:val="22"/>
        </w:rPr>
        <w:t>[Address2]</w:t>
      </w:r>
    </w:p>
    <w:p>
      <w:pPr>
        <w:pStyle w:val="Normal"/>
        <w:jc w:val="both"/>
        <w:rPr>
          <w:sz w:val="22"/>
        </w:rPr>
      </w:pPr>
      <w:r>
        <w:rPr>
          <w:sz w:val="22"/>
        </w:rPr>
        <w:t>[Country]</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Dear XXXX</w:t>
      </w:r>
    </w:p>
    <w:p>
      <w:pPr>
        <w:pStyle w:val="Normal"/>
        <w:jc w:val="both"/>
        <w:rPr>
          <w:sz w:val="22"/>
        </w:rPr>
      </w:pPr>
      <w:r>
        <w:rPr>
          <w:sz w:val="22"/>
        </w:rPr>
      </w:r>
    </w:p>
    <w:p>
      <w:pPr>
        <w:pStyle w:val="Normal"/>
        <w:jc w:val="both"/>
        <w:rPr>
          <w:sz w:val="22"/>
        </w:rPr>
      </w:pPr>
      <w:r>
        <w:rPr>
          <w:sz w:val="22"/>
        </w:rPr>
        <w:t xml:space="preserve">We are pleased to announce that on Friday, 9 November, Enron and Dynegy – two of the world’s premier energy merchants – agreed to merge.  </w:t>
      </w:r>
    </w:p>
    <w:p>
      <w:pPr>
        <w:pStyle w:val="Normal"/>
        <w:jc w:val="both"/>
        <w:rPr>
          <w:sz w:val="22"/>
        </w:rPr>
      </w:pPr>
      <w:r>
        <w:rPr>
          <w:sz w:val="22"/>
        </w:rPr>
      </w:r>
    </w:p>
    <w:p>
      <w:pPr>
        <w:pStyle w:val="Normal"/>
        <w:jc w:val="both"/>
        <w:rPr/>
      </w:pPr>
      <w:r>
        <w:rPr>
          <w:sz w:val="22"/>
        </w:rPr>
        <w:t xml:space="preserve">The combined company, which will be called Dynegy Inc., is expected to have annual revenues exceeding $200 billion and $90 billion in assets. </w:t>
      </w:r>
      <w:r>
        <w:rPr>
          <w:rFonts w:cs="Arial"/>
          <w:sz w:val="22"/>
        </w:rPr>
        <w:t xml:space="preserve">Together, through the third quarter 2001, the companies had gas sales of approximately 40 Bcf/day and power sales exceeding 500 million MWh.  </w:t>
      </w:r>
      <w:r>
        <w:rPr>
          <w:sz w:val="22"/>
        </w:rPr>
        <w:t xml:space="preserve">In addition, the new company's delivery network will include more than 22,000 megawatts of generating capacity and 25,000 miles of pipelines.    </w:t>
      </w:r>
    </w:p>
    <w:p>
      <w:pPr>
        <w:pStyle w:val="Normal"/>
        <w:jc w:val="both"/>
        <w:rPr>
          <w:sz w:val="22"/>
        </w:rPr>
      </w:pPr>
      <w:r>
        <w:rPr>
          <w:sz w:val="22"/>
        </w:rPr>
      </w:r>
    </w:p>
    <w:p>
      <w:pPr>
        <w:pStyle w:val="BodyText"/>
        <w:rPr>
          <w:sz w:val="22"/>
        </w:rPr>
      </w:pPr>
      <w:r>
        <w:rPr>
          <w:sz w:val="22"/>
        </w:rPr>
        <w:t>Most importantly, the merger confirms the significant value of Enron’s core business and provides a significant infusion of cash to strengthen liquidity.  Dynegy has reviewed the related party and off-balance sheet issues facing Enron and is comfortable that those issues are manageable.  Dynegy has underscored its commitment to the new company by agreeing to immediately provide Enron with $1.5 billion of new equity.  Dynegy will obtain these funds from ChevronTexaco, currently the owner of 26% of the outstanding common stock of Dynegy, who has committed to investing a total of $2.5 billion of new equity in the combined company.</w:t>
      </w:r>
    </w:p>
    <w:p>
      <w:pPr>
        <w:pStyle w:val="Normal"/>
        <w:jc w:val="both"/>
        <w:rPr>
          <w:sz w:val="22"/>
        </w:rPr>
      </w:pPr>
      <w:r>
        <w:rPr>
          <w:sz w:val="22"/>
        </w:rPr>
      </w:r>
    </w:p>
    <w:p>
      <w:pPr>
        <w:pStyle w:val="Normal"/>
        <w:jc w:val="both"/>
        <w:rPr/>
      </w:pPr>
      <w:r>
        <w:rPr>
          <w:sz w:val="22"/>
        </w:rPr>
        <w:t>We believe that the merger between Enron and Dynegy is a positive and exciting opportunity for both companies and their customers.  This combination provides a wider and more diverse platform to meet the needs of our customers with reliable delivery and predictable pricing.  Customers will also benefit from the broader supply sources of the two companies. In sum, the</w:t>
      </w:r>
      <w:r>
        <w:rPr>
          <w:rFonts w:cs="Arial"/>
          <w:sz w:val="22"/>
        </w:rPr>
        <w:t xml:space="preserve"> new ‘Dynegy’ should be able to leverage off both companies’ combined industry experience, market reach and financial strength to provide customers with unparalleled market offerings.</w:t>
      </w:r>
    </w:p>
    <w:p>
      <w:pPr>
        <w:pStyle w:val="Normal"/>
        <w:jc w:val="both"/>
        <w:rPr>
          <w:rFonts w:cs="Arial"/>
          <w:sz w:val="22"/>
        </w:rPr>
      </w:pPr>
      <w:r>
        <w:rPr>
          <w:rFonts w:cs="Arial"/>
          <w:sz w:val="22"/>
        </w:rPr>
      </w:r>
    </w:p>
    <w:p>
      <w:pPr>
        <w:pStyle w:val="BodyText2"/>
        <w:rPr/>
      </w:pPr>
      <w:r>
        <w:rPr/>
        <w:t>The merger is expected to close by the end of the third quarter 2002 and is subject to shareholder and regulatory approvals.  Until the merger is finalised both companies will continue to function independently.  At the same time, however, we believe that this merger and infusion of cash will strengthen our liquidity and stabilize our senior credit rating, which remains investment grade.</w:t>
      </w:r>
    </w:p>
    <w:p>
      <w:pPr>
        <w:pStyle w:val="Normal"/>
        <w:jc w:val="both"/>
        <w:rPr>
          <w:sz w:val="22"/>
        </w:rPr>
      </w:pPr>
      <w:r>
        <w:rPr>
          <w:sz w:val="22"/>
        </w:rPr>
      </w:r>
    </w:p>
    <w:p>
      <w:pPr>
        <w:pStyle w:val="Normal"/>
        <w:jc w:val="both"/>
        <w:rPr>
          <w:sz w:val="22"/>
        </w:rPr>
      </w:pPr>
      <w:r>
        <w:rPr>
          <w:sz w:val="22"/>
          <w:lang w:val="en-GB"/>
        </w:rPr>
        <w:t xml:space="preserve">More information about the merger is available on our website at </w:t>
      </w:r>
      <w:hyperlink r:id="rId2">
        <w:r>
          <w:rPr>
            <w:rStyle w:val="Hyperlink"/>
            <w:sz w:val="22"/>
            <w:lang w:val="en-GB"/>
          </w:rPr>
          <w:t>www.enron.com</w:t>
        </w:r>
      </w:hyperlink>
      <w:r>
        <w:rPr>
          <w:sz w:val="22"/>
          <w:lang w:val="en-GB"/>
        </w:rPr>
        <w:t>. I will keep you informed of progress as the merger develops. In the meantime, please feel free to contact me direct on +44(0) 207-783-XXXX if you have any queries.</w:t>
      </w:r>
    </w:p>
    <w:p>
      <w:pPr>
        <w:pStyle w:val="Normal"/>
        <w:rPr>
          <w:sz w:val="22"/>
          <w:lang w:val="en-GB"/>
        </w:rPr>
      </w:pPr>
      <w:r>
        <w:rPr>
          <w:sz w:val="22"/>
          <w:lang w:val="en-GB"/>
        </w:rPr>
      </w:r>
    </w:p>
    <w:p>
      <w:pPr>
        <w:pStyle w:val="Normal"/>
        <w:rPr>
          <w:sz w:val="22"/>
          <w:lang w:val="en-GB"/>
        </w:rPr>
      </w:pPr>
      <w:r>
        <w:rPr>
          <w:sz w:val="22"/>
          <w:lang w:val="en-GB"/>
        </w:rPr>
        <w:t>Yours sincerely</w:t>
      </w:r>
    </w:p>
    <w:p>
      <w:pPr>
        <w:pStyle w:val="Normal"/>
        <w:jc w:val="both"/>
        <w:rPr>
          <w:sz w:val="22"/>
          <w:lang w:val="en-GB"/>
        </w:rPr>
      </w:pPr>
      <w:r>
        <w:rPr>
          <w:sz w:val="22"/>
          <w:lang w:val="en-G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2001-11-14T14:56:00Z</dcterms:created>
  <dc:creator>fgrant</dc:creator>
  <dc:description/>
  <dc:language>en-CA</dc:language>
  <cp:lastModifiedBy>jgentle</cp:lastModifiedBy>
  <cp:lastPrinted>2001-11-14T16:27:00Z</cp:lastPrinted>
  <dcterms:modified xsi:type="dcterms:W3CDTF">2001-11-14T14:56:00Z</dcterms:modified>
  <cp:revision>2</cp:revision>
  <dc:subject/>
  <dc:title>Dear XXXX</dc:title>
</cp:coreProperties>
</file>