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sz w:val="20"/>
        </w:rPr>
      </w:pPr>
      <w:r>
        <w:rPr>
          <w:sz w:val="20"/>
        </w:rPr>
      </w:r>
    </w:p>
    <w:p>
      <w:pPr>
        <w:pStyle w:val="Heading"/>
        <w:widowControl/>
        <w:rPr>
          <w:sz w:val="20"/>
        </w:rPr>
      </w:pPr>
      <w:r>
        <w:rPr>
          <w:sz w:val="20"/>
        </w:rPr>
      </w:r>
    </w:p>
    <w:p>
      <w:pPr>
        <w:pStyle w:val="Heading"/>
        <w:widowControl/>
        <w:rPr>
          <w:sz w:val="20"/>
        </w:rPr>
      </w:pPr>
      <w:r>
        <w:rPr>
          <w:sz w:val="20"/>
        </w:rPr>
        <w:drawing>
          <wp:inline distT="0" distB="0" distL="0" distR="0">
            <wp:extent cx="100330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03300" cy="987425"/>
                    </a:xfrm>
                    <a:prstGeom prst="rect">
                      <a:avLst/>
                    </a:prstGeom>
                    <a:noFill/>
                  </pic:spPr>
                </pic:pic>
              </a:graphicData>
            </a:graphic>
          </wp:inline>
        </w:drawing>
      </w:r>
    </w:p>
    <w:p>
      <w:pPr>
        <w:pStyle w:val="Heading"/>
        <w:widowContro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100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To:</w:t>
            </w:r>
          </w:p>
        </w:tc>
        <w:tc>
          <w:tcPr>
            <w:tcW w:w="6045" w:type="dxa"/>
            <w:tcBorders/>
          </w:tcPr>
          <w:p>
            <w:pPr>
              <w:pStyle w:val="To"/>
              <w:widowControl/>
              <w:rPr>
                <w:rFonts w:ascii="Times New Roman" w:hAnsi="Times New Roman" w:cs="Times New Roman"/>
              </w:rPr>
            </w:pPr>
            <w:r>
              <w:rPr>
                <w:rFonts w:cs="Times New Roman" w:ascii="Times New Roman" w:hAnsi="Times New Roman"/>
              </w:rPr>
              <w:t>Jeff Shankman</w:t>
            </w:r>
          </w:p>
          <w:p>
            <w:pPr>
              <w:pStyle w:val="To"/>
              <w:widowControl/>
              <w:rPr>
                <w:rFonts w:ascii="Times New Roman" w:hAnsi="Times New Roman" w:cs="Times New Roman"/>
              </w:rPr>
            </w:pPr>
            <w:r>
              <w:rPr>
                <w:rFonts w:cs="Times New Roman" w:ascii="Times New Roman" w:hAnsi="Times New Roman"/>
              </w:rPr>
              <w:t>Scott Earnest</w:t>
            </w:r>
          </w:p>
          <w:p>
            <w:pPr>
              <w:pStyle w:val="To"/>
              <w:widowControl/>
              <w:rPr>
                <w:rFonts w:ascii="Times New Roman" w:hAnsi="Times New Roman" w:cs="Times New Roman"/>
              </w:rPr>
            </w:pPr>
            <w:r>
              <w:rPr>
                <w:rFonts w:cs="Times New Roman" w:ascii="Times New Roman" w:hAnsi="Times New Roman"/>
              </w:rPr>
              <w:t>Brent Price</w:t>
            </w:r>
          </w:p>
        </w:tc>
        <w:tc>
          <w:tcPr>
            <w:tcW w:w="990" w:type="dxa"/>
            <w:tcBorders/>
          </w:tcPr>
          <w:p>
            <w:pPr>
              <w:pStyle w:val="Normal"/>
              <w:widowControl/>
              <w:snapToGrid w:val="false"/>
              <w:ind w:start="-180" w:end="0"/>
              <w:rPr>
                <w:rFonts w:ascii="Times New Roman" w:hAnsi="Times New Roman" w:cs="Times New Roman"/>
              </w:rPr>
            </w:pPr>
            <w:r>
              <w:rPr>
                <w:rFonts w:cs="Times New Roman" w:ascii="Times New Roman" w:hAnsi="Times New Roman"/>
              </w:rPr>
            </w:r>
          </w:p>
        </w:tc>
        <w:tc>
          <w:tcPr>
            <w:tcW w:w="2965" w:type="dxa"/>
            <w:tcBorders/>
          </w:tcPr>
          <w:p>
            <w:pPr>
              <w:pStyle w:val="Normal"/>
              <w:widowControl/>
              <w:snapToGrid w:val="false"/>
              <w:rPr>
                <w:rFonts w:ascii="Times New Roman" w:hAnsi="Times New Roman" w:cs="Times New Roman"/>
              </w:rPr>
            </w:pPr>
            <w:r>
              <w:rPr>
                <w:rFonts w:cs="Times New Roman" w:ascii="Times New Roman" w:hAnsi="Times New Roman"/>
              </w:rPr>
            </w:r>
          </w:p>
        </w:tc>
      </w:tr>
      <w:tr>
        <w:trPr>
          <w:trHeight w:val="90"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378" w:hRule="exact"/>
        </w:trPr>
        <w:tc>
          <w:tcPr>
            <w:tcW w:w="708"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From:</w:t>
            </w:r>
          </w:p>
        </w:tc>
        <w:tc>
          <w:tcPr>
            <w:tcW w:w="6045" w:type="dxa"/>
            <w:tcBorders/>
          </w:tcPr>
          <w:p>
            <w:pPr>
              <w:pStyle w:val="From"/>
              <w:widowControl/>
              <w:rPr>
                <w:rFonts w:ascii="Times New Roman" w:hAnsi="Times New Roman" w:cs="Times New Roman"/>
              </w:rPr>
            </w:pPr>
            <w:r>
              <w:rPr>
                <w:rFonts w:cs="Times New Roman" w:ascii="Times New Roman" w:hAnsi="Times New Roman"/>
              </w:rPr>
              <w:t>Shona Wilson</w:t>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p>
            <w:pPr>
              <w:pStyle w:val="From"/>
              <w:widowControl/>
              <w:rPr>
                <w:rFonts w:ascii="Times New Roman" w:hAnsi="Times New Roman" w:cs="Times New Roman"/>
              </w:rPr>
            </w:pPr>
            <w:r>
              <w:rPr>
                <w:rFonts w:cs="Times New Roman" w:ascii="Times New Roman" w:hAnsi="Times New Roman"/>
              </w:rPr>
            </w:r>
          </w:p>
        </w:tc>
        <w:tc>
          <w:tcPr>
            <w:tcW w:w="990" w:type="dxa"/>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Department:</w:t>
            </w:r>
          </w:p>
        </w:tc>
        <w:tc>
          <w:tcPr>
            <w:tcW w:w="2965" w:type="dxa"/>
            <w:tcBorders/>
          </w:tcPr>
          <w:p>
            <w:pPr>
              <w:pStyle w:val="Department"/>
              <w:widowControl/>
              <w:rPr>
                <w:rFonts w:ascii="Times New Roman" w:hAnsi="Times New Roman" w:cs="Times New Roman"/>
              </w:rPr>
            </w:pPr>
            <w:bookmarkStart w:id="0" w:name="From"/>
            <w:bookmarkEnd w:id="0"/>
            <w:r>
              <w:rPr>
                <w:rFonts w:cs="Times New Roman" w:ascii="Times New Roman" w:hAnsi="Times New Roman"/>
              </w:rPr>
              <w:t>Risk Management</w:t>
            </w:r>
          </w:p>
        </w:tc>
      </w:tr>
      <w:tr>
        <w:trPr>
          <w:trHeight w:val="91" w:hRule="exact"/>
        </w:trPr>
        <w:tc>
          <w:tcPr>
            <w:tcW w:w="708" w:type="dxa"/>
            <w:tcBorders/>
          </w:tcPr>
          <w:p>
            <w:pPr>
              <w:pStyle w:val="Normal"/>
              <w:widowControl/>
              <w:snapToGrid w:val="false"/>
              <w:ind w:start="-180" w:end="0"/>
              <w:jc w:val="end"/>
              <w:rPr>
                <w:rFonts w:ascii="Times New Roman" w:hAnsi="Times New Roman" w:cs="Times New Roman"/>
                <w:sz w:val="18"/>
              </w:rPr>
            </w:pPr>
            <w:r>
              <w:rPr>
                <w:rFonts w:cs="Times New Roman" w:ascii="Times New Roman" w:hAnsi="Times New Roman"/>
                <w:sz w:val="18"/>
              </w:rPr>
            </w:r>
          </w:p>
        </w:tc>
        <w:tc>
          <w:tcPr>
            <w:tcW w:w="604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c>
          <w:tcPr>
            <w:tcW w:w="990" w:type="dxa"/>
            <w:tcBorders/>
          </w:tcPr>
          <w:p>
            <w:pPr>
              <w:pStyle w:val="Normal"/>
              <w:widowControl/>
              <w:snapToGrid w:val="false"/>
              <w:ind w:start="-180" w:end="0"/>
              <w:rPr>
                <w:rFonts w:ascii="Times New Roman" w:hAnsi="Times New Roman" w:cs="Times New Roman"/>
                <w:sz w:val="18"/>
              </w:rPr>
            </w:pPr>
            <w:r>
              <w:rPr>
                <w:rFonts w:cs="Times New Roman" w:ascii="Times New Roman" w:hAnsi="Times New Roman"/>
                <w:sz w:val="18"/>
              </w:rPr>
            </w:r>
          </w:p>
        </w:tc>
        <w:tc>
          <w:tcPr>
            <w:tcW w:w="2965" w:type="dxa"/>
            <w:tcBorders/>
          </w:tcPr>
          <w:p>
            <w:pPr>
              <w:pStyle w:val="Normal"/>
              <w:widowControl/>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Subject:</w:t>
            </w:r>
          </w:p>
        </w:tc>
        <w:tc>
          <w:tcPr>
            <w:tcW w:w="6045" w:type="dxa"/>
            <w:tcBorders>
              <w:bottom w:val="single" w:sz="12" w:space="0" w:color="000000"/>
            </w:tcBorders>
          </w:tcPr>
          <w:p>
            <w:pPr>
              <w:pStyle w:val="Subject"/>
              <w:widowControl/>
              <w:rPr>
                <w:rFonts w:ascii="Times New Roman" w:hAnsi="Times New Roman" w:cs="Times New Roman"/>
              </w:rPr>
            </w:pPr>
            <w:r>
              <w:rPr>
                <w:rFonts w:cs="Times New Roman" w:ascii="Times New Roman" w:hAnsi="Times New Roman"/>
              </w:rPr>
              <w:t>Global Products Curve Validation for August 31, 2000</w:t>
            </w:r>
          </w:p>
        </w:tc>
        <w:tc>
          <w:tcPr>
            <w:tcW w:w="990" w:type="dxa"/>
            <w:tcBorders>
              <w:bottom w:val="single" w:sz="12" w:space="0" w:color="000000"/>
            </w:tcBorders>
          </w:tcPr>
          <w:p>
            <w:pPr>
              <w:pStyle w:val="Normal"/>
              <w:widowControl/>
              <w:ind w:start="-180" w:end="0"/>
              <w:jc w:val="end"/>
              <w:rPr>
                <w:rFonts w:ascii="Times New Roman" w:hAnsi="Times New Roman" w:cs="Times New Roman"/>
                <w:sz w:val="16"/>
              </w:rPr>
            </w:pPr>
            <w:r>
              <w:rPr>
                <w:rFonts w:cs="Times New Roman" w:ascii="Times New Roman" w:hAnsi="Times New Roman"/>
                <w:sz w:val="16"/>
              </w:rPr>
              <w:t>Date:</w:t>
            </w:r>
          </w:p>
        </w:tc>
        <w:tc>
          <w:tcPr>
            <w:tcW w:w="2965" w:type="dxa"/>
            <w:tcBorders>
              <w:bottom w:val="single" w:sz="12" w:space="0" w:color="000000"/>
            </w:tcBorders>
          </w:tcPr>
          <w:p>
            <w:pPr>
              <w:pStyle w:val="Date"/>
              <w:widowContro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DATE \@"MMMM\ d', 'yyyy" </w:instrText>
            </w:r>
            <w:r>
              <w:rPr>
                <w:rFonts w:cs="Times New Roman" w:ascii="Times New Roman" w:hAnsi="Times New Roman"/>
              </w:rPr>
              <w:fldChar w:fldCharType="separate"/>
            </w:r>
            <w:r>
              <w:rPr>
                <w:rFonts w:cs="Times New Roman" w:ascii="Times New Roman" w:hAnsi="Times New Roman"/>
              </w:rPr>
              <w:t>September 28, 2025</w:t>
            </w:r>
            <w:r>
              <w:rPr>
                <w:rFonts w:cs="Times New Roman" w:ascii="Times New Roman" w:hAnsi="Times New Roman"/>
              </w:rPr>
              <w:fldChar w:fldCharType="end"/>
            </w:r>
          </w:p>
        </w:tc>
      </w:tr>
    </w:tbl>
    <w:p>
      <w:pPr>
        <w:pStyle w:val="Body"/>
        <w:widowControl/>
        <w:rPr>
          <w:rFonts w:ascii="Times New Roman" w:hAnsi="Times New Roman" w:cs="Times New Roman"/>
        </w:rPr>
      </w:pPr>
      <w:r>
        <w:rPr>
          <w:rFonts w:cs="Times New Roman" w:ascii="Times New Roman" w:hAnsi="Times New Roman"/>
        </w:rPr>
      </w:r>
      <w:bookmarkStart w:id="1" w:name="StartOfMemo"/>
      <w:bookmarkStart w:id="2" w:name="StartOfMemo"/>
      <w:bookmarkEnd w:id="2"/>
    </w:p>
    <w:p>
      <w:pPr>
        <w:pStyle w:val="Body"/>
        <w:widowControl/>
        <w:rPr>
          <w:rFonts w:ascii="Times New Roman" w:hAnsi="Times New Roman" w:cs="Times New Roman"/>
        </w:rPr>
      </w:pPr>
      <w:r>
        <w:rPr>
          <w:rFonts w:cs="Times New Roman" w:ascii="Times New Roman" w:hAnsi="Times New Roman"/>
        </w:rPr>
      </w:r>
    </w:p>
    <w:p>
      <w:pPr>
        <w:pStyle w:val="Department"/>
        <w:widowControl/>
        <w:rPr>
          <w:rFonts w:ascii="Times New Roman" w:hAnsi="Times New Roman" w:cs="Times New Roman"/>
        </w:rPr>
      </w:pPr>
      <w:r>
        <w:rPr>
          <w:rFonts w:cs="Times New Roman" w:ascii="Times New Roman" w:hAnsi="Times New Roman"/>
        </w:rPr>
        <w:t xml:space="preserve">This memo documents the review of price curves in use on August 31, 2000. </w:t>
        <w:br/>
      </w:r>
    </w:p>
    <w:p>
      <w:pPr>
        <w:pStyle w:val="Department"/>
        <w:widowControl/>
        <w:numPr>
          <w:ilvl w:val="0"/>
          <w:numId w:val="3"/>
        </w:numPr>
        <w:rPr>
          <w:rFonts w:ascii="Times New Roman" w:hAnsi="Times New Roman" w:cs="Times New Roman"/>
          <w:b/>
        </w:rPr>
      </w:pPr>
      <w:r>
        <w:rPr>
          <w:rFonts w:cs="Times New Roman" w:ascii="Times New Roman" w:hAnsi="Times New Roman"/>
          <w:b/>
        </w:rPr>
        <w:t>Scope</w:t>
      </w:r>
      <w:r>
        <w:rPr>
          <w:rFonts w:cs="Times New Roman" w:ascii="Times New Roman" w:hAnsi="Times New Roman"/>
        </w:rPr>
        <w:br/>
        <w:br/>
        <w:t>The August 31</w:t>
      </w:r>
      <w:r>
        <w:rPr>
          <w:rFonts w:cs="Times New Roman" w:ascii="Times New Roman" w:hAnsi="Times New Roman"/>
          <w:vertAlign w:val="superscript"/>
        </w:rPr>
        <w:t>st</w:t>
      </w:r>
      <w:r>
        <w:rPr>
          <w:rFonts w:cs="Times New Roman" w:ascii="Times New Roman" w:hAnsi="Times New Roman"/>
        </w:rPr>
        <w:t xml:space="preserve"> 2000 curve review included validation of the following curves.  Curves were selected based on the P&amp;L impact of a 5% change in the curves.  The total liquid curves can be broken down as follows:</w:t>
      </w:r>
    </w:p>
    <w:p>
      <w:pPr>
        <w:pStyle w:val="Department"/>
        <w:widowControl/>
        <w:rPr>
          <w:rFonts w:ascii="Times New Roman" w:hAnsi="Times New Roman" w:cs="Times New Roman"/>
          <w:b/>
        </w:rPr>
      </w:pPr>
      <w:r>
        <w:rPr>
          <w:rFonts w:cs="Times New Roman" w:ascii="Times New Roman" w:hAnsi="Times New Roman"/>
          <w:b/>
        </w:rPr>
      </w:r>
    </w:p>
    <w:p>
      <w:pPr>
        <w:pStyle w:val="Department"/>
        <w:widowControl/>
        <w:ind w:firstLine="360" w:end="0"/>
        <w:rPr>
          <w:rFonts w:ascii="Times New Roman" w:hAnsi="Times New Roman" w:cs="Times New Roman"/>
          <w:b/>
        </w:rPr>
      </w:pPr>
      <w:r>
        <w:rPr>
          <w:rFonts w:cs="Times New Roman" w:ascii="Times New Roman" w:hAnsi="Times New Roman"/>
          <w:b/>
        </w:rPr>
      </w:r>
    </w:p>
    <w:tbl>
      <w:tblPr>
        <w:tblW w:w="9288" w:type="dxa"/>
        <w:jc w:val="start"/>
        <w:tblInd w:w="0" w:type="dxa"/>
        <w:tblLayout w:type="fixed"/>
        <w:tblCellMar>
          <w:top w:w="0" w:type="dxa"/>
          <w:start w:w="108" w:type="dxa"/>
          <w:bottom w:w="0" w:type="dxa"/>
          <w:end w:w="108" w:type="dxa"/>
        </w:tblCellMar>
      </w:tblPr>
      <w:tblGrid>
        <w:gridCol w:w="5465"/>
        <w:gridCol w:w="1753"/>
        <w:gridCol w:w="2070"/>
      </w:tblGrid>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ind w:firstLine="360" w:end="0"/>
              <w:jc w:val="center"/>
              <w:rPr>
                <w:rFonts w:ascii="Times New Roman" w:hAnsi="Times New Roman" w:cs="Times New Roman"/>
                <w:b/>
              </w:rPr>
            </w:pPr>
            <w:r>
              <w:rPr>
                <w:rFonts w:cs="Times New Roman" w:ascii="Times New Roman" w:hAnsi="Times New Roman"/>
                <w:b/>
              </w:rPr>
              <w:t>Amount of curve shift based on a 5% sensitivity analysis validated at August 31, 2000</w:t>
            </w:r>
          </w:p>
          <w:p>
            <w:pPr>
              <w:pStyle w:val="Department"/>
              <w:widowControl/>
              <w:jc w:val="center"/>
              <w:rPr>
                <w:rFonts w:ascii="Times New Roman" w:hAnsi="Times New Roman" w:cs="Times New Roman"/>
                <w:b/>
              </w:rPr>
            </w:pPr>
            <w:r>
              <w:rPr>
                <w:rFonts w:cs="Times New Roman" w:ascii="Times New Roman" w:hAnsi="Times New Roman"/>
                <w:b/>
              </w:rPr>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jc w:val="center"/>
              <w:rPr>
                <w:rFonts w:ascii="Times New Roman" w:hAnsi="Times New Roman" w:cs="Times New Roman"/>
                <w:b/>
              </w:rPr>
            </w:pPr>
            <w:r>
              <w:rPr>
                <w:rFonts w:cs="Times New Roman" w:ascii="Times New Roman" w:hAnsi="Times New Roman"/>
                <w:b/>
              </w:rPr>
              <w:t>In Dollars</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jc w:val="center"/>
              <w:rPr>
                <w:rFonts w:ascii="Times New Roman" w:hAnsi="Times New Roman" w:cs="Times New Roman"/>
                <w:b/>
              </w:rPr>
            </w:pPr>
            <w:r>
              <w:rPr>
                <w:rFonts w:cs="Times New Roman" w:ascii="Times New Roman" w:hAnsi="Times New Roman"/>
                <w:b/>
              </w:rPr>
              <w:t>Percentage</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Curves validated at 8/31/00</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73,107,019</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66.35%</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Curves assessed against curve shift*</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103,707,378</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24.27%</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Total validated</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176,814,397</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90.62%</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Curves not planned to be validated in the upcoming testing</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18,316,634</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rPr>
            </w:pPr>
            <w:r>
              <w:rPr>
                <w:rFonts w:cs="Times New Roman" w:ascii="Times New Roman" w:hAnsi="Times New Roman"/>
              </w:rPr>
              <w:t>9.38%</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Total</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195,131,031</w:t>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b/>
              </w:rPr>
            </w:pPr>
            <w:r>
              <w:rPr>
                <w:rFonts w:cs="Times New Roman" w:ascii="Times New Roman" w:hAnsi="Times New Roman"/>
                <w:b/>
              </w:rPr>
              <w:t>100%</w:t>
            </w:r>
          </w:p>
        </w:tc>
      </w:tr>
      <w:tr>
        <w:trPr/>
        <w:tc>
          <w:tcPr>
            <w:tcW w:w="5465" w:type="dxa"/>
            <w:tcBorders>
              <w:top w:val="single" w:sz="4" w:space="0" w:color="000000"/>
              <w:start w:val="single" w:sz="4" w:space="0" w:color="000000"/>
              <w:bottom w:val="single" w:sz="4" w:space="0" w:color="000000"/>
              <w:end w:val="single" w:sz="4" w:space="0" w:color="000000"/>
            </w:tcBorders>
          </w:tcPr>
          <w:p>
            <w:pPr>
              <w:pStyle w:val="Department"/>
              <w:widowControl/>
              <w:rPr>
                <w:rFonts w:ascii="Times New Roman" w:hAnsi="Times New Roman" w:cs="Times New Roman"/>
                <w:sz w:val="16"/>
              </w:rPr>
            </w:pPr>
            <w:r>
              <w:rPr>
                <w:rFonts w:cs="Times New Roman" w:ascii="Times New Roman" w:hAnsi="Times New Roman"/>
                <w:sz w:val="16"/>
              </w:rPr>
              <w:t>* These consist of mostly London and Singapore curves</w:t>
            </w:r>
          </w:p>
        </w:tc>
        <w:tc>
          <w:tcPr>
            <w:tcW w:w="1753" w:type="dxa"/>
            <w:tcBorders>
              <w:top w:val="single" w:sz="4" w:space="0" w:color="000000"/>
              <w:start w:val="single" w:sz="4" w:space="0" w:color="000000"/>
              <w:bottom w:val="single" w:sz="4" w:space="0" w:color="000000"/>
              <w:end w:val="single" w:sz="4" w:space="0" w:color="000000"/>
            </w:tcBorders>
          </w:tcPr>
          <w:p>
            <w:pPr>
              <w:pStyle w:val="Department"/>
              <w:widowControl/>
              <w:snapToGrid w:val="false"/>
              <w:rPr>
                <w:rFonts w:ascii="Times New Roman" w:hAnsi="Times New Roman" w:cs="Times New Roman"/>
                <w:sz w:val="16"/>
              </w:rPr>
            </w:pPr>
            <w:r>
              <w:rPr>
                <w:rFonts w:cs="Times New Roman" w:ascii="Times New Roman" w:hAnsi="Times New Roman"/>
                <w:sz w:val="16"/>
              </w:rPr>
            </w:r>
          </w:p>
        </w:tc>
        <w:tc>
          <w:tcPr>
            <w:tcW w:w="2070" w:type="dxa"/>
            <w:tcBorders>
              <w:top w:val="single" w:sz="4" w:space="0" w:color="000000"/>
              <w:start w:val="single" w:sz="4" w:space="0" w:color="000000"/>
              <w:bottom w:val="single" w:sz="4" w:space="0" w:color="000000"/>
              <w:end w:val="single" w:sz="4" w:space="0" w:color="000000"/>
            </w:tcBorders>
          </w:tcPr>
          <w:p>
            <w:pPr>
              <w:pStyle w:val="Department"/>
              <w:widowControl/>
              <w:snapToGrid w:val="false"/>
              <w:rPr>
                <w:rFonts w:ascii="Times New Roman" w:hAnsi="Times New Roman" w:cs="Times New Roman"/>
              </w:rPr>
            </w:pPr>
            <w:r>
              <w:rPr>
                <w:rFonts w:cs="Times New Roman" w:ascii="Times New Roman" w:hAnsi="Times New Roman"/>
              </w:rPr>
            </w:r>
          </w:p>
        </w:tc>
      </w:tr>
    </w:tbl>
    <w:p>
      <w:pPr>
        <w:pStyle w:val="Department"/>
        <w:widowControl/>
        <w:ind w:firstLine="360" w:end="0"/>
        <w:rPr>
          <w:rFonts w:ascii="Times New Roman" w:hAnsi="Times New Roman" w:cs="Times New Roman"/>
          <w:b/>
        </w:rPr>
      </w:pPr>
      <w:r>
        <w:rPr>
          <w:rFonts w:cs="Times New Roman" w:ascii="Times New Roman" w:hAnsi="Times New Roman"/>
          <w:b/>
        </w:rPr>
        <w:br/>
      </w:r>
    </w:p>
    <w:tbl>
      <w:tblPr>
        <w:tblW w:w="9570" w:type="dxa"/>
        <w:jc w:val="start"/>
        <w:tblInd w:w="0" w:type="dxa"/>
        <w:tblLayout w:type="fixed"/>
        <w:tblCellMar>
          <w:top w:w="0" w:type="dxa"/>
          <w:start w:w="30" w:type="dxa"/>
          <w:bottom w:w="0" w:type="dxa"/>
          <w:end w:w="30" w:type="dxa"/>
        </w:tblCellMar>
      </w:tblPr>
      <w:tblGrid>
        <w:gridCol w:w="545"/>
        <w:gridCol w:w="2815"/>
        <w:gridCol w:w="6210"/>
      </w:tblGrid>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Curves validated based curve shift, and 3</w:t>
            </w:r>
            <w:r>
              <w:rPr>
                <w:vertAlign w:val="superscript"/>
              </w:rPr>
              <w:t>rd</w:t>
            </w:r>
            <w:r>
              <w:rPr/>
              <w:t xml:space="preserve"> party review of curve structure</w:t>
            </w:r>
          </w:p>
        </w:tc>
        <w:tc>
          <w:tcPr>
            <w:tcW w:w="6210" w:type="dxa"/>
            <w:tcBorders>
              <w:top w:val="single" w:sz="4" w:space="0" w:color="000000"/>
              <w:start w:val="single" w:sz="4" w:space="0" w:color="000000"/>
              <w:bottom w:val="single" w:sz="4" w:space="0" w:color="000000"/>
              <w:end w:val="single" w:sz="4" w:space="0" w:color="000000"/>
            </w:tcBorders>
          </w:tcPr>
          <w:p>
            <w:pPr>
              <w:pStyle w:val="Heading1"/>
              <w:ind w:hanging="0" w:start="0"/>
              <w:rPr/>
            </w:pPr>
            <w:r>
              <w:rPr/>
              <w:t>Description, findings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BENZ</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 xml:space="preserve">This curve is the CMAI contract posting for Benzene and front month’s prices are derived from the CMAI aromatics report on a weekly basis.  Therefore, spot prices rely on trader’s expertise.  The middle and back end of the curve are derived from verbal broker quotes. </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Prices have come off only slightly since July 31, 2000.</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IC4=</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Butane +$.35.  The Butane price is derived from the market by Adam Gross.</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has risen in the front months since July 31, 2000, but takes a sharp decrease in at the end of 2000 and continues downward until 2002.</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METH-TR-PERTH</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the CMAI contract posting for methonol and front month’s prices are derived from the CMAI aromatics report on a weekly basis.  Therefore, spot prices rely on trader’s expertise.  The middle and back end of the curve are derived from verbal broker quotes.</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takes a sharp downturn in September and goes from a high in September of 2000 of approximately $29 to $14 in October of 2000.</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4</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STRY</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the styrene CMAI curve and is built on broker quotes.  No published curve is available.</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In front months, this curve is backwardated, is flat from late 2000 until 7.1.2001 at approximately $425 / ton and then starts to climb reaching  $850 / ton in the last half of 2004.  However, it should be noted that Enron does not have positions going past Sept 2000.</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5</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CSHC</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the average WTI calendar month and is directly from the Nymex posting.  Positions go out to December 2001.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6</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PLATTSLLS</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is derived directly from the Platts posting for Prompt month.  Positions go out to January 2001.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7</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EIONBS</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derived directly from the Koch posting for the front month.  There is only one position for this commodity.</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8</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NYHU-PHY</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price curve is Nymex Unleaded settle for the day less $.02/gal.   There are only positions in the month of October for this curve.</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9</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GCHU</w:t>
            </w:r>
          </w:p>
        </w:tc>
        <w:tc>
          <w:tcPr>
            <w:tcW w:w="6210" w:type="dxa"/>
            <w:tcBorders>
              <w:top w:val="single" w:sz="4" w:space="0" w:color="000000"/>
              <w:start w:val="single" w:sz="4" w:space="0" w:color="000000"/>
              <w:bottom w:val="single" w:sz="4" w:space="0" w:color="000000"/>
              <w:end w:val="single" w:sz="4" w:space="0" w:color="000000"/>
            </w:tcBorders>
          </w:tcPr>
          <w:p>
            <w:pPr>
              <w:pStyle w:val="Normal"/>
              <w:rPr/>
            </w:pPr>
            <w:r>
              <w:rPr>
                <w:rFonts w:cs="Times New Roman" w:ascii="Times New Roman" w:hAnsi="Times New Roman"/>
                <w:color w:val="000000"/>
                <w:sz w:val="18"/>
                <w:lang w:eastAsia="en-US"/>
              </w:rPr>
              <w:t xml:space="preserve">This curve represents gulf coast unleaded regular and is set based on the Nymex settle for the day less an up/down differential set by the trader.  The curve has the general shape and fluctuations of the Nymex HU curve.  </w:t>
            </w:r>
            <w:r>
              <w:rPr>
                <w:rFonts w:cs="Times New Roman" w:ascii="Times New Roman" w:hAnsi="Times New Roman"/>
                <w:b/>
                <w:i/>
                <w:color w:val="000000"/>
                <w:sz w:val="18"/>
                <w:lang w:eastAsia="en-US"/>
              </w:rPr>
              <w:t>Note:</w:t>
            </w:r>
            <w:r>
              <w:rPr>
                <w:rFonts w:cs="Times New Roman" w:ascii="Times New Roman" w:hAnsi="Times New Roman"/>
                <w:color w:val="000000"/>
                <w:sz w:val="18"/>
                <w:lang w:eastAsia="en-US"/>
              </w:rPr>
              <w:t xml:space="preserve">  The up/down is an estimate of the difference between Nymex and gulf coast heating oil prices as well as Nymex and gulf coast unleaded prices.  The traders incorporate the up/down into their curves to more reasonably estimate the true price of the commodity they are trading.</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 xml:space="preserve">The prompt month prices have risen since July 31, 2000.  The general formation of the curve has changed since July and prices are not spiking as high in the winter months, and spiking more in the summer months.  We plan to follow up on this. </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10</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HU</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directly from Telerate or Market bridge workstations and represents the Nymex unleaded gas settle for the day.</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general formation of the curve has changed since July and prices are not spiking as high in the winder months, and spiking more in the summer months. We plan to follow up on this.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11</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GIOPAVG</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is directly downloaded from Telerate or Reuters and represents the gas oil – IPE futures contract.</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12</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61GC</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#61 pct sulfur gulf coast.  The curve is made up of a resid curve, with the prompt month downloaded directly from Platts.  The subsequent months are derived directly from WTI swap prices plus or minus certain assumptions.  The long end of the curve is based on market knowledge.  Because this curve is an estimate, there are quite frequently true-ups due to re-estimates of these curves.  In July, there was a $700K True-up and in August, a $1 Mil true up.  The curve follows the prior month closely, but has come off by about $1.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13</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NXHO</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downloaded from Telerate or Bridge and represents actual Nymex prices for Nymex #2 heating oil.</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14</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KERO</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Kero curve, which represents Jet / Kero gulf coast basis, is the difference between the mean of Jet/ kero 54 and Nymex HO at settle +.02 HO on the last day.</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15</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GOIP</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IPE gasoil average traded price and is downloaded from Telerate or Reuters.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16</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GC2W</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#2 gulf coast waterborne and is $.50 over the Nymex difference to gulf coast heating oil.</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17</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WTI</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West Texas Intermediate and is downloaded from Telerate or Reuters.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18</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BRENT</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the IPE Brent curve and is downloaded directly from Telerate or Reuters.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19</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C3GC</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the Propane Price Curve and the first 7 months are downloaded from Nymex.  The forward month’s curve is derived from a standard formula based on WTI swap prices, plus timing and seasonality factors.</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has not changed shape since July, but prices on the curve are down about $1-2 / gal.</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20</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C3BUSH</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front months of the curve is derived from the initial propane price curve.  The forward months curve is derived from a standard formula based on WTI swap prices, plus timing and seasonality factors.</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Since July, Prompt month prices have risen approximately $1, but forward month prices have decreased about $1.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21</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NC4</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built off the initial butane curve derived directly from Nymex.  The forward months curve is derived from a standard formula based on WTI swap prices, plus timing and seasonality factors.</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There are positions on this curve only out until May 2001.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22</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NBCN</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built off the initial butane curve derived directly from Nymex.  The forward months curve is derived from a standard formula based on WTI swap prices, plus timing and seasonality factors.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23</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BENZ-CONT</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prompt months are derived from the CMAI Aromatics report that is published on a weekly basis.  The forward month benzene-cont is created based on what the traders believe and broker quotes.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24</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LLSBS</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curves prompt month is derived from Platts, while the forward months are obtained from broker quotes.  The forward months prices resemble that of Plattslls forward months curve.</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25</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PLATTSWTI</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Prompt month directly off Platts, forward quotes from broker quotes.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26</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BR</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Bow River is derived directly from the Platts publication.  Prices on this curve have risen since July, up about $2 in the front months and $1 in the outer months.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27</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GCHO</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derived by taking the Nymex difference to gulf coast heating oil and includes an up/down amount (see definition under GCHU above).</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has the same shape as the Nymex HO curve, less a differential of approximately $ –1.  Front month prices are approximately $1 higher, while outer months are $ 1-2 lower than July.</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28</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NYF</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derived directly from Nymex up until 3/2001.  There are no positions past this point.</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Front month prices are approximately $1 higher, while outer months are $1-2 lower than July.</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29</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BRNTDT</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With the exception of the prompt month, this curve follows Brent, almost exactly.  The prompt month has risen approximately $5 since July, while the outer months have come off by approximately $1.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30</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C3CN</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front month of this curve is derived directly from Nymex.  The forward months are derived from a standard formula based on WTI swap prices, plus timing and seasonality factors.  With the exception of the prompt month, the curve shows prices coming off by approximately $2 in the outer months.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31</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C3XT</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front portion of the Non-Tet Propane curve is derived directly from Nymex.  The forward month’s curve is derived from a standard formula based on WTI swap prices, plus timing and seasonality factors.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32</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61NY</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front month of this curve is taken directly from the Nymex posting.  The forward months are valued by Dave Botchlett based on WTI swaps or other indicators in the market.</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closely follows the 61GC curve less approximately $1.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33</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b/>
                <w:color w:val="000000"/>
                <w:sz w:val="18"/>
                <w:lang w:eastAsia="en-US"/>
              </w:rPr>
            </w:pPr>
            <w:r>
              <w:rPr>
                <w:rFonts w:cs="Times New Roman" w:ascii="Times New Roman" w:hAnsi="Times New Roman"/>
                <w:color w:val="000000"/>
                <w:sz w:val="18"/>
                <w:lang w:eastAsia="en-US"/>
              </w:rPr>
              <w:t>CONDENSATE</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ECT Singapore makes the condensate curve as a spread from Dubai.  Therefore, no validation of the Condensate curve would be done as it would already be embedded within the Dubai curve validation.  Positions are offset by the Dubai Crude positions.</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34</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KERO-SING</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is validated by Carol Chew in Singapore monthly.  Variance to market (broker quotes) was less than .01% for last month’s validation.</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35</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GOIP-NXC1</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curve represents actuals downloaded directly from the IPE via Bridge workstation.</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36</w:t>
            </w:r>
          </w:p>
        </w:tc>
        <w:tc>
          <w:tcPr>
            <w:tcW w:w="2815"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NAP-SING</w:t>
            </w:r>
          </w:p>
        </w:tc>
        <w:tc>
          <w:tcPr>
            <w:tcW w:w="6210" w:type="dxa"/>
            <w:tcBorders>
              <w:top w:val="single" w:sz="4" w:space="0" w:color="000000"/>
              <w:start w:val="single" w:sz="4" w:space="0" w:color="000000"/>
              <w:bottom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This Singapore Naptha curve is derived off a Platts quote for Naptha.  The front month curve is marked at the exact print, and the subsequent months is off a spread from the print.</w:t>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r>
          </w:p>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curve is shaped the same as the July 31, 2000 curve.</w:t>
            </w:r>
          </w:p>
        </w:tc>
      </w:tr>
      <w:tr>
        <w:trPr>
          <w:trHeight w:val="197" w:hRule="atLeast"/>
        </w:trPr>
        <w:tc>
          <w:tcPr>
            <w:tcW w:w="545" w:type="dxa"/>
            <w:tcBorders>
              <w:top w:val="single" w:sz="4" w:space="0" w:color="000000"/>
              <w:start w:val="single" w:sz="4" w:space="0" w:color="000000"/>
              <w:end w:val="single" w:sz="4" w:space="0" w:color="000000"/>
            </w:tcBorders>
          </w:tcPr>
          <w:p>
            <w:pPr>
              <w:pStyle w:val="Normal"/>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t>37</w:t>
            </w:r>
          </w:p>
        </w:tc>
        <w:tc>
          <w:tcPr>
            <w:tcW w:w="2815" w:type="dxa"/>
            <w:tcBorders>
              <w:top w:val="single" w:sz="4" w:space="0" w:color="000000"/>
              <w:start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DUBAICRUDE</w:t>
            </w:r>
          </w:p>
        </w:tc>
        <w:tc>
          <w:tcPr>
            <w:tcW w:w="6210" w:type="dxa"/>
            <w:tcBorders>
              <w:top w:val="single" w:sz="4" w:space="0" w:color="000000"/>
              <w:start w:val="single" w:sz="4" w:space="0" w:color="000000"/>
              <w:end w:val="single" w:sz="4" w:space="0" w:color="000000"/>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The prompt month of the curve is derived directly from the Platt’s posting for the day while the forward months curve is derived from broker quotes.  Both the condensate and Dubaicrude curve are backwardated.  The curve has increased by approximately $1 since July 31, 2001.</w:t>
            </w:r>
          </w:p>
        </w:tc>
      </w:tr>
      <w:tr>
        <w:trPr>
          <w:trHeight w:val="197" w:hRule="atLeast"/>
        </w:trPr>
        <w:tc>
          <w:tcPr>
            <w:tcW w:w="545"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62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9025" w:type="dxa"/>
            <w:gridSpan w:val="2"/>
            <w:tcBorders/>
          </w:tcPr>
          <w:p>
            <w:pPr>
              <w:pStyle w:val="Normal"/>
              <w:rPr>
                <w:rFonts w:ascii="Times New Roman" w:hAnsi="Times New Roman" w:cs="Times New Roman"/>
                <w:b/>
                <w:color w:val="000000"/>
                <w:sz w:val="18"/>
                <w:lang w:eastAsia="en-US"/>
              </w:rPr>
            </w:pPr>
            <w:r>
              <w:rPr>
                <w:rFonts w:cs="Times New Roman" w:ascii="Times New Roman" w:hAnsi="Times New Roman"/>
                <w:b/>
                <w:color w:val="000000"/>
                <w:sz w:val="18"/>
                <w:lang w:eastAsia="en-US"/>
              </w:rPr>
              <w:t>Curves validated based on curve shift</w:t>
            </w:r>
          </w:p>
        </w:tc>
        <w:tc>
          <w:tcPr>
            <w:tcW w:w="0" w:type="dxa"/>
            <w:vMerge w:val="continue"/>
            <w:tcBorders/>
          </w:tcPr>
          <w:p>
            <w:pPr>
              <w:pStyle w:val="Normal"/>
              <w:snapToGrid w:val="false"/>
              <w:rPr>
                <w:rFonts w:ascii="Times New Roman" w:hAnsi="Times New Roman" w:cs="Times New Roman"/>
                <w:b/>
                <w:color w:val="000000"/>
                <w:sz w:val="18"/>
                <w:lang w:eastAsia="en-US"/>
              </w:rPr>
            </w:pPr>
            <w:r>
              <w:rPr>
                <w:rFonts w:cs="Times New Roman" w:ascii="Times New Roman" w:hAnsi="Times New Roman"/>
                <w:b/>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TAPIS</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GO-SING</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NAPE</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HSNF</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LSNC</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HSNC</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.2MF</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.2NF</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NC4C</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ENNC</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C3C</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rPr>
                <w:rFonts w:ascii="Times New Roman" w:hAnsi="Times New Roman" w:cs="Times New Roman"/>
                <w:color w:val="000000"/>
                <w:sz w:val="18"/>
                <w:lang w:eastAsia="en-US"/>
              </w:rPr>
            </w:pPr>
            <w:r>
              <w:rPr>
                <w:rFonts w:cs="Times New Roman" w:ascii="Times New Roman" w:hAnsi="Times New Roman"/>
                <w:color w:val="000000"/>
                <w:sz w:val="18"/>
                <w:lang w:eastAsia="en-US"/>
              </w:rPr>
              <w:t>DUBAICRUDE</w:t>
            </w:r>
          </w:p>
        </w:tc>
        <w:tc>
          <w:tcPr>
            <w:tcW w:w="6210"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2815" w:type="dxa"/>
            <w:tcBorders/>
          </w:tcPr>
          <w:p>
            <w:pPr>
              <w:pStyle w:val="Normal"/>
              <w:snapToGrid w:val="false"/>
              <w:rPr>
                <w:rFonts w:ascii="Times New Roman" w:hAnsi="Times New Roman" w:cs="Times New Roman"/>
                <w:b/>
                <w:color w:val="000000"/>
                <w:sz w:val="18"/>
                <w:lang w:eastAsia="en-US"/>
              </w:rPr>
            </w:pPr>
            <w:r>
              <w:rPr>
                <w:rFonts w:cs="Times New Roman" w:ascii="Times New Roman" w:hAnsi="Times New Roman"/>
                <w:b/>
                <w:color w:val="000000"/>
                <w:sz w:val="18"/>
                <w:lang w:eastAsia="en-US"/>
              </w:rPr>
            </w:r>
          </w:p>
        </w:tc>
        <w:tc>
          <w:tcPr>
            <w:tcW w:w="6210" w:type="dxa"/>
            <w:tcBorders/>
          </w:tcPr>
          <w:p>
            <w:pPr>
              <w:pStyle w:val="Normal"/>
              <w:snapToGrid w:val="false"/>
              <w:rPr>
                <w:rFonts w:ascii="Times New Roman" w:hAnsi="Times New Roman" w:cs="Times New Roman"/>
                <w:b/>
                <w:color w:val="000000"/>
                <w:sz w:val="18"/>
                <w:lang w:eastAsia="en-US"/>
              </w:rPr>
            </w:pPr>
            <w:r>
              <w:rPr>
                <w:rFonts w:cs="Times New Roman" w:ascii="Times New Roman" w:hAnsi="Times New Roman"/>
                <w:b/>
                <w:color w:val="000000"/>
                <w:sz w:val="18"/>
                <w:lang w:eastAsia="en-US"/>
              </w:rPr>
            </w:r>
          </w:p>
        </w:tc>
      </w:tr>
      <w:tr>
        <w:trPr>
          <w:trHeight w:val="197" w:hRule="atLeast"/>
        </w:trPr>
        <w:tc>
          <w:tcPr>
            <w:tcW w:w="545" w:type="dxa"/>
            <w:tcBorders/>
          </w:tcPr>
          <w:p>
            <w:pPr>
              <w:pStyle w:val="Normal"/>
              <w:snapToGrid w:val="false"/>
              <w:jc w:val="end"/>
              <w:rPr>
                <w:rFonts w:ascii="Times New Roman" w:hAnsi="Times New Roman" w:cs="Times New Roman"/>
                <w:b/>
                <w:color w:val="000000"/>
                <w:sz w:val="18"/>
                <w:lang w:eastAsia="en-US"/>
              </w:rPr>
            </w:pPr>
            <w:r>
              <w:rPr>
                <w:rFonts w:cs="Times New Roman" w:ascii="Times New Roman" w:hAnsi="Times New Roman"/>
                <w:b/>
                <w:color w:val="000000"/>
                <w:sz w:val="18"/>
                <w:lang w:eastAsia="en-US"/>
              </w:rPr>
            </w:r>
          </w:p>
        </w:tc>
        <w:tc>
          <w:tcPr>
            <w:tcW w:w="2815" w:type="dxa"/>
            <w:tcBorders/>
          </w:tcPr>
          <w:p>
            <w:pPr>
              <w:pStyle w:val="Normal"/>
              <w:snapToGrid w:val="false"/>
              <w:rPr>
                <w:rFonts w:ascii="Times New Roman" w:hAnsi="Times New Roman" w:cs="Times New Roman"/>
                <w:color w:val="000000"/>
                <w:sz w:val="18"/>
                <w:lang w:eastAsia="en-US"/>
              </w:rPr>
            </w:pPr>
            <w:r>
              <w:rPr>
                <w:rFonts w:cs="Times New Roman" w:ascii="Times New Roman" w:hAnsi="Times New Roman"/>
                <w:color w:val="000000"/>
                <w:sz w:val="18"/>
                <w:lang w:eastAsia="en-US"/>
              </w:rPr>
            </w:r>
          </w:p>
        </w:tc>
        <w:tc>
          <w:tcPr>
            <w:tcW w:w="6210" w:type="dxa"/>
            <w:tcBorders/>
            <w:tcMar>
              <w:start w:w="0" w:type="dxa"/>
              <w:end w:w="0" w:type="dxa"/>
            </w:tcMar>
          </w:tcPr>
          <w:p>
            <w:pPr>
              <w:pStyle w:val="Normal"/>
              <w:snapToGrid w:val="false"/>
              <w:rPr>
                <w:color w:val="000000"/>
                <w:sz w:val="18"/>
                <w:lang w:eastAsia="en-US"/>
              </w:rPr>
            </w:pPr>
            <w:r>
              <w:rPr>
                <w:color w:val="000000"/>
                <w:sz w:val="18"/>
                <w:lang w:eastAsia="en-US"/>
              </w:rPr>
            </w:r>
          </w:p>
        </w:tc>
      </w:tr>
    </w:tbl>
    <w:p>
      <w:pPr>
        <w:pStyle w:val="Department"/>
        <w:widowControl/>
        <w:rPr>
          <w:rFonts w:ascii="Times New Roman" w:hAnsi="Times New Roman" w:cs="Times New Roman"/>
        </w:rPr>
      </w:pPr>
      <w:r>
        <w:rPr>
          <w:rFonts w:cs="Times New Roman" w:ascii="Times New Roman" w:hAnsi="Times New Roman"/>
        </w:rPr>
        <w:t>All curves were selected based on their P&amp;L impact based on a sensitivity analysis.</w:t>
      </w:r>
    </w:p>
    <w:p>
      <w:pPr>
        <w:pStyle w:val="Department"/>
        <w:widowControl/>
        <w:tabs>
          <w:tab w:val="left" w:pos="-90" w:leader="none"/>
        </w:tabs>
        <w:ind w:start="360" w:end="0"/>
        <w:rPr>
          <w:rFonts w:ascii="Times New Roman" w:hAnsi="Times New Roman" w:cs="Times New Roman"/>
        </w:rPr>
      </w:pPr>
      <w:r>
        <w:rPr>
          <w:rFonts w:cs="Times New Roman" w:ascii="Times New Roman" w:hAnsi="Times New Roman"/>
        </w:rPr>
      </w:r>
    </w:p>
    <w:p>
      <w:pPr>
        <w:pStyle w:val="Department"/>
        <w:widowControl/>
        <w:ind w:hanging="360" w:start="360" w:end="0"/>
        <w:rPr/>
      </w:pPr>
      <w:r>
        <w:rPr>
          <w:rFonts w:cs="Times New Roman" w:ascii="Times New Roman" w:hAnsi="Times New Roman"/>
          <w:b/>
        </w:rPr>
        <w:t>2. Curve shift</w:t>
      </w:r>
      <w:r>
        <w:rPr>
          <w:rFonts w:cs="Times New Roman" w:ascii="Times New Roman" w:hAnsi="Times New Roman"/>
        </w:rPr>
        <w:br/>
        <w:br/>
        <w:t>In addition to reviewing the curves against 3</w:t>
      </w:r>
      <w:r>
        <w:rPr>
          <w:rFonts w:cs="Times New Roman" w:ascii="Times New Roman" w:hAnsi="Times New Roman"/>
          <w:vertAlign w:val="superscript"/>
        </w:rPr>
        <w:t>rd</w:t>
      </w:r>
      <w:r>
        <w:rPr>
          <w:rFonts w:cs="Times New Roman" w:ascii="Times New Roman" w:hAnsi="Times New Roman"/>
        </w:rPr>
        <w:t xml:space="preserve"> party information, the curve shift for the curves above were reviewed.  Unless noted above, all curves appeared reasonable.</w:t>
        <w:br/>
      </w:r>
    </w:p>
    <w:p>
      <w:pPr>
        <w:pStyle w:val="Department"/>
        <w:widowControl/>
        <w:ind w:start="360" w:end="0"/>
        <w:rPr>
          <w:rFonts w:ascii="Times New Roman" w:hAnsi="Times New Roman" w:cs="Times New Roman"/>
        </w:rPr>
      </w:pPr>
      <w:r>
        <w:rPr>
          <w:rFonts w:cs="Times New Roman" w:ascii="Times New Roman" w:hAnsi="Times New Roman"/>
        </w:rPr>
      </w:r>
    </w:p>
    <w:p>
      <w:pPr>
        <w:pStyle w:val="Department"/>
        <w:widowControl/>
        <w:numPr>
          <w:ilvl w:val="0"/>
          <w:numId w:val="2"/>
        </w:numPr>
        <w:tabs>
          <w:tab w:val="left" w:pos="720" w:leader="none"/>
        </w:tabs>
        <w:rPr>
          <w:rFonts w:ascii="Times New Roman" w:hAnsi="Times New Roman" w:cs="Times New Roman"/>
          <w:b/>
        </w:rPr>
      </w:pPr>
      <w:r>
        <w:rPr>
          <w:rFonts w:cs="Times New Roman" w:ascii="Times New Roman" w:hAnsi="Times New Roman"/>
          <w:b/>
        </w:rPr>
        <w:t xml:space="preserve"> </w:t>
      </w:r>
      <w:r>
        <w:rPr>
          <w:rFonts w:cs="Times New Roman" w:ascii="Times New Roman" w:hAnsi="Times New Roman"/>
          <w:b/>
        </w:rPr>
        <w:t>Going forward</w:t>
      </w:r>
    </w:p>
    <w:p>
      <w:pPr>
        <w:pStyle w:val="Department"/>
        <w:widowControl/>
        <w:tabs>
          <w:tab w:val="left" w:pos="720" w:leader="none"/>
        </w:tabs>
        <w:ind w:start="720" w:end="0"/>
        <w:rPr>
          <w:rFonts w:ascii="Times New Roman" w:hAnsi="Times New Roman" w:cs="Times New Roman"/>
          <w:b/>
        </w:rPr>
      </w:pPr>
      <w:r>
        <w:rPr>
          <w:rFonts w:cs="Times New Roman" w:ascii="Times New Roman" w:hAnsi="Times New Roman"/>
          <w:b/>
        </w:rPr>
      </w:r>
    </w:p>
    <w:p>
      <w:pPr>
        <w:pStyle w:val="Department"/>
        <w:widowControl/>
        <w:tabs>
          <w:tab w:val="left" w:pos="720" w:leader="none"/>
        </w:tabs>
        <w:ind w:start="720" w:end="0"/>
        <w:rPr>
          <w:rFonts w:ascii="Times New Roman" w:hAnsi="Times New Roman" w:cs="Times New Roman"/>
        </w:rPr>
      </w:pPr>
      <w:r>
        <w:rPr>
          <w:rFonts w:cs="Times New Roman" w:ascii="Times New Roman" w:hAnsi="Times New Roman"/>
        </w:rPr>
        <w:t>In the upcoming curve validations we plan to base our selection of curves to validate on a mathematical formula used to fit curves.  This will allow us to validate curves that do not fit mathematically.  It is planned that all Enron curves be run against this model and that the curves that do not fit be the curves chosen to further validate.</w:t>
      </w:r>
    </w:p>
    <w:p>
      <w:pPr>
        <w:pStyle w:val="Department"/>
        <w:widowControl/>
        <w:tabs>
          <w:tab w:val="left" w:pos="720" w:leader="none"/>
        </w:tabs>
        <w:ind w:start="720" w:end="0"/>
        <w:rPr>
          <w:rFonts w:ascii="Times New Roman" w:hAnsi="Times New Roman" w:cs="Times New Roman"/>
        </w:rPr>
      </w:pPr>
      <w:r>
        <w:rPr>
          <w:rFonts w:cs="Times New Roman" w:ascii="Times New Roman" w:hAnsi="Times New Roman"/>
        </w:rPr>
      </w:r>
    </w:p>
    <w:p>
      <w:pPr>
        <w:pStyle w:val="Department"/>
        <w:widowControl/>
        <w:tabs>
          <w:tab w:val="left" w:pos="720" w:leader="none"/>
        </w:tabs>
        <w:ind w:start="720" w:end="0"/>
        <w:rPr/>
      </w:pPr>
      <w:r>
        <w:rPr>
          <w:rFonts w:cs="Times New Roman" w:ascii="Times New Roman" w:hAnsi="Times New Roman"/>
        </w:rPr>
        <w:t>Additionally, we are in the process of adding additional staff to the Risk Management &amp; Controls group who would be responsible for developing an increasingly rigorous methodology to validate curves.  This will encompass reviewing 3</w:t>
      </w:r>
      <w:r>
        <w:rPr>
          <w:rFonts w:cs="Times New Roman" w:ascii="Times New Roman" w:hAnsi="Times New Roman"/>
          <w:vertAlign w:val="superscript"/>
        </w:rPr>
        <w:t>rd</w:t>
      </w:r>
      <w:r>
        <w:rPr>
          <w:rFonts w:cs="Times New Roman" w:ascii="Times New Roman" w:hAnsi="Times New Roman"/>
        </w:rPr>
        <w:t xml:space="preserve"> party information, the mathematical fit of each curve, and assessing the underlying assumptions used in curve construction.</w:t>
      </w:r>
    </w:p>
    <w:p>
      <w:pPr>
        <w:pStyle w:val="Department"/>
        <w:widowControl/>
        <w:tabs>
          <w:tab w:val="left" w:pos="720" w:leader="none"/>
        </w:tabs>
        <w:rPr>
          <w:rFonts w:ascii="Times New Roman" w:hAnsi="Times New Roman" w:cs="Times New Roman"/>
          <w:b/>
        </w:rPr>
      </w:pPr>
      <w:r>
        <w:rPr>
          <w:rFonts w:cs="Times New Roman" w:ascii="Times New Roman" w:hAnsi="Times New Roman"/>
          <w:b/>
        </w:rPr>
      </w:r>
    </w:p>
    <w:p>
      <w:pPr>
        <w:pStyle w:val="Department"/>
        <w:widowControl/>
        <w:tabs>
          <w:tab w:val="left" w:pos="720" w:leader="none"/>
        </w:tabs>
        <w:rPr>
          <w:rFonts w:ascii="Times New Roman" w:hAnsi="Times New Roman" w:cs="Times New Roman"/>
          <w:b/>
        </w:rPr>
      </w:pPr>
      <w:r>
        <w:rPr>
          <w:rFonts w:cs="Times New Roman" w:ascii="Times New Roman" w:hAnsi="Times New Roman"/>
          <w:b/>
        </w:rPr>
        <w:t>4.      Summary</w:t>
      </w:r>
    </w:p>
    <w:p>
      <w:pPr>
        <w:pStyle w:val="Department"/>
        <w:widowControl/>
        <w:tabs>
          <w:tab w:val="left" w:pos="720" w:leader="none"/>
        </w:tabs>
        <w:jc w:val="both"/>
        <w:rPr>
          <w:rFonts w:ascii="Times New Roman" w:hAnsi="Times New Roman" w:cs="Times New Roman"/>
          <w:b/>
        </w:rPr>
      </w:pPr>
      <w:r>
        <w:rPr>
          <w:rFonts w:cs="Times New Roman" w:ascii="Times New Roman" w:hAnsi="Times New Roman"/>
          <w:b/>
        </w:rPr>
      </w:r>
    </w:p>
    <w:p>
      <w:pPr>
        <w:pStyle w:val="Department"/>
        <w:widowControl/>
        <w:tabs>
          <w:tab w:val="left" w:pos="720" w:leader="none"/>
        </w:tabs>
        <w:ind w:start="720" w:end="0"/>
        <w:jc w:val="both"/>
        <w:rPr>
          <w:rFonts w:ascii="Times New Roman" w:hAnsi="Times New Roman" w:cs="Times New Roman"/>
        </w:rPr>
      </w:pPr>
      <w:r>
        <w:rPr>
          <w:rFonts w:cs="Times New Roman" w:ascii="Times New Roman" w:hAnsi="Times New Roman"/>
        </w:rPr>
        <w:t>Based upon the information obtained during the review, we conclude that, in aggregate, the price curves appear to be reasonable as valuation inputs on the curves reviewed.</w:t>
      </w:r>
    </w:p>
    <w:p>
      <w:pPr>
        <w:pStyle w:val="Department"/>
        <w:widowControl/>
        <w:tabs>
          <w:tab w:val="left" w:pos="720" w:leader="none"/>
        </w:tabs>
        <w:ind w:start="720" w:end="0"/>
        <w:jc w:val="both"/>
        <w:rPr>
          <w:rFonts w:ascii="Times New Roman" w:hAnsi="Times New Roman" w:cs="Times New Roman"/>
        </w:rPr>
      </w:pPr>
      <w:r>
        <w:rPr>
          <w:rFonts w:cs="Times New Roman" w:ascii="Times New Roman" w:hAnsi="Times New Roman"/>
        </w:rPr>
      </w:r>
    </w:p>
    <w:p>
      <w:pPr>
        <w:pStyle w:val="Department"/>
        <w:widowControl/>
        <w:tabs>
          <w:tab w:val="left" w:pos="720" w:leader="none"/>
        </w:tabs>
        <w:ind w:start="720" w:end="0"/>
        <w:jc w:val="both"/>
        <w:rPr>
          <w:rFonts w:ascii="Times New Roman" w:hAnsi="Times New Roman" w:cs="Times New Roman"/>
        </w:rPr>
      </w:pPr>
      <w:r>
        <w:rPr>
          <w:rFonts w:cs="Times New Roman" w:ascii="Times New Roman" w:hAnsi="Times New Roman"/>
        </w:rPr>
        <w:t>Details of work are available upon request.</w:t>
      </w:r>
    </w:p>
    <w:sectPr>
      <w:headerReference w:type="default" r:id="rId3"/>
      <w:headerReference w:type="first" r:id="rId4"/>
      <w:footerReference w:type="default" r:id="rId5"/>
      <w:footerReference w:type="first" r:id="rId6"/>
      <w:type w:val="nextPage"/>
      <w:pgSz w:w="12240" w:h="15840"/>
      <w:pgMar w:left="806" w:right="720" w:gutter="0" w:header="720" w:top="776" w:footer="360" w:bottom="41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ind w:end="360"/>
      <w:jc w:val="center"/>
      <w:rPr>
        <w:b/>
        <w:sz w:val="16"/>
      </w:rPr>
    </w:pPr>
    <w:r>
      <w:rPr>
        <w:b/>
        <w:sz w:val="16"/>
      </w:rPr>
      <w:t>Your Personal Best Makes Enron Best</w:t>
      <w:tab/>
      <w:t>Communicate- Facts Are Friendly</w:t>
      <w:tab/>
      <w:tab/>
      <w:t>Better, Faster, Simpler</w:t>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85090" cy="177165"/>
              <wp:effectExtent l="0" t="0" r="0" b="0"/>
              <wp:wrapSquare wrapText="bothSides"/>
              <wp:docPr id="3" name="Frame2"/>
              <a:graphic xmlns:a="http://schemas.openxmlformats.org/drawingml/2006/main">
                <a:graphicData uri="http://schemas.microsoft.com/office/word/2010/wordprocessingShape">
                  <wps:wsp>
                    <wps:cNvSpPr txBox="1"/>
                    <wps:spPr>
                      <a:xfrm>
                        <a:off x="0" y="0"/>
                        <a:ext cx="8509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95pt;mso-wrap-distance-left:0pt;mso-wrap-distance-right:0pt;mso-wrap-distance-top:0pt;mso-wrap-distance-bottom:0pt;margin-top:0.05pt;mso-position-vertical-relative:text;margin-left:529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p>
    <w:pPr>
      <w:pStyle w:val="Footer"/>
      <w:widowControl/>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widowControl/>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widowControl/>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-360045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35pt;mso-position-vertical-relative:text;margin-left:201.3pt;mso-position-horizontal-relative:page">
              <v:fill opacity="0f"/>
              <v:textbox inset="0in,0in,0in,0in">
                <w:txbxContent>
                  <w:p>
                    <w:pPr>
                      <w:pStyle w:val="Normal"/>
                      <w:widowControl/>
                      <w:ind w:start="3600" w:end="0"/>
                      <w:rPr>
                        <w:b/>
                        <w:sz w:val="32"/>
                      </w:rPr>
                    </w:pPr>
                    <w:r>
                      <w:rPr>
                        <w:b/>
                        <w:sz w:val="32"/>
                      </w:rPr>
                    </w:r>
                  </w:p>
                  <w:p>
                    <w:pPr>
                      <w:pStyle w:val="Normal"/>
                      <w:widowContro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b/>
      <w:color w:val="000000"/>
      <w:sz w:val="18"/>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4z0">
    <w:name w:val="WW8Num4z0"/>
    <w:qFormat/>
    <w:rPr>
      <w:rFonts w:ascii="Wingdings" w:hAnsi="Wingdings" w:cs="Wingdings"/>
      <w:sz w:val="16"/>
    </w:rPr>
  </w:style>
  <w:style w:type="character" w:styleId="WW8Num5z0">
    <w:name w:val="WW8Num5z0"/>
    <w:qFormat/>
    <w:rPr>
      <w:rFonts w:ascii="Wingdings" w:hAnsi="Wingdings" w:cs="Wingdings"/>
      <w:sz w:val="16"/>
    </w:rPr>
  </w:style>
  <w:style w:type="character" w:styleId="WW8Num6z0">
    <w:name w:val="WW8Num6z0"/>
    <w:qFormat/>
    <w:rPr>
      <w:rFonts w:ascii="Wingdings" w:hAnsi="Wingdings" w:cs="Wingdings"/>
      <w:sz w:val="16"/>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1z0">
    <w:name w:val="WW8Num11z0"/>
    <w:qFormat/>
    <w:rPr>
      <w:rFonts w:ascii="Wingdings" w:hAnsi="Wingdings" w:cs="Wingdings"/>
    </w:rPr>
  </w:style>
  <w:style w:type="character" w:styleId="WW8Num13z0">
    <w:name w:val="WW8Num13z0"/>
    <w:qFormat/>
    <w:rPr>
      <w:rFonts w:ascii="Wingdings" w:hAnsi="Wingdings" w:cs="Wingdings"/>
    </w:rPr>
  </w:style>
  <w:style w:type="character" w:styleId="WW8Num15z0">
    <w:name w:val="WW8Num15z0"/>
    <w:qFormat/>
    <w:rPr>
      <w:rFonts w:ascii="Wingdings" w:hAnsi="Wingdings" w:cs="Wingdings"/>
      <w:sz w:val="16"/>
    </w:rPr>
  </w:style>
  <w:style w:type="character" w:styleId="WW8Num16z0">
    <w:name w:val="WW8Num16z0"/>
    <w:qFormat/>
    <w:rPr/>
  </w:style>
  <w:style w:type="character" w:styleId="WW8Num17z0">
    <w:name w:val="WW8Num17z0"/>
    <w:qFormat/>
    <w:rPr>
      <w:rFonts w:ascii="Wingdings" w:hAnsi="Wingdings" w:cs="Wingdings"/>
      <w:sz w:val="16"/>
    </w:rPr>
  </w:style>
  <w:style w:type="character" w:styleId="WW8Num18z0">
    <w:name w:val="WW8Num18z0"/>
    <w:qFormat/>
    <w:rPr/>
  </w:style>
  <w:style w:type="character" w:styleId="WW8Num20z0">
    <w:name w:val="WW8Num20z0"/>
    <w:qFormat/>
    <w:rPr>
      <w:b/>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Wingdings" w:hAnsi="Wingdings" w:cs="Wingdings"/>
      <w:sz w:val="16"/>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sz w:val="16"/>
    </w:rPr>
  </w:style>
  <w:style w:type="character" w:styleId="WW8Num29z0">
    <w:name w:val="WW8Num29z0"/>
    <w:qFormat/>
    <w:rPr>
      <w:rFonts w:ascii="Wingdings" w:hAnsi="Wingdings" w:cs="Wingdings"/>
      <w:sz w:val="16"/>
    </w:rPr>
  </w:style>
  <w:style w:type="character" w:styleId="WW8Num32z0">
    <w:name w:val="WW8Num32z0"/>
    <w:qFormat/>
    <w:rPr/>
  </w:style>
  <w:style w:type="character" w:styleId="WW8Num33z0">
    <w:name w:val="WW8Num33z0"/>
    <w:qFormat/>
    <w:rPr/>
  </w:style>
  <w:style w:type="character" w:styleId="WW8Num34z0">
    <w:name w:val="WW8Num34z0"/>
    <w:qFormat/>
    <w:rPr>
      <w:rFonts w:ascii="Wingdings" w:hAnsi="Wingdings" w:cs="Wingdings"/>
      <w:sz w:val="16"/>
    </w:rPr>
  </w:style>
  <w:style w:type="character" w:styleId="WW8Num35z0">
    <w:name w:val="WW8Num35z0"/>
    <w:qFormat/>
    <w:rPr>
      <w:rFonts w:ascii="Wingdings" w:hAnsi="Wingdings" w:cs="Wingdings"/>
      <w:sz w:val="16"/>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304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2000-10-02T17:33:00Z</dcterms:created>
  <dc:creator>appinst</dc:creator>
  <dc:description/>
  <dc:language>en-CA</dc:language>
  <cp:lastModifiedBy>swilson5</cp:lastModifiedBy>
  <cp:lastPrinted>2000-10-03T12:50:00Z</cp:lastPrinted>
  <dcterms:modified xsi:type="dcterms:W3CDTF">2000-10-03T16:07:00Z</dcterms:modified>
  <cp:revision>69</cp:revision>
  <dc:subject/>
  <dc:title>Eron Capital &amp; Trade Resources Memo</dc:title>
</cp:coreProperties>
</file>