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1000" w:after="240"/>
        <w:rPr>
          <w:sz w:val="30"/>
          <w:lang w:val="en-US"/>
        </w:rPr>
      </w:pPr>
      <w:bookmarkStart w:id="0" w:name="TemplateName"/>
      <w:r>
        <w:rPr>
          <w:sz w:val="30"/>
          <w:lang w:val="en-US"/>
        </w:rPr>
        <w:t>Memo</w:t>
      </w:r>
      <w:bookmarkEnd w:id="0"/>
    </w:p>
    <w:p>
      <w:pPr>
        <w:pStyle w:val="BodyText"/>
        <w:tabs>
          <w:tab w:val="clear" w:pos="595"/>
          <w:tab w:val="left" w:pos="1786" w:leader="none"/>
        </w:tabs>
        <w:ind w:hanging="2381" w:start="2381" w:end="0"/>
        <w:rPr/>
      </w:pPr>
      <w:bookmarkStart w:id="1" w:name="z10To"/>
      <w:r>
        <w:rPr>
          <w:sz w:val="18"/>
          <w:lang w:val="en-US"/>
        </w:rPr>
        <w:t>To</w:t>
      </w:r>
      <w:bookmarkEnd w:id="1"/>
      <w:r>
        <w:rPr>
          <w:sz w:val="18"/>
          <w:lang w:val="en-US"/>
        </w:rPr>
        <w:t xml:space="preserve">: / </w:t>
      </w:r>
      <w:bookmarkStart w:id="2" w:name="z27ToOffice"/>
      <w:r>
        <w:rPr>
          <w:sz w:val="18"/>
          <w:lang w:val="en-US"/>
        </w:rPr>
        <w:t>Location</w:t>
      </w:r>
      <w:bookmarkEnd w:id="2"/>
      <w:r>
        <w:rPr>
          <w:sz w:val="18"/>
          <w:lang w:val="en-US"/>
        </w:rPr>
        <w:t>:</w:t>
      </w:r>
      <w:r>
        <w:rPr>
          <w:lang w:val="en-US"/>
        </w:rPr>
        <w:tab/>
        <w:tab/>
      </w:r>
      <w:bookmarkStart w:id="3" w:name="a10To"/>
      <w:r>
        <w:rPr>
          <w:lang w:val="en-US"/>
        </w:rPr>
        <w:t>Kathy Kelly</w:t>
      </w:r>
      <w:bookmarkEnd w:id="3"/>
      <w:r>
        <w:rPr>
          <w:lang w:val="en-US"/>
        </w:rPr>
        <w:t>, Enron Corp</w:t>
      </w:r>
    </w:p>
    <w:p>
      <w:pPr>
        <w:pStyle w:val="BodyText"/>
        <w:tabs>
          <w:tab w:val="clear" w:pos="595"/>
          <w:tab w:val="left" w:pos="1786" w:leader="none"/>
        </w:tabs>
        <w:ind w:hanging="2381" w:start="2381" w:end="0"/>
        <w:rPr/>
      </w:pPr>
      <w:bookmarkStart w:id="4" w:name="z11FromName"/>
      <w:r>
        <w:rPr>
          <w:sz w:val="18"/>
          <w:lang w:val="en-US"/>
        </w:rPr>
        <w:t>From</w:t>
      </w:r>
      <w:bookmarkEnd w:id="4"/>
      <w:r>
        <w:rPr>
          <w:sz w:val="18"/>
          <w:lang w:val="en-US"/>
        </w:rPr>
        <w:t xml:space="preserve">: / </w:t>
      </w:r>
      <w:bookmarkStart w:id="5" w:name="z28FromOffice"/>
      <w:r>
        <w:rPr>
          <w:sz w:val="18"/>
          <w:lang w:val="en-US"/>
        </w:rPr>
        <w:t>Location</w:t>
      </w:r>
      <w:bookmarkEnd w:id="5"/>
      <w:r>
        <w:rPr>
          <w:sz w:val="18"/>
          <w:lang w:val="en-US"/>
        </w:rPr>
        <w:t>:</w:t>
      </w:r>
      <w:r>
        <w:rPr>
          <w:lang w:val="en-US"/>
        </w:rPr>
        <w:tab/>
        <w:tab/>
        <w:t>Tim Bowler, PwC</w:t>
      </w:r>
    </w:p>
    <w:p>
      <w:pPr>
        <w:pStyle w:val="BodyText"/>
        <w:tabs>
          <w:tab w:val="clear" w:pos="595"/>
          <w:tab w:val="left" w:pos="1786" w:leader="none"/>
        </w:tabs>
        <w:ind w:hanging="2381" w:start="2381" w:end="0"/>
        <w:rPr/>
      </w:pPr>
      <w:bookmarkStart w:id="6" w:name="z13Date"/>
      <w:r>
        <w:rPr>
          <w:sz w:val="18"/>
          <w:lang w:val="en-US"/>
        </w:rPr>
        <w:t>Date</w:t>
      </w:r>
      <w:bookmarkEnd w:id="6"/>
      <w:r>
        <w:rPr>
          <w:sz w:val="18"/>
          <w:lang w:val="en-US"/>
        </w:rPr>
        <w:t>:</w:t>
        <w:tab/>
      </w:r>
      <w:r>
        <w:rPr>
          <w:lang w:val="en-US"/>
        </w:rPr>
        <w:tab/>
      </w:r>
      <w:bookmarkStart w:id="7" w:name="a13Date"/>
      <w:r>
        <w:rPr>
          <w:lang w:val="en-US"/>
        </w:rPr>
        <w:t>February 12, 2002</w:t>
      </w:r>
      <w:bookmarkEnd w:id="7"/>
    </w:p>
    <w:p>
      <w:pPr>
        <w:pStyle w:val="BodyText"/>
        <w:tabs>
          <w:tab w:val="clear" w:pos="595"/>
          <w:tab w:val="left" w:pos="1786" w:leader="none"/>
        </w:tabs>
        <w:ind w:hanging="2381" w:start="2381" w:end="0"/>
        <w:rPr/>
      </w:pPr>
      <w:bookmarkStart w:id="8" w:name="z14Subject"/>
      <w:r>
        <w:rPr>
          <w:sz w:val="18"/>
          <w:lang w:val="en-US"/>
        </w:rPr>
        <w:t>Subject</w:t>
      </w:r>
      <w:bookmarkEnd w:id="8"/>
      <w:r>
        <w:rPr>
          <w:sz w:val="18"/>
          <w:lang w:val="en-US"/>
        </w:rPr>
        <w:t>:</w:t>
        <w:tab/>
      </w:r>
      <w:r>
        <w:rPr>
          <w:lang w:val="en-US"/>
        </w:rPr>
        <w:tab/>
      </w:r>
      <w:bookmarkStart w:id="9" w:name="a14Subject"/>
      <w:r>
        <w:rPr>
          <w:lang w:val="en-US"/>
        </w:rPr>
        <w:t>Natural Gas Curve Validation Procedures</w:t>
      </w:r>
      <w:bookmarkEnd w:id="9"/>
    </w:p>
    <w:p>
      <w:pPr>
        <w:pStyle w:val="BodyText"/>
        <w:tabs>
          <w:tab w:val="clear" w:pos="595"/>
          <w:tab w:val="left" w:pos="1786" w:leader="none"/>
        </w:tabs>
        <w:ind w:hanging="2381" w:start="2381" w:end="0"/>
        <w:rPr>
          <w:b/>
          <w:bCs/>
          <w:lang w:val="en-US"/>
        </w:rPr>
      </w:pPr>
      <w:r>
        <w:rPr>
          <w:b/>
          <w:bCs/>
          <w:lang w:val="en-US"/>
        </w:rPr>
        <w:t>Background</w:t>
      </w:r>
    </w:p>
    <w:p>
      <w:pPr>
        <w:pStyle w:val="BodyText"/>
        <w:rPr>
          <w:lang w:val="en-US"/>
        </w:rPr>
      </w:pPr>
      <w:r>
        <w:rPr>
          <w:lang w:val="en-US"/>
        </w:rPr>
        <w:t>PwC has responsibility for populating the Natural Gas Curve template with ERMS data for every location that had positions as of 12/3/01.</w:t>
      </w:r>
    </w:p>
    <w:p>
      <w:pPr>
        <w:pStyle w:val="BodyText"/>
        <w:rPr/>
      </w:pPr>
      <w:r>
        <w:rPr>
          <w:lang w:val="en-US"/>
        </w:rPr>
        <w:t xml:space="preserve">Currently, all ‘Basis’ and ‘Index’ curves (as defined by Enron) are populated with Enron mid-office curve data from ERMS and reside in </w:t>
      </w:r>
      <w:r>
        <w:rPr>
          <w:color w:val="0000FF"/>
          <w:u w:val="single"/>
          <w:lang w:val="en-US"/>
        </w:rPr>
        <w:t>O:\CurveValidation\Estate Reporting\Gas\Basis</w:t>
      </w:r>
      <w:r>
        <w:rPr>
          <w:lang w:val="en-US"/>
        </w:rPr>
        <w:t xml:space="preserve"> and </w:t>
      </w:r>
      <w:r>
        <w:rPr>
          <w:color w:val="0000FF"/>
          <w:u w:val="single"/>
          <w:lang w:val="en-US"/>
        </w:rPr>
        <w:t>O:\CurveValidation\Estate Reporting\Gas\Index</w:t>
      </w:r>
      <w:r>
        <w:rPr>
          <w:lang w:val="en-US"/>
        </w:rPr>
        <w:t>.  The ‘Basis’ and ‘Index’ subdirectories each have five regions based on data pulled from ERMS: Canada, Central, East, Texas, and West.  The trading desk classification combines Canada and Central into the Central region.</w:t>
      </w:r>
    </w:p>
    <w:p>
      <w:pPr>
        <w:pStyle w:val="BodyText"/>
        <w:rPr>
          <w:b/>
          <w:bCs/>
          <w:lang w:val="en-US"/>
        </w:rPr>
      </w:pPr>
      <w:r>
        <w:rPr>
          <w:b/>
          <w:bCs/>
          <w:lang w:val="en-US"/>
        </w:rPr>
        <w:t xml:space="preserve">Trader Responsibilities </w:t>
      </w:r>
    </w:p>
    <w:p>
      <w:pPr>
        <w:pStyle w:val="BodyText"/>
        <w:numPr>
          <w:ilvl w:val="0"/>
          <w:numId w:val="13"/>
        </w:numPr>
        <w:spacing w:lineRule="auto" w:line="240" w:before="100" w:after="100"/>
        <w:rPr>
          <w:lang w:val="en-US"/>
        </w:rPr>
      </w:pPr>
      <w:r>
        <w:rPr>
          <w:lang w:val="en-US"/>
        </w:rPr>
        <w:t>Obtain available broker quote information for all curve templates from 12/3/01 – 1/25/02</w:t>
      </w:r>
    </w:p>
    <w:p>
      <w:pPr>
        <w:pStyle w:val="BodyText"/>
        <w:numPr>
          <w:ilvl w:val="0"/>
          <w:numId w:val="13"/>
        </w:numPr>
        <w:spacing w:lineRule="auto" w:line="240" w:before="100" w:after="100"/>
        <w:rPr>
          <w:lang w:val="en-US"/>
        </w:rPr>
      </w:pPr>
      <w:r>
        <w:rPr>
          <w:lang w:val="en-US"/>
        </w:rPr>
        <w:t xml:space="preserve">Populate the templates with those broker quotes in the designated fields; </w:t>
      </w:r>
      <w:r>
        <w:rPr>
          <w:b/>
          <w:bCs/>
          <w:lang w:val="en-US"/>
        </w:rPr>
        <w:t>broker mid price quotes</w:t>
      </w:r>
      <w:r>
        <w:rPr>
          <w:lang w:val="en-US"/>
        </w:rPr>
        <w:t>, whether directly provided by the broker or calculated by the trader from broker’s bid/ask spread, must be present in the template.</w:t>
      </w:r>
    </w:p>
    <w:p>
      <w:pPr>
        <w:pStyle w:val="BodyText"/>
        <w:numPr>
          <w:ilvl w:val="0"/>
          <w:numId w:val="13"/>
        </w:numPr>
        <w:spacing w:lineRule="auto" w:line="240" w:before="100" w:after="100"/>
        <w:rPr>
          <w:lang w:val="en-US"/>
        </w:rPr>
      </w:pPr>
      <w:r>
        <w:rPr>
          <w:lang w:val="en-US"/>
        </w:rPr>
        <w:t>Validate the broker quotes against the Enron ERMS forward curve data</w:t>
      </w:r>
    </w:p>
    <w:p>
      <w:pPr>
        <w:pStyle w:val="BodyText"/>
        <w:numPr>
          <w:ilvl w:val="0"/>
          <w:numId w:val="13"/>
        </w:numPr>
        <w:spacing w:lineRule="auto" w:line="240" w:before="100" w:after="100"/>
        <w:rPr>
          <w:lang w:val="en-US"/>
        </w:rPr>
      </w:pPr>
      <w:r>
        <w:rPr>
          <w:lang w:val="en-US"/>
        </w:rPr>
        <w:t>Provide a reconstructed curve in the event that broker quotes are not available or differ substantially from the ERMS data</w:t>
      </w:r>
    </w:p>
    <w:p>
      <w:pPr>
        <w:pStyle w:val="BodyText"/>
        <w:numPr>
          <w:ilvl w:val="0"/>
          <w:numId w:val="13"/>
        </w:numPr>
        <w:spacing w:lineRule="auto" w:line="240" w:before="100" w:after="100"/>
        <w:rPr>
          <w:lang w:val="en-US"/>
        </w:rPr>
      </w:pPr>
      <w:r>
        <w:rPr>
          <w:lang w:val="en-US"/>
        </w:rPr>
        <w:t>Exercise judgment and confirming the appropriate forward curve for each location and each date</w:t>
      </w:r>
    </w:p>
    <w:p>
      <w:pPr>
        <w:pStyle w:val="BodyText"/>
        <w:numPr>
          <w:ilvl w:val="0"/>
          <w:numId w:val="13"/>
        </w:numPr>
        <w:spacing w:lineRule="auto" w:line="240" w:before="100" w:after="100"/>
        <w:rPr>
          <w:lang w:val="en-US"/>
        </w:rPr>
      </w:pPr>
      <w:r>
        <w:rPr>
          <w:lang w:val="en-US"/>
        </w:rPr>
        <w:t>Approve the completed curve template by entering trader initials in appropriate cell; forward the template to supervisor for sign-off</w:t>
      </w:r>
    </w:p>
    <w:p>
      <w:pPr>
        <w:pStyle w:val="BodyText"/>
        <w:numPr>
          <w:ilvl w:val="0"/>
          <w:numId w:val="13"/>
        </w:numPr>
        <w:spacing w:lineRule="auto" w:line="240" w:before="100" w:after="100"/>
        <w:rPr>
          <w:lang w:val="en-US"/>
        </w:rPr>
      </w:pPr>
      <w:r>
        <w:rPr>
          <w:lang w:val="en-US"/>
        </w:rPr>
        <w:t>Coordinate with Kathy Kelly in providing daily progress updates</w:t>
      </w:r>
    </w:p>
    <w:p>
      <w:pPr>
        <w:pStyle w:val="BodyText"/>
        <w:rPr>
          <w:lang w:val="en-US"/>
        </w:rPr>
      </w:pPr>
      <w:r>
        <w:rPr>
          <w:lang w:val="en-US"/>
        </w:rPr>
      </w:r>
    </w:p>
    <w:p>
      <w:pPr>
        <w:pStyle w:val="BodyText"/>
        <w:rPr/>
      </w:pPr>
      <w:r>
        <w:rPr/>
        <w:t>Template Completion Procedure</w:t>
      </w:r>
    </w:p>
    <w:tbl>
      <w:tblPr>
        <w:tblW w:w="4950" w:type="pct"/>
        <w:jc w:val="start"/>
        <w:tblInd w:w="0" w:type="dxa"/>
        <w:tblLayout w:type="fixed"/>
        <w:tblCellMar>
          <w:top w:w="0" w:type="dxa"/>
          <w:start w:w="108" w:type="dxa"/>
          <w:bottom w:w="0" w:type="dxa"/>
          <w:end w:w="108" w:type="dxa"/>
        </w:tblCellMar>
      </w:tblPr>
      <w:tblGrid>
        <w:gridCol w:w="1675"/>
        <w:gridCol w:w="7591"/>
      </w:tblGrid>
      <w:tr>
        <w:trPr/>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595"/>
                <w:tab w:val="left" w:pos="360" w:leader="none"/>
              </w:tabs>
              <w:spacing w:before="0" w:after="290"/>
              <w:rPr>
                <w:b/>
                <w:bCs/>
              </w:rPr>
            </w:pPr>
            <w:r>
              <w:rPr>
                <w:b/>
                <w:bCs/>
              </w:rPr>
              <w:t>Enron Corp</w:t>
            </w:r>
          </w:p>
        </w:tc>
        <w:tc>
          <w:tcPr>
            <w:tcW w:w="759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b/>
                <w:bCs/>
              </w:rPr>
            </w:pPr>
            <w:r>
              <w:rPr>
                <w:b/>
                <w:bCs/>
              </w:rPr>
              <w:t>Entering Broker Data</w:t>
            </w:r>
          </w:p>
          <w:p>
            <w:pPr>
              <w:pStyle w:val="Normal"/>
              <w:numPr>
                <w:ilvl w:val="0"/>
                <w:numId w:val="9"/>
              </w:numPr>
              <w:rPr>
                <w:b/>
                <w:bCs/>
              </w:rPr>
            </w:pPr>
            <w:r>
              <w:rPr>
                <w:b/>
                <w:bCs/>
              </w:rPr>
              <w:t xml:space="preserve">File location and maintenance: </w:t>
            </w:r>
            <w:r>
              <w:rPr/>
              <w:t xml:space="preserve">Each trader should open the Gas Curve Template for the designated curve.  For example, to validate the East Basis Transco Z6 curve, open the file located at </w:t>
            </w:r>
            <w:r>
              <w:rPr>
                <w:color w:val="0000FF"/>
                <w:u w:val="single"/>
              </w:rPr>
              <w:t>O:\CurveValidation\EstateReporting\Gas\Basis\East\IF-TRANSCO-Z6</w:t>
            </w:r>
            <w:r>
              <w:rPr/>
              <w:t>.  Only those areas shaded in yellow should be used for trader input.  Other than blue-shaded Column D, Prior Day ‘Enron Price ($),’ all non-yellow cells are write-protected and cannot be changed.</w:t>
            </w:r>
          </w:p>
          <w:p>
            <w:pPr>
              <w:pStyle w:val="Normal"/>
              <w:numPr>
                <w:ilvl w:val="0"/>
                <w:numId w:val="9"/>
              </w:numPr>
              <w:rPr/>
            </w:pPr>
            <w:r>
              <w:rPr>
                <w:b/>
                <w:bCs/>
              </w:rPr>
              <w:t xml:space="preserve">Quote instructions: </w:t>
            </w:r>
            <w:r>
              <w:rPr/>
              <w:t xml:space="preserve">Every ‘Basis’ and ‘Index’ curve on the O:\ drive had positions as of 12/3/01.  If broker quotes can or have been obtained, enter the broker name in the designated space (i.e. ‘{Broker 1}’).  A minimum of one broker quote must be obtained to perform the validation, with quotes sufficient to validate the transparent time horizon of the given curve.  If more than three quote sources are available for the given curve and effective date, then input broker quotes that are most similar, disregarding outlier quotes.  </w:t>
            </w:r>
          </w:p>
          <w:p>
            <w:pPr>
              <w:pStyle w:val="Normal"/>
              <w:numPr>
                <w:ilvl w:val="0"/>
                <w:numId w:val="9"/>
              </w:numPr>
              <w:rPr/>
            </w:pPr>
            <w:r>
              <w:rPr/>
              <w:t>File all existing and newly acquired broker quotes to facilitate review of broker data by PwC.</w:t>
            </w:r>
          </w:p>
          <w:p>
            <w:pPr>
              <w:pStyle w:val="Normal"/>
              <w:numPr>
                <w:ilvl w:val="0"/>
                <w:numId w:val="9"/>
              </w:numPr>
              <w:rPr/>
            </w:pPr>
            <w:r>
              <w:rPr/>
              <w:t xml:space="preserve">If broker quotes include a bid and ask price, enter them directly into the ‘Bid’ and ‘Ask’ cells for the given reference date.  Next, the trader must input the average of the bid and ask in the ‘Mid’ column. </w:t>
            </w:r>
          </w:p>
          <w:p>
            <w:pPr>
              <w:pStyle w:val="Normal"/>
              <w:numPr>
                <w:ilvl w:val="0"/>
                <w:numId w:val="9"/>
              </w:numPr>
              <w:rPr/>
            </w:pPr>
            <w:r>
              <w:rPr/>
              <w:t>If the broker only provides the mid price, then input it directly into the ‘Mid’ column, leaving the ‘Bid’ and ‘Ask’ columns blank.</w:t>
            </w:r>
          </w:p>
          <w:p>
            <w:pPr>
              <w:pStyle w:val="Normal"/>
              <w:numPr>
                <w:ilvl w:val="0"/>
                <w:numId w:val="9"/>
              </w:numPr>
              <w:rPr/>
            </w:pPr>
            <w:r>
              <w:rPr/>
              <w:t>Quotes should be entered as month-specific prices.  If strip quotes are obtained for any given time period, the trader must exercise judgment to shape the curve.  Specifically, the trader must shape the monthly forward prices so that the average of the shaped portion over the strip horizon equals the strip quote.  For example, if provided a quote for Jan.-Mar. of $2.70, the trader should shape the quote to month-specific dates (i.e. Jan.=$2.80, Feb.=$2.68, Mar.=$2.62) so that the average of the forward prices equals $2.70.  The same principal applies to daily or yearly strip quotes.</w:t>
            </w:r>
          </w:p>
          <w:p>
            <w:pPr>
              <w:pStyle w:val="Normal"/>
              <w:numPr>
                <w:ilvl w:val="0"/>
                <w:numId w:val="9"/>
              </w:numPr>
              <w:spacing w:before="0" w:after="290"/>
              <w:rPr/>
            </w:pPr>
            <w:r>
              <w:rPr/>
              <w:t>Traders should enter broker quotes through the quoted liquid horizon.  However, most gas curve templates extend beyond the liquid horizon.  For those points beyond the liquid horizon, day-to-day comparisons must be made by the trader in order to detect significant forward curve deviations in the illiquid horizon.  If broker quotes are not entered in the “Broker Quotes ($)” section, the Gas Curve template automatically populates Column N, “Broker Quote Unavailable,” with the Prior Day’s ERMS forward curve data in Column D.</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595"/>
                <w:tab w:val="left" w:pos="360" w:leader="none"/>
              </w:tabs>
              <w:spacing w:before="0" w:after="290"/>
              <w:jc w:val="both"/>
              <w:rPr>
                <w:b/>
                <w:bCs/>
              </w:rPr>
            </w:pPr>
            <w:r>
              <w:rPr>
                <w:b/>
                <w:bCs/>
              </w:rPr>
              <w:t>Enron Corp</w:t>
            </w:r>
          </w:p>
        </w:tc>
        <w:tc>
          <w:tcPr>
            <w:tcW w:w="759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b/>
                <w:bCs/>
              </w:rPr>
            </w:pPr>
            <w:r>
              <w:rPr>
                <w:b/>
                <w:bCs/>
              </w:rPr>
              <w:t>Review Calculations</w:t>
            </w:r>
          </w:p>
          <w:p>
            <w:pPr>
              <w:pStyle w:val="Normal"/>
              <w:numPr>
                <w:ilvl w:val="0"/>
                <w:numId w:val="9"/>
              </w:numPr>
              <w:rPr/>
            </w:pPr>
            <w:r>
              <w:rPr/>
              <w:t>Compare the differences between the Enron and ‘Market’ forward curves in the summary columns, ‘Price Difference’ (Column P) and ‘% Price Difference’ (Column Q).  These variance columns automatically populate the summary boxes at the top of each sheet.</w:t>
            </w:r>
          </w:p>
          <w:p>
            <w:pPr>
              <w:pStyle w:val="Normal"/>
              <w:numPr>
                <w:ilvl w:val="0"/>
                <w:numId w:val="9"/>
              </w:numPr>
              <w:spacing w:before="0" w:after="290"/>
              <w:rPr/>
            </w:pPr>
            <w:r>
              <w:rPr/>
              <w:t>Determine the appropriate deviation threshold for the quoted and illiquid ranges in Column Q.  Suggested deviation benchmarks are 5% for the quoted horizon and 10% for the illiquid horizon.</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595"/>
                <w:tab w:val="left" w:pos="360" w:leader="none"/>
              </w:tabs>
              <w:spacing w:before="0" w:after="290"/>
              <w:jc w:val="both"/>
              <w:rPr>
                <w:b/>
                <w:bCs/>
              </w:rPr>
            </w:pPr>
            <w:r>
              <w:rPr>
                <w:b/>
                <w:bCs/>
              </w:rPr>
              <w:t>Enron Corp</w:t>
            </w:r>
          </w:p>
        </w:tc>
        <w:tc>
          <w:tcPr>
            <w:tcW w:w="759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b/>
                <w:bCs/>
              </w:rPr>
            </w:pPr>
            <w:r>
              <w:rPr>
                <w:b/>
                <w:bCs/>
              </w:rPr>
              <w:t>Perform Analytics</w:t>
            </w:r>
          </w:p>
          <w:p>
            <w:pPr>
              <w:pStyle w:val="Normal"/>
              <w:numPr>
                <w:ilvl w:val="0"/>
                <w:numId w:val="6"/>
              </w:numPr>
              <w:spacing w:before="0" w:after="290"/>
              <w:rPr>
                <w:b/>
                <w:bCs/>
              </w:rPr>
            </w:pPr>
            <w:r>
              <w:rPr>
                <w:lang w:val="en-US"/>
              </w:rPr>
              <w:t>Analyze</w:t>
            </w:r>
            <w:r>
              <w:rPr/>
              <w:t xml:space="preserve"> curve data for anomalies, looking for deviations or variances in both the quoted and illiquid horizons.</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595"/>
                <w:tab w:val="left" w:pos="360" w:leader="none"/>
              </w:tabs>
              <w:spacing w:before="0" w:after="290"/>
              <w:jc w:val="both"/>
              <w:rPr>
                <w:b/>
                <w:bCs/>
              </w:rPr>
            </w:pPr>
            <w:r>
              <w:rPr>
                <w:b/>
                <w:bCs/>
              </w:rPr>
              <w:t>Enron Corp</w:t>
            </w:r>
          </w:p>
        </w:tc>
        <w:tc>
          <w:tcPr>
            <w:tcW w:w="759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b/>
                <w:bCs/>
              </w:rPr>
            </w:pPr>
            <w:r>
              <w:rPr>
                <w:b/>
                <w:bCs/>
              </w:rPr>
              <w:t>Determine Whether Curve Is “Validated” or Should Be “Revised”</w:t>
            </w:r>
          </w:p>
          <w:p>
            <w:pPr>
              <w:pStyle w:val="Normal"/>
              <w:numPr>
                <w:ilvl w:val="0"/>
                <w:numId w:val="9"/>
              </w:numPr>
              <w:rPr>
                <w:b/>
                <w:bCs/>
              </w:rPr>
            </w:pPr>
            <w:r>
              <w:rPr/>
              <w:t xml:space="preserve">If the Enron curve is within the tolerance limits for the prompt and forward months, list the curve as </w:t>
            </w:r>
            <w:r>
              <w:rPr>
                <w:b/>
                <w:bCs/>
              </w:rPr>
              <w:t>Validated.</w:t>
            </w:r>
          </w:p>
          <w:p>
            <w:pPr>
              <w:pStyle w:val="Normal"/>
              <w:numPr>
                <w:ilvl w:val="1"/>
                <w:numId w:val="7"/>
              </w:numPr>
              <w:tabs>
                <w:tab w:val="clear" w:pos="595"/>
                <w:tab w:val="left" w:pos="360" w:leader="none"/>
              </w:tabs>
              <w:rPr/>
            </w:pPr>
            <w:r>
              <w:rPr/>
              <w:t>Mark that day’s curve as ‘V’ (Validated) in the designated cell (G12) of the Gas Curve template.</w:t>
            </w:r>
          </w:p>
          <w:p>
            <w:pPr>
              <w:pStyle w:val="Normal"/>
              <w:numPr>
                <w:ilvl w:val="1"/>
                <w:numId w:val="7"/>
              </w:numPr>
              <w:tabs>
                <w:tab w:val="clear" w:pos="595"/>
                <w:tab w:val="left" w:pos="360" w:leader="none"/>
              </w:tabs>
              <w:rPr/>
            </w:pPr>
            <w:r>
              <w:rPr/>
              <w:t>Input comments as necessary in the ‘Comments’ field to support conclusion.</w:t>
            </w:r>
          </w:p>
          <w:p>
            <w:pPr>
              <w:pStyle w:val="Normal"/>
              <w:numPr>
                <w:ilvl w:val="1"/>
                <w:numId w:val="7"/>
              </w:numPr>
              <w:tabs>
                <w:tab w:val="clear" w:pos="595"/>
                <w:tab w:val="left" w:pos="360" w:leader="none"/>
              </w:tabs>
              <w:rPr>
                <w:b/>
                <w:bCs/>
              </w:rPr>
            </w:pPr>
            <w:r>
              <w:rPr/>
              <w:t>Obtain signoff in the Gas Curve template (G14).  Signoff should be input by ______ after review.</w:t>
            </w:r>
          </w:p>
          <w:p>
            <w:pPr>
              <w:pStyle w:val="Normal"/>
              <w:numPr>
                <w:ilvl w:val="0"/>
                <w:numId w:val="9"/>
              </w:numPr>
              <w:rPr/>
            </w:pPr>
            <w:r>
              <w:rPr/>
              <w:t>If the Enron curve is outside the tolerance limit for the prompt or forward months, then either:</w:t>
            </w:r>
          </w:p>
          <w:p>
            <w:pPr>
              <w:pStyle w:val="Normal"/>
              <w:numPr>
                <w:ilvl w:val="1"/>
                <w:numId w:val="7"/>
              </w:numPr>
              <w:tabs>
                <w:tab w:val="clear" w:pos="595"/>
                <w:tab w:val="left" w:pos="360" w:leader="none"/>
              </w:tabs>
              <w:rPr/>
            </w:pPr>
            <w:r>
              <w:rPr/>
              <w:t>Determine other supporting data/rationale to corroborate the Enron curve (e.g. transacted prices).</w:t>
            </w:r>
          </w:p>
          <w:p>
            <w:pPr>
              <w:pStyle w:val="Normal"/>
              <w:numPr>
                <w:ilvl w:val="2"/>
                <w:numId w:val="5"/>
              </w:numPr>
              <w:tabs>
                <w:tab w:val="clear" w:pos="595"/>
                <w:tab w:val="left" w:pos="360" w:leader="none"/>
              </w:tabs>
              <w:rPr/>
            </w:pPr>
            <w:r>
              <w:rPr/>
              <w:t>Document the rationale for the Enron curve in the ‘Comments’ section of the Gas Curve template, including any necessary additional support.  Additional support can be maintained as hardcopy and referenced from the ‘Comments’ section or by inserting a worksheet into the Gas Curve template.</w:t>
            </w:r>
          </w:p>
          <w:p>
            <w:pPr>
              <w:pStyle w:val="Normal"/>
              <w:numPr>
                <w:ilvl w:val="1"/>
                <w:numId w:val="3"/>
              </w:numPr>
              <w:tabs>
                <w:tab w:val="clear" w:pos="595"/>
                <w:tab w:val="left" w:pos="360" w:leader="none"/>
              </w:tabs>
              <w:rPr/>
            </w:pPr>
            <w:r>
              <w:rPr>
                <w:b/>
                <w:bCs/>
              </w:rPr>
              <w:t>Revise</w:t>
            </w:r>
            <w:r>
              <w:rPr/>
              <w:t xml:space="preserve"> the curve:</w:t>
            </w:r>
          </w:p>
          <w:p>
            <w:pPr>
              <w:pStyle w:val="Normal"/>
              <w:numPr>
                <w:ilvl w:val="2"/>
                <w:numId w:val="3"/>
              </w:numPr>
              <w:tabs>
                <w:tab w:val="clear" w:pos="595"/>
                <w:tab w:val="left" w:pos="360" w:leader="none"/>
              </w:tabs>
              <w:rPr/>
            </w:pPr>
            <w:r>
              <w:rPr/>
              <w:t>Clear decision to revise the forward curve with the ‘Signoff’ designee.</w:t>
            </w:r>
          </w:p>
          <w:p>
            <w:pPr>
              <w:pStyle w:val="Normal"/>
              <w:numPr>
                <w:ilvl w:val="2"/>
                <w:numId w:val="3"/>
              </w:numPr>
              <w:tabs>
                <w:tab w:val="clear" w:pos="595"/>
                <w:tab w:val="left" w:pos="360" w:leader="none"/>
              </w:tabs>
              <w:rPr/>
            </w:pPr>
            <w:r>
              <w:rPr/>
              <w:t>Manually input the new pricing points in the ‘Revised Price’ column (Column R) and update the Prior Day ‘Enron Price ($)’ curve (i.e. Column D) on the next day’s worksheet.</w:t>
            </w:r>
          </w:p>
          <w:p>
            <w:pPr>
              <w:pStyle w:val="Normal"/>
              <w:numPr>
                <w:ilvl w:val="2"/>
                <w:numId w:val="5"/>
              </w:numPr>
              <w:tabs>
                <w:tab w:val="clear" w:pos="595"/>
                <w:tab w:val="left" w:pos="360" w:leader="none"/>
              </w:tabs>
              <w:rPr/>
            </w:pPr>
            <w:r>
              <w:rPr/>
              <w:t>Review the difference between the revised curve and the market curve in Column S, ‘Revised vs. Mkt % Price Difference.’  Ensure the % differences in Column S between the ‘Revised Price’ and the ‘Comparative Market Price ($)’ curve are within designated tolerance levels.</w:t>
            </w:r>
          </w:p>
          <w:p>
            <w:pPr>
              <w:pStyle w:val="Normal"/>
              <w:numPr>
                <w:ilvl w:val="2"/>
                <w:numId w:val="5"/>
              </w:numPr>
              <w:tabs>
                <w:tab w:val="clear" w:pos="595"/>
                <w:tab w:val="left" w:pos="360" w:leader="none"/>
              </w:tabs>
              <w:rPr/>
            </w:pPr>
            <w:r>
              <w:rPr/>
              <w:t>Ensure that the revised curve is used in the next day’s Gas Curve template for the Prior Day ‘Enron Price ($)’ curve (i.e. Column D).  Contact Tim Bowler or Mike Barone, PwC, for assistance.</w:t>
            </w:r>
          </w:p>
          <w:p>
            <w:pPr>
              <w:pStyle w:val="Normal"/>
              <w:numPr>
                <w:ilvl w:val="2"/>
                <w:numId w:val="5"/>
              </w:numPr>
              <w:tabs>
                <w:tab w:val="clear" w:pos="595"/>
                <w:tab w:val="left" w:pos="360" w:leader="none"/>
              </w:tabs>
              <w:rPr/>
            </w:pPr>
            <w:r>
              <w:rPr/>
              <w:t>Mark that day’s curve as ‘R’ (Revised) in the designated cell (G12) of the Gas Curve template.</w:t>
            </w:r>
          </w:p>
          <w:p>
            <w:pPr>
              <w:pStyle w:val="Normal"/>
              <w:numPr>
                <w:ilvl w:val="2"/>
                <w:numId w:val="5"/>
              </w:numPr>
              <w:tabs>
                <w:tab w:val="clear" w:pos="595"/>
                <w:tab w:val="left" w:pos="360" w:leader="none"/>
              </w:tabs>
              <w:rPr/>
            </w:pPr>
            <w:r>
              <w:rPr/>
              <w:t>Obtain signoff in the Gas Curve template (G14).  Signoff should be input by ______ after review.</w:t>
            </w:r>
          </w:p>
          <w:p>
            <w:pPr>
              <w:pStyle w:val="Normal"/>
              <w:numPr>
                <w:ilvl w:val="0"/>
                <w:numId w:val="5"/>
              </w:numPr>
              <w:tabs>
                <w:tab w:val="clear" w:pos="595"/>
                <w:tab w:val="left" w:pos="360" w:leader="none"/>
              </w:tabs>
              <w:spacing w:before="0" w:after="290"/>
              <w:rPr/>
            </w:pPr>
            <w:r>
              <w:rPr/>
              <w:t>Save the Gas Curve template.</w:t>
            </w:r>
          </w:p>
        </w:tc>
      </w:tr>
      <w:tr>
        <w:trPr/>
        <w:tc>
          <w:tcPr>
            <w:tcW w:w="1675" w:type="dxa"/>
            <w:tcBorders>
              <w:top w:val="single" w:sz="4" w:space="0" w:color="000000"/>
              <w:start w:val="single" w:sz="4" w:space="0" w:color="000000"/>
              <w:bottom w:val="single" w:sz="4" w:space="0" w:color="000000"/>
              <w:end w:val="single" w:sz="4" w:space="0" w:color="000000"/>
            </w:tcBorders>
          </w:tcPr>
          <w:p>
            <w:pPr>
              <w:pStyle w:val="Normal"/>
              <w:tabs>
                <w:tab w:val="clear" w:pos="595"/>
                <w:tab w:val="left" w:pos="360" w:leader="none"/>
              </w:tabs>
              <w:spacing w:before="0" w:after="290"/>
              <w:jc w:val="both"/>
              <w:rPr>
                <w:b/>
                <w:bCs/>
              </w:rPr>
            </w:pPr>
            <w:r>
              <w:rPr>
                <w:b/>
                <w:bCs/>
              </w:rPr>
              <w:t>Enron Corp</w:t>
            </w:r>
          </w:p>
        </w:tc>
        <w:tc>
          <w:tcPr>
            <w:tcW w:w="7591"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b/>
                <w:bCs/>
              </w:rPr>
            </w:pPr>
            <w:r>
              <w:rPr>
                <w:b/>
                <w:bCs/>
              </w:rPr>
              <w:t>Upload Revised Curves</w:t>
            </w:r>
          </w:p>
          <w:p>
            <w:pPr>
              <w:pStyle w:val="Normal"/>
              <w:numPr>
                <w:ilvl w:val="0"/>
                <w:numId w:val="10"/>
              </w:numPr>
              <w:spacing w:before="0" w:after="290"/>
              <w:rPr/>
            </w:pPr>
            <w:r>
              <w:rPr/>
              <w:t>Ensure any revised curves are uploaded into ERMS and marked as such in the Gas Curve template.</w:t>
            </w:r>
          </w:p>
        </w:tc>
      </w:tr>
    </w:tbl>
    <w:p>
      <w:pPr>
        <w:pStyle w:val="BodyText"/>
        <w:rPr>
          <w:lang w:val="en-US"/>
        </w:rPr>
      </w:pPr>
      <w:r>
        <w:rPr>
          <w:lang w:val="en-US"/>
        </w:rPr>
      </w:r>
    </w:p>
    <w:p>
      <w:pPr>
        <w:pStyle w:val="BodyText"/>
        <w:rPr>
          <w:lang w:val="en-US"/>
        </w:rPr>
      </w:pPr>
      <w:r>
        <w:rPr>
          <w:lang w:val="en-US"/>
        </w:rPr>
      </w:r>
    </w:p>
    <w:p>
      <w:pPr>
        <w:pStyle w:val="BodyText"/>
        <w:rPr>
          <w:lang w:val="en-US"/>
        </w:rPr>
      </w:pPr>
      <w:r>
        <w:rPr>
          <w:lang w:val="en-US"/>
        </w:rPr>
        <mc:AlternateContent>
          <mc:Choice Requires="wps">
            <w:drawing>
              <wp:anchor behindDoc="0" distT="0" distB="0" distL="114935" distR="114935" simplePos="0" locked="0" layoutInCell="1" allowOverlap="1" relativeHeight="8">
                <wp:simplePos x="0" y="0"/>
                <wp:positionH relativeFrom="column">
                  <wp:posOffset>17145</wp:posOffset>
                </wp:positionH>
                <wp:positionV relativeFrom="paragraph">
                  <wp:posOffset>13335</wp:posOffset>
                </wp:positionV>
                <wp:extent cx="6400800" cy="0"/>
                <wp:effectExtent l="0" t="0" r="0" b="0"/>
                <wp:wrapNone/>
                <wp:docPr id="1" name=""/>
                <a:graphic xmlns:a="http://schemas.openxmlformats.org/drawingml/2006/main">
                  <a:graphicData uri="http://schemas.microsoft.com/office/word/2010/wordprocessingShape">
                    <wps:wsp>
                      <wps:cNvSpPr/>
                      <wps:spPr>
                        <a:xfrm>
                          <a:off x="0" y="0"/>
                          <a:ext cx="6400800" cy="0"/>
                        </a:xfrm>
                        <a:prstGeom prst="line">
                          <a:avLst/>
                        </a:prstGeom>
                        <a:ln w="0">
                          <a:noFill/>
                        </a:ln>
                      </wps:spPr>
                      <wps:style>
                        <a:lnRef idx="0"/>
                        <a:fillRef idx="0"/>
                        <a:effectRef idx="0"/>
                        <a:fontRef idx="minor"/>
                      </wps:style>
                      <wps:bodyPr/>
                    </wps:wsp>
                  </a:graphicData>
                </a:graphic>
              </wp:anchor>
            </w:drawing>
          </mc:Choice>
          <mc:Fallback>
            <w:pict>
              <v:line id="shape_0" from="1.35pt,1.05pt" to="505.3pt,1.05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17145</wp:posOffset>
                </wp:positionH>
                <wp:positionV relativeFrom="paragraph">
                  <wp:posOffset>104775</wp:posOffset>
                </wp:positionV>
                <wp:extent cx="2743200" cy="0"/>
                <wp:effectExtent l="0" t="0" r="0" b="0"/>
                <wp:wrapNone/>
                <wp:docPr id="2" name=""/>
                <a:graphic xmlns:a="http://schemas.openxmlformats.org/drawingml/2006/main">
                  <a:graphicData uri="http://schemas.microsoft.com/office/word/2010/wordprocessingShape">
                    <wps:wsp>
                      <wps:cNvSpPr/>
                      <wps:spPr>
                        <a:xfrm>
                          <a:off x="0" y="0"/>
                          <a:ext cx="2743200" cy="0"/>
                        </a:xfrm>
                        <a:prstGeom prst="line">
                          <a:avLst/>
                        </a:prstGeom>
                        <a:ln w="0">
                          <a:noFill/>
                        </a:ln>
                      </wps:spPr>
                      <wps:style>
                        <a:lnRef idx="0"/>
                        <a:fillRef idx="0"/>
                        <a:effectRef idx="0"/>
                        <a:fontRef idx="minor"/>
                      </wps:style>
                      <wps:bodyPr/>
                    </wps:wsp>
                  </a:graphicData>
                </a:graphic>
              </wp:anchor>
            </w:drawing>
          </mc:Choice>
          <mc:Fallback>
            <w:pict>
              <v:line id="shape_0" from="1.35pt,8.25pt" to="217.3pt,8.25pt" stroked="f" o:allowincell="f" style="position:absolute">
                <v:stroke color="#3465a4" joinstyle="round" endcap="flat"/>
                <v:fill o:detectmouseclick="t" on="false"/>
                <w10:wrap type="none"/>
              </v:line>
            </w:pict>
          </mc:Fallback>
        </mc:AlternateContent>
      </w:r>
    </w:p>
    <w:p>
      <w:pPr>
        <w:pStyle w:val="Closing"/>
        <w:rPr>
          <w:lang w:val="en-US"/>
        </w:rPr>
      </w:pPr>
      <w:bookmarkStart w:id="10" w:name="Closing"/>
      <w:bookmarkEnd w:id="10"/>
      <w:r>
        <w:rPr>
          <w:lang w:val="en-US"/>
        </w:rPr>
        <w:t>Regards,</w:t>
      </w:r>
    </w:p>
    <w:p>
      <w:pPr>
        <w:pStyle w:val="Closing"/>
        <w:rPr>
          <w:lang w:val="en-US"/>
        </w:rPr>
      </w:pPr>
      <w:r>
        <w:rPr>
          <w:lang w:val="en-US"/>
        </w:rPr>
      </w:r>
    </w:p>
    <w:p>
      <w:pPr>
        <w:pStyle w:val="Closing"/>
        <w:rPr>
          <w:lang w:val="en-US"/>
        </w:rPr>
      </w:pPr>
      <w:r>
        <w:rPr>
          <w:lang w:val="en-US"/>
        </w:rPr>
      </w:r>
    </w:p>
    <w:p>
      <w:pPr>
        <w:pStyle w:val="Closing"/>
        <w:rPr>
          <w:lang w:val="en-US"/>
        </w:rPr>
      </w:pPr>
      <w:r>
        <w:rPr>
          <w:lang w:val="en-US"/>
        </w:rPr>
      </w:r>
    </w:p>
    <w:p>
      <w:pPr>
        <w:pStyle w:val="Closing"/>
        <w:rPr>
          <w:lang w:val="en-US"/>
        </w:rPr>
      </w:pPr>
      <w:r>
        <w:rPr>
          <w:lang w:val="en-US"/>
        </w:rPr>
      </w:r>
      <w:bookmarkStart w:id="11" w:name="Closing"/>
      <w:bookmarkStart w:id="12" w:name="Closing"/>
      <w:bookmarkEnd w:id="12"/>
    </w:p>
    <w:p>
      <w:pPr>
        <w:pStyle w:val="BodyText"/>
        <w:spacing w:before="0" w:after="290"/>
        <w:rPr>
          <w:lang w:val="en-US"/>
        </w:rPr>
      </w:pPr>
      <w:r>
        <w:rPr>
          <w:lang w:val="en-US"/>
        </w:rPr>
        <w:t>Tim Bowler</w:t>
      </w:r>
    </w:p>
    <w:sectPr>
      <w:headerReference w:type="default" r:id="rId2"/>
      <w:headerReference w:type="first" r:id="rId3"/>
      <w:footerReference w:type="default" r:id="rId4"/>
      <w:footerReference w:type="first" r:id="rId5"/>
      <w:type w:val="nextPage"/>
      <w:pgSz w:w="12240" w:h="15840"/>
      <w:pgMar w:left="1440" w:right="1440" w:gutter="0" w:header="562" w:top="1699" w:footer="562" w:bottom="1699"/>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960" w:after="0"/>
      <w:rPr/>
    </w:pPr>
    <w:r>
      <w:rPr/>
    </w:r>
  </w:p>
  <w:p>
    <w:pPr>
      <w:pStyle w:val="Footer"/>
      <w:spacing w:before="0" w:after="180"/>
      <w:jc w:val="end"/>
      <w:rPr/>
    </w:pPr>
    <w:r>
      <w:rPr>
        <w:sz w:val="24"/>
      </w:rPr>
      <w:t>(</w:t>
    </w:r>
    <w:r>
      <w:rPr>
        <w:sz w:val="24"/>
      </w:rPr>
      <w:fldChar w:fldCharType="begin"/>
    </w:r>
    <w:r>
      <w:rPr>
        <w:sz w:val="24"/>
      </w:rPr>
      <w:instrText xml:space="preserve"> PAGE </w:instrText>
    </w:r>
    <w:r>
      <w:rPr>
        <w:sz w:val="24"/>
      </w:rPr>
      <w:fldChar w:fldCharType="separate"/>
    </w:r>
    <w:r>
      <w:rPr>
        <w:sz w:val="24"/>
      </w:rPr>
      <w:t>5</w:t>
    </w:r>
    <w:r>
      <w:rPr>
        <w:sz w:val="24"/>
      </w:rPr>
      <w:fldChar w:fldCharType="end"/>
    </w:r>
    <w:r>
      <w:rPr>
        <w:sz w:val="24"/>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960" w:after="0"/>
      <w:rPr/>
    </w:pPr>
    <w:r>
      <w:rPr/>
    </w:r>
  </w:p>
  <w:p>
    <w:pPr>
      <w:pStyle w:val="Footer"/>
      <w:spacing w:lineRule="atLeast" w:line="180" w:before="0" w:after="18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90"/>
      <w:rPr>
        <w:lang w:val="en-CA" w:eastAsia="en-CA"/>
      </w:rPr>
    </w:pPr>
    <w:r>
      <w:rPr>
        <w:lang w:val="en-CA" w:eastAsia="en-CA"/>
      </w:rPr>
      <w:object w:dxaOrig="4945" w:dyaOrig="57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80pt;margin-top:41.1pt;width:256.45pt;height:30pt;mso-wrap-distance-left:9.05pt;mso-wrap-distance-right:9.05pt;mso-position-horizontal-relative:page;mso-position-vertical-relative:page" filled="f" o:ole="">
          <v:imagedata r:id="rId2" o:title=""/>
        </v:shape>
        <o:OLEObject Type="Embed" ProgID="" ShapeID="ole_rId1" DrawAspect="Content" ObjectID="_1876817149" r:id="rId1"/>
      </w:obje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290"/>
      <w:rPr>
        <w:lang w:val="en-CA" w:eastAsia="en-CA"/>
      </w:rPr>
    </w:pPr>
    <w:r>
      <w:rPr>
        <w:lang w:val="en-CA" w:eastAsia="en-CA"/>
      </w:rPr>
      <mc:AlternateContent>
        <mc:Choice Requires="wps">
          <w:drawing>
            <wp:anchor behindDoc="1" distT="0" distB="0" distL="114935" distR="114935" simplePos="0" locked="0" layoutInCell="0" allowOverlap="1" relativeHeight="2">
              <wp:simplePos x="0" y="0"/>
              <wp:positionH relativeFrom="margin">
                <wp:posOffset>0</wp:posOffset>
              </wp:positionH>
              <wp:positionV relativeFrom="margin">
                <wp:posOffset>0</wp:posOffset>
              </wp:positionV>
              <wp:extent cx="14399895" cy="0"/>
              <wp:effectExtent l="0" t="3175" r="0" b="3175"/>
              <wp:wrapNone/>
              <wp:docPr id="3" name="Line1"/>
              <a:graphic xmlns:a="http://schemas.openxmlformats.org/drawingml/2006/main">
                <a:graphicData uri="http://schemas.microsoft.com/office/word/2010/wordprocessingShape">
                  <wps:wsp>
                    <wps:cNvSpPr/>
                    <wps:spPr>
                      <a:xfrm>
                        <a:off x="0" y="0"/>
                        <a:ext cx="14400000" cy="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pt,0pt" to="1133.8pt,0pt" ID="Line1" stroked="t" o:allowincell="f" style="position:absolute;mso-position-horizontal-relative:margin;mso-position-vertical-relative:margin">
              <v:stroke color="black" weight="6480" joinstyle="miter" endcap="flat"/>
              <v:fill o:detectmouseclick="t" on="false"/>
              <w10:wrap type="none"/>
            </v:line>
          </w:pict>
        </mc:Fallback>
      </mc:AlternateContent>
      <w:object w:dxaOrig="4945" w:dyaOrig="578">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80pt;margin-top:41.1pt;width:256.45pt;height:30pt;mso-wrap-distance-left:9.05pt;mso-wrap-distance-right:9.05pt;mso-position-horizontal-relative:page;mso-position-vertical-relative:page" filled="f" o:ole="">
          <v:imagedata r:id="rId2" o:title=""/>
        </v:shape>
        <o:OLEObject Type="Embed" ProgID="" ShapeID="ole_rId1" DrawAspect="Content" ObjectID="_1762396286" r:id="rId1"/>
      </w:obje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end"/>
      <w:pPr>
        <w:tabs>
          <w:tab w:val="num" w:pos="0"/>
        </w:tabs>
        <w:ind w:start="0" w:hanging="280"/>
      </w:pPr>
      <w:rPr>
        <w:rFonts w:ascii="Times New Roman" w:hAnsi="Times New Roman" w:cs="Times New Roman"/>
      </w:rPr>
    </w:lvl>
    <w:lvl w:ilvl="1">
      <w:start w:val="1"/>
      <w:pStyle w:val="Heading2"/>
      <w:numFmt w:val="decimal"/>
      <w:lvlText w:val="%1.%2"/>
      <w:lvlJc w:val="end"/>
      <w:pPr>
        <w:tabs>
          <w:tab w:val="num" w:pos="0"/>
        </w:tabs>
        <w:ind w:start="0" w:hanging="280"/>
      </w:pPr>
    </w:lvl>
    <w:lvl w:ilvl="2">
      <w:start w:val="1"/>
      <w:pStyle w:val="Heading3"/>
      <w:numFmt w:val="decimal"/>
      <w:lvlText w:val="%1.%2.%3"/>
      <w:lvlJc w:val="end"/>
      <w:pPr>
        <w:tabs>
          <w:tab w:val="num" w:pos="0"/>
        </w:tabs>
        <w:ind w:start="0" w:hanging="280"/>
      </w:pPr>
    </w:lvl>
    <w:lvl w:ilvl="3">
      <w:start w:val="1"/>
      <w:pStyle w:val="Heading4"/>
      <w:numFmt w:val="decimal"/>
      <w:lvlText w:val="%1.%2.%3.%4"/>
      <w:lvlJc w:val="end"/>
      <w:pPr>
        <w:tabs>
          <w:tab w:val="num" w:pos="0"/>
        </w:tabs>
        <w:ind w:start="0" w:hanging="280"/>
      </w:pPr>
    </w:lvl>
    <w:lvl w:ilvl="4">
      <w:start w:val="1"/>
      <w:pStyle w:val="Heading5"/>
      <w:numFmt w:val="decimal"/>
      <w:lvlText w:val="%1.%2.%3.%4.%5"/>
      <w:lvlJc w:val="end"/>
      <w:pPr>
        <w:tabs>
          <w:tab w:val="num" w:pos="0"/>
        </w:tabs>
        <w:ind w:start="0" w:hanging="280"/>
      </w:pPr>
    </w:lvl>
    <w:lvl w:ilvl="5">
      <w:start w:val="1"/>
      <w:pStyle w:val="Heading6"/>
      <w:numFmt w:val="decimal"/>
      <w:lvlText w:val="%1.%2.%3.%4.%5.%6"/>
      <w:lvlJc w:val="end"/>
      <w:pPr>
        <w:tabs>
          <w:tab w:val="num" w:pos="0"/>
        </w:tabs>
        <w:ind w:start="0" w:hanging="280"/>
      </w:pPr>
    </w:lvl>
    <w:lvl w:ilvl="6">
      <w:start w:val="1"/>
      <w:pStyle w:val="Heading7"/>
      <w:numFmt w:val="decimal"/>
      <w:lvlText w:val="%1.%2.%3.%4.%5.%6.%7"/>
      <w:lvlJc w:val="end"/>
      <w:pPr>
        <w:tabs>
          <w:tab w:val="num" w:pos="0"/>
        </w:tabs>
        <w:ind w:start="0" w:hanging="280"/>
      </w:pPr>
    </w:lvl>
    <w:lvl w:ilvl="7">
      <w:start w:val="1"/>
      <w:pStyle w:val="Heading8"/>
      <w:numFmt w:val="decimal"/>
      <w:lvlText w:val="%1.%2.%3.%4.%5.%6.%7.%8"/>
      <w:lvlJc w:val="end"/>
      <w:pPr>
        <w:tabs>
          <w:tab w:val="num" w:pos="0"/>
        </w:tabs>
        <w:ind w:start="0" w:hanging="280"/>
      </w:pPr>
    </w:lvl>
    <w:lvl w:ilvl="8">
      <w:start w:val="1"/>
      <w:pStyle w:val="Heading9"/>
      <w:numFmt w:val="decimal"/>
      <w:lvlText w:val="%1.%2.%3.%4.%5.%6.%7.%8.%9"/>
      <w:lvlJc w:val="end"/>
      <w:pPr>
        <w:tabs>
          <w:tab w:val="num" w:pos="0"/>
        </w:tabs>
        <w:ind w:start="0" w:hanging="280"/>
      </w:pPr>
    </w:lvl>
  </w:abstractNum>
  <w:abstractNum w:abstractNumId="2">
    <w:lvl w:ilvl="0">
      <w:start w:val="1"/>
      <w:numFmt w:val="bullet"/>
      <w:lvlText w:val="§"/>
      <w:lvlJc w:val="start"/>
      <w:pPr>
        <w:tabs>
          <w:tab w:val="num" w:pos="298"/>
        </w:tabs>
        <w:ind w:start="298" w:hanging="298"/>
      </w:pPr>
      <w:rPr>
        <w:rFonts w:ascii="Wingdings" w:hAnsi="Wingdings" w:cs="Wingdings" w:hint="default"/>
        <w:sz w:val="18"/>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o"/>
      <w:lvlJc w:val="start"/>
      <w:pPr>
        <w:tabs>
          <w:tab w:val="num" w:pos="1800"/>
        </w:tabs>
        <w:ind w:start="1800" w:hanging="360"/>
      </w:pPr>
      <w:rPr>
        <w:rFonts w:ascii="Courier New" w:hAnsi="Courier New" w:cs="Courier New"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4">
    <w:lvl w:ilvl="0">
      <w:start w:val="1"/>
      <w:numFmt w:val="decimal"/>
      <w:lvlText w:val="%1"/>
      <w:lvlJc w:val="start"/>
      <w:pPr>
        <w:tabs>
          <w:tab w:val="num" w:pos="595"/>
        </w:tabs>
        <w:ind w:start="595" w:hanging="595"/>
      </w:pPr>
    </w:lvl>
    <w:lvl w:ilvl="1">
      <w:start w:val="1"/>
      <w:numFmt w:val="decimal"/>
      <w:lvlText w:val="%2"/>
      <w:lvlJc w:val="start"/>
      <w:pPr>
        <w:tabs>
          <w:tab w:val="num" w:pos="1191"/>
        </w:tabs>
        <w:ind w:start="1191" w:hanging="595"/>
      </w:pPr>
    </w:lvl>
    <w:lvl w:ilvl="2">
      <w:start w:val="1"/>
      <w:numFmt w:val="decimal"/>
      <w:lvlText w:val="%3"/>
      <w:lvlJc w:val="start"/>
      <w:pPr>
        <w:tabs>
          <w:tab w:val="num" w:pos="1786"/>
        </w:tabs>
        <w:ind w:start="1786" w:hanging="595"/>
      </w:pPr>
    </w:lvl>
    <w:lvl w:ilvl="3">
      <w:start w:val="1"/>
      <w:numFmt w:val="decimal"/>
      <w:lvlText w:val="%4"/>
      <w:lvlJc w:val="start"/>
      <w:pPr>
        <w:tabs>
          <w:tab w:val="num" w:pos="2381"/>
        </w:tabs>
        <w:ind w:start="2381" w:hanging="595"/>
      </w:pPr>
    </w:lvl>
    <w:lvl w:ilvl="4">
      <w:start w:val="1"/>
      <w:numFmt w:val="decimal"/>
      <w:lvlText w:val="%5"/>
      <w:lvlJc w:val="start"/>
      <w:pPr>
        <w:tabs>
          <w:tab w:val="num" w:pos="2976"/>
        </w:tabs>
        <w:ind w:start="2976" w:hanging="595"/>
      </w:pPr>
    </w:lvl>
    <w:lvl w:ilvl="5">
      <w:start w:val="1"/>
      <w:numFmt w:val="decimal"/>
      <w:lvlText w:val="%6"/>
      <w:lvlJc w:val="start"/>
      <w:pPr>
        <w:tabs>
          <w:tab w:val="num" w:pos="3572"/>
        </w:tabs>
        <w:ind w:start="3572" w:hanging="595"/>
      </w:pPr>
    </w:lvl>
    <w:lvl w:ilvl="6">
      <w:start w:val="1"/>
      <w:numFmt w:val="decimal"/>
      <w:lvlText w:val="%7"/>
      <w:lvlJc w:val="start"/>
      <w:pPr>
        <w:tabs>
          <w:tab w:val="num" w:pos="4167"/>
        </w:tabs>
        <w:ind w:start="4167" w:hanging="595"/>
      </w:pPr>
    </w:lvl>
    <w:lvl w:ilvl="7">
      <w:start w:val="1"/>
      <w:numFmt w:val="decimal"/>
      <w:lvlText w:val="%8"/>
      <w:lvlJc w:val="start"/>
      <w:pPr>
        <w:tabs>
          <w:tab w:val="num" w:pos="4762"/>
        </w:tabs>
        <w:ind w:start="4762" w:hanging="595"/>
      </w:pPr>
    </w:lvl>
    <w:lvl w:ilvl="8">
      <w:start w:val="1"/>
      <w:numFmt w:val="decimal"/>
      <w:lvlText w:val="%9"/>
      <w:lvlJc w:val="start"/>
      <w:pPr>
        <w:tabs>
          <w:tab w:val="num" w:pos="4762"/>
        </w:tabs>
        <w:ind w:start="4762" w:hanging="595"/>
      </w:pPr>
    </w:lvl>
  </w:abstractNum>
  <w:abstractNum w:abstractNumId="5">
    <w:lvl w:ilvl="0">
      <w:start w:val="1"/>
      <w:numFmt w:val="bullet"/>
      <w:lvlText w:val=""/>
      <w:lvlJc w:val="start"/>
      <w:pPr>
        <w:tabs>
          <w:tab w:val="num" w:pos="360"/>
        </w:tabs>
        <w:ind w:start="360" w:hanging="360"/>
      </w:pPr>
      <w:rPr>
        <w:rFonts w:ascii="Wingdings" w:hAnsi="Wingdings" w:cs="Wingdings" w:hint="default"/>
      </w:rPr>
    </w:lvl>
    <w:lvl w:ilvl="1">
      <w:start w:val="4"/>
      <w:numFmt w:val="bullet"/>
      <w:lvlText w:val="-"/>
      <w:lvlJc w:val="start"/>
      <w:pPr>
        <w:tabs>
          <w:tab w:val="num" w:pos="1080"/>
        </w:tabs>
        <w:ind w:start="1080" w:hanging="360"/>
      </w:pPr>
      <w:rPr>
        <w:rFonts w:ascii="Times New Roman" w:hAnsi="Times New Roman" w:cs="Times New Roman" w:hint="default"/>
      </w:rPr>
    </w:lvl>
    <w:lvl w:ilvl="2">
      <w:start w:val="1"/>
      <w:numFmt w:val="bullet"/>
      <w:lvlText w:val="o"/>
      <w:lvlJc w:val="start"/>
      <w:pPr>
        <w:tabs>
          <w:tab w:val="num" w:pos="1800"/>
        </w:tabs>
        <w:ind w:start="1800" w:hanging="360"/>
      </w:pPr>
      <w:rPr>
        <w:rFonts w:ascii="Courier New" w:hAnsi="Courier New" w:cs="Courier New"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
      <w:lvlJc w:val="start"/>
      <w:pPr>
        <w:tabs>
          <w:tab w:val="num" w:pos="1080"/>
        </w:tabs>
        <w:ind w:start="1080" w:hanging="360"/>
      </w:pPr>
      <w:rPr>
        <w:rFonts w:ascii="Wingdings" w:hAnsi="Wingdings" w:cs="Wingdings"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8">
    <w:lvl w:ilvl="0">
      <w:start w:val="1"/>
      <w:numFmt w:val="decimal"/>
      <w:lvlText w:val="%1."/>
      <w:lvlJc w:val="start"/>
      <w:pPr>
        <w:tabs>
          <w:tab w:val="num" w:pos="360"/>
        </w:tabs>
        <w:ind w:start="298" w:hanging="298"/>
      </w:p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bullet"/>
      <w:lvlText w:val=""/>
      <w:lvlJc w:val="start"/>
      <w:pPr>
        <w:tabs>
          <w:tab w:val="num" w:pos="360"/>
        </w:tabs>
        <w:ind w:start="360" w:hanging="360"/>
      </w:pPr>
      <w:rPr>
        <w:rFonts w:ascii="Wingdings" w:hAnsi="Wingdings" w:cs="Wingdings" w:hint="default"/>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595"/>
        </w:tabs>
        <w:ind w:start="595" w:hanging="595"/>
      </w:pPr>
      <w:rPr>
        <w:rFonts w:ascii="Wingdings" w:hAnsi="Wingdings" w:cs="Wingdings" w:hint="default"/>
        <w:sz w:val="18"/>
      </w:rPr>
    </w:lvl>
    <w:lvl w:ilvl="1">
      <w:start w:val="1"/>
      <w:numFmt w:val="bullet"/>
      <w:lvlText w:val="§"/>
      <w:lvlJc w:val="start"/>
      <w:pPr>
        <w:tabs>
          <w:tab w:val="num" w:pos="1191"/>
        </w:tabs>
        <w:ind w:start="1191" w:hanging="595"/>
      </w:pPr>
      <w:rPr>
        <w:rFonts w:ascii="Wingdings" w:hAnsi="Wingdings" w:cs="Wingdings" w:hint="default"/>
        <w:sz w:val="18"/>
      </w:rPr>
    </w:lvl>
    <w:lvl w:ilvl="2">
      <w:start w:val="1"/>
      <w:numFmt w:val="bullet"/>
      <w:lvlText w:val="§"/>
      <w:lvlJc w:val="start"/>
      <w:pPr>
        <w:tabs>
          <w:tab w:val="num" w:pos="1786"/>
        </w:tabs>
        <w:ind w:start="1786" w:hanging="595"/>
      </w:pPr>
      <w:rPr>
        <w:rFonts w:ascii="Wingdings" w:hAnsi="Wingdings" w:cs="Wingdings" w:hint="default"/>
        <w:sz w:val="18"/>
      </w:rPr>
    </w:lvl>
    <w:lvl w:ilvl="3">
      <w:start w:val="1"/>
      <w:numFmt w:val="bullet"/>
      <w:lvlText w:val="§"/>
      <w:lvlJc w:val="start"/>
      <w:pPr>
        <w:tabs>
          <w:tab w:val="num" w:pos="2381"/>
        </w:tabs>
        <w:ind w:start="2381" w:hanging="595"/>
      </w:pPr>
      <w:rPr>
        <w:rFonts w:ascii="Wingdings" w:hAnsi="Wingdings" w:cs="Wingdings" w:hint="default"/>
        <w:sz w:val="18"/>
      </w:rPr>
    </w:lvl>
    <w:lvl w:ilvl="4">
      <w:start w:val="1"/>
      <w:numFmt w:val="bullet"/>
      <w:lvlText w:val="§"/>
      <w:lvlJc w:val="start"/>
      <w:pPr>
        <w:tabs>
          <w:tab w:val="num" w:pos="2976"/>
        </w:tabs>
        <w:ind w:start="2976" w:hanging="595"/>
      </w:pPr>
      <w:rPr>
        <w:rFonts w:ascii="Wingdings" w:hAnsi="Wingdings" w:cs="Wingdings" w:hint="default"/>
        <w:sz w:val="18"/>
      </w:rPr>
    </w:lvl>
    <w:lvl w:ilvl="5">
      <w:start w:val="1"/>
      <w:numFmt w:val="bullet"/>
      <w:lvlText w:val="§"/>
      <w:lvlJc w:val="start"/>
      <w:pPr>
        <w:tabs>
          <w:tab w:val="num" w:pos="3572"/>
        </w:tabs>
        <w:ind w:start="3572" w:hanging="595"/>
      </w:pPr>
      <w:rPr>
        <w:rFonts w:ascii="Wingdings" w:hAnsi="Wingdings" w:cs="Wingdings" w:hint="default"/>
        <w:sz w:val="18"/>
      </w:rPr>
    </w:lvl>
    <w:lvl w:ilvl="6">
      <w:start w:val="1"/>
      <w:numFmt w:val="bullet"/>
      <w:lvlText w:val="§"/>
      <w:lvlJc w:val="start"/>
      <w:pPr>
        <w:tabs>
          <w:tab w:val="num" w:pos="4167"/>
        </w:tabs>
        <w:ind w:start="4167" w:hanging="595"/>
      </w:pPr>
      <w:rPr>
        <w:rFonts w:ascii="Wingdings" w:hAnsi="Wingdings" w:cs="Wingdings" w:hint="default"/>
        <w:sz w:val="18"/>
      </w:rPr>
    </w:lvl>
    <w:lvl w:ilvl="7">
      <w:start w:val="1"/>
      <w:numFmt w:val="bullet"/>
      <w:lvlText w:val="§"/>
      <w:lvlJc w:val="start"/>
      <w:pPr>
        <w:tabs>
          <w:tab w:val="num" w:pos="4762"/>
        </w:tabs>
        <w:ind w:start="4762" w:hanging="595"/>
      </w:pPr>
      <w:rPr>
        <w:rFonts w:ascii="Wingdings" w:hAnsi="Wingdings" w:cs="Wingdings" w:hint="default"/>
        <w:sz w:val="18"/>
      </w:rPr>
    </w:lvl>
    <w:lvl w:ilvl="8">
      <w:start w:val="1"/>
      <w:numFmt w:val="bullet"/>
      <w:lvlText w:val="§"/>
      <w:lvlJc w:val="start"/>
      <w:pPr>
        <w:tabs>
          <w:tab w:val="num" w:pos="4762"/>
        </w:tabs>
        <w:ind w:start="4762" w:hanging="595"/>
      </w:pPr>
      <w:rPr>
        <w:rFonts w:ascii="Wingdings" w:hAnsi="Wingdings" w:cs="Wingdings" w:hint="default"/>
        <w:sz w:val="18"/>
      </w:r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595"/>
  <w:autoHyphenation w:val="true"/>
  <w:hyphenationZone w:val="0"/>
  <w:compat>
    <w:compatSetting w:name="compatibilityMode" w:uri="http://schemas.microsoft.com/office/word" w:val="11"/>
  </w:compat>
  <w:docVars>
    <w:docVar w:name="GTDTProtect" w:val="-1"/>
    <w:docVar w:name="Version"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90" w:before="0" w:after="290"/>
    </w:pPr>
    <w:rPr>
      <w:rFonts w:ascii="Times New Roman" w:hAnsi="Times New Roman" w:eastAsia="Times New Roman" w:cs="Times New Roman"/>
      <w:color w:val="auto"/>
      <w:sz w:val="24"/>
      <w:szCs w:val="20"/>
      <w:lang w:val="en-GB" w:bidi="ar-SA" w:eastAsia="zh-CN"/>
    </w:rPr>
  </w:style>
  <w:style w:type="paragraph" w:styleId="Heading1">
    <w:name w:val="heading 1"/>
    <w:basedOn w:val="Normal"/>
    <w:next w:val="Heading2"/>
    <w:qFormat/>
    <w:pPr>
      <w:keepNext w:val="true"/>
      <w:numPr>
        <w:ilvl w:val="0"/>
        <w:numId w:val="1"/>
      </w:numPr>
      <w:spacing w:lineRule="atLeast" w:line="370" w:before="0" w:after="370"/>
      <w:ind w:hanging="278" w:start="0" w:end="0"/>
      <w:outlineLvl w:val="0"/>
    </w:pPr>
    <w:rPr>
      <w:b/>
      <w:kern w:val="2"/>
      <w:sz w:val="30"/>
    </w:rPr>
  </w:style>
  <w:style w:type="paragraph" w:styleId="Heading2">
    <w:name w:val="heading 2"/>
    <w:basedOn w:val="Normal"/>
    <w:next w:val="BodyText"/>
    <w:qFormat/>
    <w:pPr>
      <w:keepNext w:val="true"/>
      <w:numPr>
        <w:ilvl w:val="1"/>
        <w:numId w:val="1"/>
      </w:numPr>
      <w:outlineLvl w:val="1"/>
    </w:pPr>
    <w:rPr>
      <w:b/>
    </w:rPr>
  </w:style>
  <w:style w:type="paragraph" w:styleId="Heading3">
    <w:name w:val="heading 3"/>
    <w:basedOn w:val="Normal"/>
    <w:next w:val="BodyText"/>
    <w:qFormat/>
    <w:pPr>
      <w:keepNext w:val="true"/>
      <w:numPr>
        <w:ilvl w:val="2"/>
        <w:numId w:val="1"/>
      </w:numPr>
      <w:outlineLvl w:val="2"/>
    </w:pPr>
    <w:rPr/>
  </w:style>
  <w:style w:type="paragraph" w:styleId="Heading4">
    <w:name w:val="heading 4"/>
    <w:basedOn w:val="Normal"/>
    <w:next w:val="BodyText"/>
    <w:qFormat/>
    <w:pPr>
      <w:keepNext w:val="true"/>
      <w:numPr>
        <w:ilvl w:val="3"/>
        <w:numId w:val="1"/>
      </w:numPr>
      <w:outlineLvl w:val="3"/>
    </w:pPr>
    <w:rPr/>
  </w:style>
  <w:style w:type="paragraph" w:styleId="Heading5">
    <w:name w:val="heading 5"/>
    <w:basedOn w:val="Normal"/>
    <w:next w:val="BodyText"/>
    <w:qFormat/>
    <w:pPr>
      <w:keepNext w:val="true"/>
      <w:numPr>
        <w:ilvl w:val="4"/>
        <w:numId w:val="1"/>
      </w:numPr>
      <w:outlineLvl w:val="4"/>
    </w:pPr>
    <w:rPr/>
  </w:style>
  <w:style w:type="paragraph" w:styleId="Heading6">
    <w:name w:val="heading 6"/>
    <w:basedOn w:val="Normal"/>
    <w:next w:val="BodyText"/>
    <w:qFormat/>
    <w:pPr>
      <w:keepNext w:val="true"/>
      <w:numPr>
        <w:ilvl w:val="5"/>
        <w:numId w:val="1"/>
      </w:numPr>
      <w:outlineLvl w:val="5"/>
    </w:pPr>
    <w:rPr/>
  </w:style>
  <w:style w:type="paragraph" w:styleId="Heading7">
    <w:name w:val="heading 7"/>
    <w:basedOn w:val="Normal"/>
    <w:next w:val="BodyText"/>
    <w:qFormat/>
    <w:pPr>
      <w:keepNext w:val="true"/>
      <w:numPr>
        <w:ilvl w:val="6"/>
        <w:numId w:val="1"/>
      </w:numPr>
      <w:outlineLvl w:val="6"/>
    </w:pPr>
    <w:rPr/>
  </w:style>
  <w:style w:type="paragraph" w:styleId="Heading8">
    <w:name w:val="heading 8"/>
    <w:basedOn w:val="Normal"/>
    <w:next w:val="BodyText"/>
    <w:qFormat/>
    <w:pPr>
      <w:keepNext w:val="true"/>
      <w:numPr>
        <w:ilvl w:val="7"/>
        <w:numId w:val="1"/>
      </w:numPr>
      <w:outlineLvl w:val="7"/>
    </w:pPr>
    <w:rPr/>
  </w:style>
  <w:style w:type="paragraph" w:styleId="Heading9">
    <w:name w:val="heading 9"/>
    <w:basedOn w:val="Normal"/>
    <w:next w:val="BodyText"/>
    <w:qFormat/>
    <w:pPr>
      <w:keepNext w:val="true"/>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sz w:val="18"/>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4z2">
    <w:name w:val="WW8Num14z2"/>
    <w:qFormat/>
    <w:rPr>
      <w:rFonts w:ascii="Courier New" w:hAnsi="Courier New" w:cs="Courier New"/>
    </w:rPr>
  </w:style>
  <w:style w:type="character" w:styleId="WW8Num14z3">
    <w:name w:val="WW8Num14z3"/>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7z1">
    <w:name w:val="WW8Num17z1"/>
    <w:qFormat/>
    <w:rPr>
      <w:rFonts w:ascii="Times New Roman" w:hAnsi="Times New Roman" w:eastAsia="Times New Roman" w:cs="Times New Roman"/>
    </w:rPr>
  </w:style>
  <w:style w:type="character" w:styleId="WW8Num17z2">
    <w:name w:val="WW8Num17z2"/>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20z0">
    <w:name w:val="WW8Num20z0"/>
    <w:qFormat/>
    <w:rPr>
      <w:rFonts w:ascii="Wingdings" w:hAnsi="Wingdings" w:cs="Wingdings"/>
      <w:sz w:val="12"/>
    </w:rPr>
  </w:style>
  <w:style w:type="character" w:styleId="WW8Num21z0">
    <w:name w:val="WW8Num21z0"/>
    <w:qFormat/>
    <w:rPr>
      <w:rFonts w:ascii="Wingdings" w:hAnsi="Wingdings" w:cs="Wingdings"/>
      <w:sz w:val="12"/>
    </w:rPr>
  </w:style>
  <w:style w:type="character" w:styleId="WW8Num22z0">
    <w:name w:val="WW8Num22z0"/>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WW8Num24z0">
    <w:name w:val="WW8Num24z0"/>
    <w:qFormat/>
    <w:rPr>
      <w:rFonts w:ascii="Wingdings" w:hAnsi="Wingdings" w:cs="Wingdings"/>
    </w:rPr>
  </w:style>
  <w:style w:type="character" w:styleId="WW8Num24z1">
    <w:name w:val="WW8Num24z1"/>
    <w:qFormat/>
    <w:rPr>
      <w:rFonts w:ascii="Times New Roman" w:hAnsi="Times New Roman" w:eastAsia="Times New Roman" w:cs="Times New Roman"/>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Wingdings" w:hAnsi="Wingdings" w:cs="Wingdings"/>
      <w:sz w:val="16"/>
    </w:rPr>
  </w:style>
  <w:style w:type="character" w:styleId="WW8Num26z0">
    <w:name w:val="WW8Num26z0"/>
    <w:qFormat/>
    <w:rPr>
      <w:rFonts w:ascii="Wingdings" w:hAnsi="Wingdings" w:cs="Wingdings"/>
      <w:sz w:val="16"/>
    </w:rPr>
  </w:style>
  <w:style w:type="character" w:styleId="WW8Num27z0">
    <w:name w:val="WW8Num27z0"/>
    <w:qFormat/>
    <w:rPr>
      <w:rFonts w:ascii="Wingdings" w:hAnsi="Wingdings" w:cs="Wingdings"/>
    </w:rPr>
  </w:style>
  <w:style w:type="character" w:styleId="WW8Num28z0">
    <w:name w:val="WW8Num28z0"/>
    <w:qFormat/>
    <w:rPr>
      <w:b/>
      <w:i w:val="false"/>
    </w:rPr>
  </w:style>
  <w:style w:type="character" w:styleId="WW8Num29z0">
    <w:name w:val="WW8Num29z0"/>
    <w:qFormat/>
    <w:rPr>
      <w:rFonts w:ascii="Symbol" w:hAnsi="Symbol" w:cs="Symbol"/>
      <w:color w:val="auto"/>
      <w:sz w:val="28"/>
    </w:rPr>
  </w:style>
  <w:style w:type="character" w:styleId="WW8Num30z0">
    <w:name w:val="WW8Num30z0"/>
    <w:qFormat/>
    <w:rPr>
      <w:rFonts w:ascii="Wingdings" w:hAnsi="Wingdings" w:cs="Wingdings"/>
      <w:sz w:val="12"/>
    </w:rPr>
  </w:style>
  <w:style w:type="character" w:styleId="WW8Num31z0">
    <w:name w:val="WW8Num31z0"/>
    <w:qFormat/>
    <w:rPr>
      <w:rFonts w:ascii="Symbol" w:hAnsi="Symbol" w:cs="Symbol"/>
    </w:rPr>
  </w:style>
  <w:style w:type="character" w:styleId="WW8Num32z0">
    <w:name w:val="WW8Num32z0"/>
    <w:qFormat/>
    <w:rPr>
      <w:rFonts w:ascii="Times New Roman" w:hAnsi="Times New Roman" w:cs="Times New Roman"/>
    </w:rPr>
  </w:style>
  <w:style w:type="character" w:styleId="WW8Num33z0">
    <w:name w:val="WW8Num33z0"/>
    <w:qFormat/>
    <w:rPr/>
  </w:style>
  <w:style w:type="character" w:styleId="WW8Num33z1">
    <w:name w:val="WW8Num33z1"/>
    <w:qFormat/>
    <w:rPr>
      <w:rFonts w:ascii="Wingdings" w:hAnsi="Wingdings" w:cs="Wingdings"/>
    </w:rPr>
  </w:style>
  <w:style w:type="character" w:styleId="WW8Num35z0">
    <w:name w:val="WW8Num35z0"/>
    <w:qFormat/>
    <w:rPr>
      <w:rFonts w:ascii="Wingdings" w:hAnsi="Wingdings" w:cs="Wingdings"/>
      <w:sz w:val="12"/>
    </w:rPr>
  </w:style>
  <w:style w:type="character" w:styleId="WW8Num36z0">
    <w:name w:val="WW8Num36z0"/>
    <w:qFormat/>
    <w:rPr>
      <w:rFonts w:ascii="Symbol" w:hAnsi="Symbol" w:cs="Symbol"/>
      <w:sz w:val="18"/>
    </w:rPr>
  </w:style>
  <w:style w:type="character" w:styleId="WW8Num38z0">
    <w:name w:val="WW8Num38z0"/>
    <w:qFormat/>
    <w:rPr>
      <w:rFonts w:ascii="Times New Roman" w:hAnsi="Times New Roman" w:cs="Times New Roman"/>
    </w:rPr>
  </w:style>
  <w:style w:type="character" w:styleId="WW8Num39z0">
    <w:name w:val="WW8Num39z0"/>
    <w:qFormat/>
    <w:rPr>
      <w:rFonts w:ascii="Wingdings" w:hAnsi="Wingdings" w:cs="Wingdings"/>
      <w:sz w:val="18"/>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sz w:val="18"/>
    </w:rPr>
  </w:style>
  <w:style w:type="character" w:styleId="DefaultParagraphFont">
    <w:name w:val="Default Paragraph Font"/>
    <w:qFormat/>
    <w:rPr/>
  </w:style>
  <w:style w:type="character" w:styleId="CommentReference">
    <w:name w:val="Comment Reference"/>
    <w:basedOn w:val="DefaultParagraphFont"/>
    <w:qFormat/>
    <w:rPr>
      <w:sz w:val="20"/>
    </w:rPr>
  </w:style>
  <w:style w:type="paragraph" w:styleId="Heading">
    <w:name w:val="Heading"/>
    <w:basedOn w:val="Normal"/>
    <w:next w:val="Subtitle"/>
    <w:qFormat/>
    <w:pPr>
      <w:keepNext w:val="true"/>
      <w:pageBreakBefore/>
      <w:spacing w:lineRule="atLeast" w:line="600" w:before="0" w:after="0"/>
      <w:outlineLvl w:val="0"/>
    </w:pPr>
    <w:rPr>
      <w:b/>
      <w:kern w:val="2"/>
      <w:sz w:val="50"/>
    </w:rPr>
  </w:style>
  <w:style w:type="paragraph" w:styleId="BodyText">
    <w:name w:val="Body Text"/>
    <w:basedOn w:val="Normal"/>
    <w:pPr/>
    <w:rPr/>
  </w:style>
  <w:style w:type="paragraph" w:styleId="List">
    <w:name w:val="List"/>
    <w:basedOn w:val="Normal"/>
    <w:pPr>
      <w:spacing w:lineRule="auto" w:line="288" w:before="0" w:after="290"/>
      <w:ind w:hanging="595" w:start="595" w:end="0"/>
    </w:pPr>
    <w:rPr/>
  </w:style>
  <w:style w:type="paragraph" w:styleId="Caption">
    <w:name w:val="caption"/>
    <w:basedOn w:val="Normal"/>
    <w:next w:val="Normal"/>
    <w:qFormat/>
    <w:pPr>
      <w:spacing w:lineRule="auto" w:line="288"/>
    </w:pPr>
    <w:rPr>
      <w:b/>
    </w:rPr>
  </w:style>
  <w:style w:type="paragraph" w:styleId="Index">
    <w:name w:val="Index"/>
    <w:basedOn w:val="Normal"/>
    <w:qFormat/>
    <w:pPr>
      <w:suppressLineNumbers/>
    </w:pPr>
    <w:rPr>
      <w:rFonts w:cs="NotoSans NF"/>
    </w:rPr>
  </w:style>
  <w:style w:type="paragraph" w:styleId="BlockText">
    <w:name w:val="Block Text"/>
    <w:basedOn w:val="Normal"/>
    <w:next w:val="BodyText"/>
    <w:qFormat/>
    <w:pPr>
      <w:spacing w:lineRule="auto" w:line="288" w:before="0" w:after="120"/>
      <w:ind w:hanging="0" w:start="595" w:end="595"/>
    </w:pPr>
    <w:rPr/>
  </w:style>
  <w:style w:type="paragraph" w:styleId="BodyText2">
    <w:name w:val="Body Text 2"/>
    <w:basedOn w:val="Normal"/>
    <w:qFormat/>
    <w:pPr>
      <w:spacing w:lineRule="auto" w:line="480" w:before="0" w:after="290"/>
    </w:pPr>
    <w:rPr/>
  </w:style>
  <w:style w:type="paragraph" w:styleId="BodyText3">
    <w:name w:val="Body Text 3"/>
    <w:basedOn w:val="Normal"/>
    <w:qFormat/>
    <w:pPr>
      <w:spacing w:lineRule="auto" w:line="288" w:before="0" w:after="288"/>
    </w:pPr>
    <w:rPr>
      <w:sz w:val="20"/>
    </w:rPr>
  </w:style>
  <w:style w:type="paragraph" w:styleId="BodyTextFirstIndent">
    <w:name w:val="Body Text First Indent"/>
    <w:basedOn w:val="BodyText"/>
    <w:qFormat/>
    <w:pPr>
      <w:spacing w:before="0" w:after="120"/>
      <w:ind w:firstLine="595" w:start="0" w:end="0"/>
    </w:pPr>
    <w:rPr/>
  </w:style>
  <w:style w:type="paragraph" w:styleId="BodyTextIndent">
    <w:name w:val="Body Text Indent"/>
    <w:basedOn w:val="BodyText"/>
    <w:pPr>
      <w:ind w:hanging="0" w:start="595" w:end="0"/>
    </w:pPr>
    <w:rPr/>
  </w:style>
  <w:style w:type="paragraph" w:styleId="BodyTextFirstIndent2">
    <w:name w:val="Body Text First Indent 2"/>
    <w:basedOn w:val="BodyTextFirstIndent"/>
    <w:qFormat/>
    <w:pPr>
      <w:ind w:firstLine="595" w:start="595" w:end="0"/>
    </w:pPr>
    <w:rPr/>
  </w:style>
  <w:style w:type="paragraph" w:styleId="BodyTextIndent2">
    <w:name w:val="Body Text Indent 2"/>
    <w:basedOn w:val="BodyText2"/>
    <w:qFormat/>
    <w:pPr>
      <w:spacing w:before="0" w:after="120"/>
      <w:ind w:hanging="0" w:start="595" w:end="0"/>
    </w:pPr>
    <w:rPr/>
  </w:style>
  <w:style w:type="paragraph" w:styleId="BodyTextIndent3">
    <w:name w:val="Body Text Indent 3"/>
    <w:basedOn w:val="BodyText3"/>
    <w:qFormat/>
    <w:pPr>
      <w:ind w:hanging="0" w:start="595" w:end="0"/>
    </w:pPr>
    <w:rPr>
      <w:sz w:val="18"/>
    </w:rPr>
  </w:style>
  <w:style w:type="paragraph" w:styleId="Closing">
    <w:name w:val="Closing"/>
    <w:basedOn w:val="Normal"/>
    <w:qFormat/>
    <w:pPr>
      <w:spacing w:before="0" w:after="0"/>
    </w:pPr>
    <w:rPr/>
  </w:style>
  <w:style w:type="paragraph" w:styleId="CommentText">
    <w:name w:val="Comment Text"/>
    <w:basedOn w:val="Normal"/>
    <w:qFormat/>
    <w:pPr>
      <w:spacing w:lineRule="auto" w:line="288" w:before="0" w:after="290"/>
    </w:pPr>
    <w:rPr/>
  </w:style>
  <w:style w:type="paragraph" w:styleId="Date">
    <w:name w:val="Date"/>
    <w:basedOn w:val="Normal"/>
    <w:next w:val="Normal"/>
    <w:qFormat/>
    <w:pPr>
      <w:spacing w:lineRule="auto" w:line="288" w:before="0" w:after="290"/>
    </w:pPr>
    <w:rPr/>
  </w:style>
  <w:style w:type="paragraph" w:styleId="DocumentMap">
    <w:name w:val="Document Map"/>
    <w:basedOn w:val="Normal"/>
    <w:qFormat/>
    <w:pPr>
      <w:shd w:fill="000080" w:val="clear"/>
      <w:spacing w:lineRule="auto" w:line="288" w:before="0" w:after="290"/>
    </w:pPr>
    <w:rPr>
      <w:rFonts w:ascii="Tahoma" w:hAnsi="Tahoma" w:cs="Tahoma"/>
    </w:rPr>
  </w:style>
  <w:style w:type="paragraph" w:styleId="EndnoteText">
    <w:name w:val="endnote text"/>
    <w:basedOn w:val="Normal"/>
    <w:pPr>
      <w:spacing w:lineRule="auto" w:line="288" w:before="0" w:after="290"/>
    </w:pPr>
    <w:rPr/>
  </w:style>
  <w:style w:type="paragraph" w:styleId="EnvelopeAddress">
    <w:name w:val="envelope address"/>
    <w:basedOn w:val="Normal"/>
    <w:pPr>
      <w:spacing w:lineRule="auto" w:line="288"/>
      <w:ind w:hanging="0" w:start="2976" w:end="0"/>
    </w:pPr>
    <w:rPr/>
  </w:style>
  <w:style w:type="paragraph" w:styleId="EnvelopeReturn">
    <w:name w:val="envelope return"/>
    <w:basedOn w:val="Normal"/>
    <w:pPr>
      <w:spacing w:lineRule="auto" w:line="288"/>
    </w:pPr>
    <w:rPr>
      <w:rFonts w:ascii="Arial" w:hAnsi="Arial" w:cs="Arial"/>
    </w:rPr>
  </w:style>
  <w:style w:type="paragraph" w:styleId="HeaderandFooter">
    <w:name w:val="Header and Footer"/>
    <w:basedOn w:val="Normal"/>
    <w:qFormat/>
    <w:pPr>
      <w:suppressLineNumbers/>
      <w:tabs>
        <w:tab w:val="clear" w:pos="595"/>
        <w:tab w:val="center" w:pos="4986" w:leader="none"/>
        <w:tab w:val="right" w:pos="9972" w:leader="none"/>
      </w:tabs>
    </w:pPr>
    <w:rPr/>
  </w:style>
  <w:style w:type="paragraph" w:styleId="Footer">
    <w:name w:val="footer"/>
    <w:basedOn w:val="Normal"/>
    <w:pPr>
      <w:tabs>
        <w:tab w:val="clear" w:pos="595"/>
        <w:tab w:val="center" w:pos="4400" w:leader="none"/>
        <w:tab w:val="right" w:pos="10480" w:leader="none"/>
      </w:tabs>
      <w:spacing w:lineRule="atLeast" w:line="180" w:before="0" w:after="180"/>
    </w:pPr>
    <w:rPr>
      <w:sz w:val="14"/>
    </w:rPr>
  </w:style>
  <w:style w:type="paragraph" w:styleId="FootnoteText">
    <w:name w:val="footnote text"/>
    <w:basedOn w:val="Normal"/>
    <w:pPr>
      <w:spacing w:lineRule="auto" w:line="288" w:before="0" w:after="290"/>
    </w:pPr>
    <w:rPr/>
  </w:style>
  <w:style w:type="paragraph" w:styleId="Header">
    <w:name w:val="header"/>
    <w:basedOn w:val="Normal"/>
    <w:pPr>
      <w:tabs>
        <w:tab w:val="clear" w:pos="595"/>
        <w:tab w:val="center" w:pos="4400" w:leader="none"/>
        <w:tab w:val="right" w:pos="10480" w:leader="none"/>
      </w:tabs>
      <w:spacing w:lineRule="atLeast" w:line="250"/>
    </w:pPr>
    <w:rPr>
      <w:sz w:val="20"/>
    </w:rPr>
  </w:style>
  <w:style w:type="paragraph" w:styleId="Index1">
    <w:name w:val="index 1"/>
    <w:basedOn w:val="Normal"/>
    <w:next w:val="Normal"/>
    <w:pPr>
      <w:spacing w:lineRule="auto" w:line="288"/>
      <w:ind w:firstLine="298" w:start="0" w:end="0"/>
    </w:pPr>
    <w:rPr/>
  </w:style>
  <w:style w:type="paragraph" w:styleId="Index2">
    <w:name w:val="index 2"/>
    <w:basedOn w:val="Normal"/>
    <w:next w:val="Normal"/>
    <w:pPr>
      <w:spacing w:lineRule="auto" w:line="288"/>
      <w:ind w:firstLine="298" w:start="140" w:end="0"/>
    </w:pPr>
    <w:rPr/>
  </w:style>
  <w:style w:type="paragraph" w:styleId="Index3">
    <w:name w:val="index 3"/>
    <w:basedOn w:val="Normal"/>
    <w:next w:val="Normal"/>
    <w:pPr>
      <w:spacing w:lineRule="auto" w:line="288"/>
      <w:ind w:firstLine="298" w:start="300" w:end="0"/>
    </w:pPr>
    <w:rPr/>
  </w:style>
  <w:style w:type="paragraph" w:styleId="Index4">
    <w:name w:val="Index 4"/>
    <w:basedOn w:val="Normal"/>
    <w:next w:val="Normal"/>
    <w:qFormat/>
    <w:pPr>
      <w:spacing w:lineRule="auto" w:line="288"/>
      <w:ind w:firstLine="298" w:start="440" w:end="0"/>
    </w:pPr>
    <w:rPr/>
  </w:style>
  <w:style w:type="paragraph" w:styleId="Index5">
    <w:name w:val="Index 5"/>
    <w:basedOn w:val="Normal"/>
    <w:next w:val="Normal"/>
    <w:qFormat/>
    <w:pPr>
      <w:spacing w:lineRule="auto" w:line="288"/>
      <w:ind w:firstLine="298" w:start="600" w:end="0"/>
    </w:pPr>
    <w:rPr/>
  </w:style>
  <w:style w:type="paragraph" w:styleId="Index6">
    <w:name w:val="Index 6"/>
    <w:basedOn w:val="Normal"/>
    <w:next w:val="Normal"/>
    <w:qFormat/>
    <w:pPr>
      <w:spacing w:lineRule="auto" w:line="288"/>
      <w:ind w:firstLine="298" w:start="740" w:end="0"/>
    </w:pPr>
    <w:rPr/>
  </w:style>
  <w:style w:type="paragraph" w:styleId="Index7">
    <w:name w:val="Index 7"/>
    <w:basedOn w:val="Normal"/>
    <w:next w:val="Normal"/>
    <w:qFormat/>
    <w:pPr>
      <w:spacing w:lineRule="auto" w:line="288"/>
      <w:ind w:firstLine="298" w:start="900" w:end="0"/>
    </w:pPr>
    <w:rPr/>
  </w:style>
  <w:style w:type="paragraph" w:styleId="Index8">
    <w:name w:val="Index 8"/>
    <w:basedOn w:val="Normal"/>
    <w:next w:val="Normal"/>
    <w:qFormat/>
    <w:pPr>
      <w:spacing w:lineRule="auto" w:line="288"/>
      <w:ind w:firstLine="298" w:start="1040" w:end="0"/>
    </w:pPr>
    <w:rPr/>
  </w:style>
  <w:style w:type="paragraph" w:styleId="Index9">
    <w:name w:val="Index 9"/>
    <w:basedOn w:val="Normal"/>
    <w:next w:val="Normal"/>
    <w:qFormat/>
    <w:pPr>
      <w:spacing w:lineRule="auto" w:line="288"/>
      <w:ind w:firstLine="298" w:start="1200" w:end="0"/>
    </w:pPr>
    <w:rPr/>
  </w:style>
  <w:style w:type="paragraph" w:styleId="IndexHeading">
    <w:name w:val="index heading"/>
    <w:basedOn w:val="Normal"/>
    <w:next w:val="Index1"/>
    <w:pPr>
      <w:spacing w:lineRule="auto" w:line="288" w:before="0" w:after="290"/>
    </w:pPr>
    <w:rPr>
      <w:b/>
    </w:rPr>
  </w:style>
  <w:style w:type="paragraph" w:styleId="ListBullet2">
    <w:name w:val="List Bullet 2"/>
    <w:basedOn w:val="Normal"/>
    <w:pPr>
      <w:spacing w:lineRule="auto" w:line="288" w:before="0" w:after="290"/>
      <w:ind w:hanging="595" w:start="1191" w:end="0"/>
    </w:pPr>
    <w:rPr/>
  </w:style>
  <w:style w:type="paragraph" w:styleId="ListBullet3">
    <w:name w:val="List Bullet 3"/>
    <w:basedOn w:val="Normal"/>
    <w:pPr>
      <w:spacing w:lineRule="auto" w:line="288" w:before="0" w:after="290"/>
      <w:ind w:hanging="595" w:start="1786" w:end="0"/>
    </w:pPr>
    <w:rPr/>
  </w:style>
  <w:style w:type="paragraph" w:styleId="ListBullet4">
    <w:name w:val="List Bullet 4"/>
    <w:basedOn w:val="Normal"/>
    <w:pPr>
      <w:spacing w:lineRule="auto" w:line="288" w:before="0" w:after="290"/>
      <w:ind w:hanging="595" w:start="2381" w:end="0"/>
    </w:pPr>
    <w:rPr/>
  </w:style>
  <w:style w:type="paragraph" w:styleId="ListBullet5">
    <w:name w:val="List Bullet 5"/>
    <w:basedOn w:val="Normal"/>
    <w:pPr>
      <w:spacing w:lineRule="auto" w:line="288" w:before="0" w:after="290"/>
      <w:ind w:hanging="595" w:start="2976" w:end="0"/>
    </w:pPr>
    <w:rPr/>
  </w:style>
  <w:style w:type="paragraph" w:styleId="ListBullet">
    <w:name w:val="List Bullet"/>
    <w:basedOn w:val="Normal"/>
    <w:qFormat/>
    <w:pPr>
      <w:numPr>
        <w:ilvl w:val="0"/>
        <w:numId w:val="12"/>
      </w:numPr>
      <w:spacing w:lineRule="auto" w:line="288" w:before="0" w:after="290"/>
    </w:pPr>
    <w:rPr/>
  </w:style>
  <w:style w:type="paragraph" w:styleId="ListBullet21">
    <w:name w:val="List Bullet 21"/>
    <w:basedOn w:val="Normal"/>
    <w:qFormat/>
    <w:pPr>
      <w:numPr>
        <w:ilvl w:val="0"/>
        <w:numId w:val="12"/>
      </w:numPr>
      <w:spacing w:lineRule="auto" w:line="288" w:before="0" w:after="290"/>
    </w:pPr>
    <w:rPr/>
  </w:style>
  <w:style w:type="paragraph" w:styleId="ListBullet31">
    <w:name w:val="List Bullet 31"/>
    <w:basedOn w:val="Normal"/>
    <w:qFormat/>
    <w:pPr>
      <w:numPr>
        <w:ilvl w:val="0"/>
        <w:numId w:val="12"/>
      </w:numPr>
      <w:spacing w:lineRule="auto" w:line="288" w:before="0" w:after="290"/>
    </w:pPr>
    <w:rPr/>
  </w:style>
  <w:style w:type="paragraph" w:styleId="ListBullet41">
    <w:name w:val="List Bullet 41"/>
    <w:basedOn w:val="Normal"/>
    <w:qFormat/>
    <w:pPr>
      <w:numPr>
        <w:ilvl w:val="0"/>
        <w:numId w:val="12"/>
      </w:numPr>
      <w:spacing w:lineRule="auto" w:line="288" w:before="0" w:after="290"/>
    </w:pPr>
    <w:rPr/>
  </w:style>
  <w:style w:type="paragraph" w:styleId="ListBullet51">
    <w:name w:val="List Bullet 51"/>
    <w:basedOn w:val="Normal"/>
    <w:qFormat/>
    <w:pPr>
      <w:numPr>
        <w:ilvl w:val="0"/>
        <w:numId w:val="12"/>
      </w:numPr>
      <w:spacing w:lineRule="auto" w:line="288" w:before="0" w:after="290"/>
    </w:pPr>
    <w:rPr/>
  </w:style>
  <w:style w:type="paragraph" w:styleId="ListContinue">
    <w:name w:val="List Continue"/>
    <w:basedOn w:val="Normal"/>
    <w:qFormat/>
    <w:pPr>
      <w:spacing w:lineRule="auto" w:line="288" w:before="0" w:after="290"/>
      <w:ind w:hanging="0" w:start="595" w:end="0"/>
    </w:pPr>
    <w:rPr/>
  </w:style>
  <w:style w:type="paragraph" w:styleId="ListContinue2">
    <w:name w:val="List Continue 2"/>
    <w:basedOn w:val="Normal"/>
    <w:qFormat/>
    <w:pPr>
      <w:spacing w:lineRule="auto" w:line="288" w:before="0" w:after="290"/>
      <w:ind w:hanging="0" w:start="1191" w:end="0"/>
    </w:pPr>
    <w:rPr/>
  </w:style>
  <w:style w:type="paragraph" w:styleId="ListContinue3">
    <w:name w:val="List Continue 3"/>
    <w:basedOn w:val="Normal"/>
    <w:qFormat/>
    <w:pPr>
      <w:spacing w:lineRule="auto" w:line="288" w:before="0" w:after="290"/>
      <w:ind w:hanging="0" w:start="1786" w:end="0"/>
    </w:pPr>
    <w:rPr/>
  </w:style>
  <w:style w:type="paragraph" w:styleId="ListContinue4">
    <w:name w:val="List Continue 4"/>
    <w:basedOn w:val="Normal"/>
    <w:qFormat/>
    <w:pPr>
      <w:spacing w:lineRule="auto" w:line="288" w:before="0" w:after="290"/>
      <w:ind w:hanging="0" w:start="2381" w:end="0"/>
    </w:pPr>
    <w:rPr/>
  </w:style>
  <w:style w:type="paragraph" w:styleId="ListContinue5">
    <w:name w:val="List Continue 5"/>
    <w:basedOn w:val="Normal"/>
    <w:qFormat/>
    <w:pPr>
      <w:spacing w:lineRule="auto" w:line="288" w:before="0" w:after="290"/>
      <w:ind w:hanging="0" w:start="2976" w:end="0"/>
    </w:pPr>
    <w:rPr/>
  </w:style>
  <w:style w:type="paragraph" w:styleId="ListNumber">
    <w:name w:val="List Number"/>
    <w:basedOn w:val="Normal"/>
    <w:qFormat/>
    <w:pPr>
      <w:numPr>
        <w:ilvl w:val="0"/>
        <w:numId w:val="4"/>
      </w:numPr>
      <w:spacing w:lineRule="auto" w:line="288" w:before="0" w:after="290"/>
    </w:pPr>
    <w:rPr/>
  </w:style>
  <w:style w:type="paragraph" w:styleId="ListNumber2">
    <w:name w:val="List Number 2"/>
    <w:basedOn w:val="Normal"/>
    <w:qFormat/>
    <w:pPr>
      <w:numPr>
        <w:ilvl w:val="0"/>
        <w:numId w:val="4"/>
      </w:numPr>
      <w:spacing w:lineRule="auto" w:line="288" w:before="0" w:after="290"/>
    </w:pPr>
    <w:rPr/>
  </w:style>
  <w:style w:type="paragraph" w:styleId="ListNumber3">
    <w:name w:val="List Number 3"/>
    <w:basedOn w:val="Normal"/>
    <w:qFormat/>
    <w:pPr>
      <w:numPr>
        <w:ilvl w:val="0"/>
        <w:numId w:val="4"/>
      </w:numPr>
      <w:spacing w:lineRule="auto" w:line="288" w:before="0" w:after="290"/>
    </w:pPr>
    <w:rPr/>
  </w:style>
  <w:style w:type="paragraph" w:styleId="ListNumber4">
    <w:name w:val="List Number 4"/>
    <w:basedOn w:val="Normal"/>
    <w:qFormat/>
    <w:pPr>
      <w:numPr>
        <w:ilvl w:val="0"/>
        <w:numId w:val="4"/>
      </w:numPr>
      <w:spacing w:lineRule="auto" w:line="288" w:before="0" w:after="290"/>
    </w:pPr>
    <w:rPr/>
  </w:style>
  <w:style w:type="paragraph" w:styleId="ListNumber5">
    <w:name w:val="List Number 5"/>
    <w:basedOn w:val="Normal"/>
    <w:qFormat/>
    <w:pPr>
      <w:numPr>
        <w:ilvl w:val="0"/>
        <w:numId w:val="4"/>
      </w:numPr>
      <w:spacing w:lineRule="auto" w:line="288" w:before="0" w:after="290"/>
    </w:pPr>
    <w:rPr/>
  </w:style>
  <w:style w:type="paragraph" w:styleId="MacroText">
    <w:name w:val="Macro Text"/>
    <w:qFormat/>
    <w:pPr>
      <w:widowControl/>
      <w:tabs>
        <w:tab w:val="clear" w:pos="595"/>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auto" w:line="288" w:before="0" w:after="260"/>
    </w:pPr>
    <w:rPr>
      <w:rFonts w:ascii="Courier New" w:hAnsi="Courier New" w:eastAsia="Times New Roman" w:cs="Courier New"/>
      <w:color w:val="auto"/>
      <w:sz w:val="20"/>
      <w:szCs w:val="20"/>
      <w:lang w:val="en-GB"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spacing w:lineRule="auto" w:line="288" w:before="0" w:after="290"/>
      <w:ind w:hanging="1134" w:start="1134" w:end="0"/>
    </w:pPr>
    <w:rPr>
      <w:rFonts w:ascii="Arial" w:hAnsi="Arial" w:cs="Arial"/>
    </w:rPr>
  </w:style>
  <w:style w:type="paragraph" w:styleId="NormalIndent">
    <w:name w:val="Normal Indent"/>
    <w:basedOn w:val="Normal"/>
    <w:qFormat/>
    <w:pPr>
      <w:ind w:hanging="0" w:start="595"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rPr>
  </w:style>
  <w:style w:type="paragraph" w:styleId="Salutation">
    <w:name w:val="Salutation"/>
    <w:basedOn w:val="Normal"/>
    <w:next w:val="Normal"/>
    <w:qFormat/>
    <w:pPr/>
    <w:rPr/>
  </w:style>
  <w:style w:type="paragraph" w:styleId="Signature">
    <w:name w:val="Signature"/>
    <w:basedOn w:val="Normal"/>
    <w:pPr/>
    <w:rPr/>
  </w:style>
  <w:style w:type="paragraph" w:styleId="Subtitle">
    <w:name w:val="Subtitle"/>
    <w:basedOn w:val="Normal"/>
    <w:next w:val="Heading2"/>
    <w:qFormat/>
    <w:pPr>
      <w:keepNext w:val="true"/>
      <w:spacing w:lineRule="atLeast" w:line="370" w:before="0" w:after="839"/>
    </w:pPr>
    <w:rPr>
      <w:i/>
      <w:sz w:val="30"/>
    </w:rPr>
  </w:style>
  <w:style w:type="paragraph" w:styleId="TableText">
    <w:name w:val="Table Text"/>
    <w:basedOn w:val="Normal"/>
    <w:qFormat/>
    <w:pPr>
      <w:spacing w:before="120" w:after="170"/>
    </w:pPr>
    <w:rPr/>
  </w:style>
  <w:style w:type="paragraph" w:styleId="TableBullet">
    <w:name w:val="Table Bullet"/>
    <w:basedOn w:val="TableText"/>
    <w:qFormat/>
    <w:pPr>
      <w:numPr>
        <w:ilvl w:val="0"/>
        <w:numId w:val="2"/>
      </w:numPr>
      <w:tabs>
        <w:tab w:val="clear" w:pos="595"/>
        <w:tab w:val="left" w:pos="298" w:leader="none"/>
      </w:tabs>
    </w:pPr>
    <w:rPr/>
  </w:style>
  <w:style w:type="paragraph" w:styleId="TableColumnHeader">
    <w:name w:val="Table Column Header"/>
    <w:basedOn w:val="TableText"/>
    <w:qFormat/>
    <w:pPr/>
    <w:rPr>
      <w:b/>
    </w:rPr>
  </w:style>
  <w:style w:type="paragraph" w:styleId="TableFigure">
    <w:name w:val="Table Figure"/>
    <w:basedOn w:val="TableText"/>
    <w:next w:val="TableText"/>
    <w:qFormat/>
    <w:pPr>
      <w:tabs>
        <w:tab w:val="decimal" w:pos="595" w:leader="none"/>
      </w:tabs>
    </w:pPr>
    <w:rPr/>
  </w:style>
  <w:style w:type="paragraph" w:styleId="TableFigure2">
    <w:name w:val="Table Figure 2"/>
    <w:basedOn w:val="TableFigure"/>
    <w:next w:val="TableText"/>
    <w:qFormat/>
    <w:pPr/>
    <w:rPr>
      <w:b/>
    </w:rPr>
  </w:style>
  <w:style w:type="paragraph" w:styleId="TableListNumber">
    <w:name w:val="Table List Number"/>
    <w:basedOn w:val="TableText"/>
    <w:qFormat/>
    <w:pPr>
      <w:numPr>
        <w:ilvl w:val="0"/>
        <w:numId w:val="8"/>
      </w:numPr>
      <w:tabs>
        <w:tab w:val="clear" w:pos="595"/>
        <w:tab w:val="left" w:pos="298" w:leader="none"/>
      </w:tabs>
    </w:pPr>
    <w:rPr/>
  </w:style>
  <w:style w:type="paragraph" w:styleId="TableofAuthorities">
    <w:name w:val="Table of Authorities"/>
    <w:basedOn w:val="Normal"/>
    <w:next w:val="Normal"/>
    <w:qFormat/>
    <w:pPr>
      <w:ind w:hanging="200" w:start="595" w:end="0"/>
    </w:pPr>
    <w:rPr/>
  </w:style>
  <w:style w:type="paragraph" w:styleId="TableofFigures">
    <w:name w:val="Table of Figures"/>
    <w:basedOn w:val="Normal"/>
    <w:next w:val="Normal"/>
    <w:qFormat/>
    <w:pPr>
      <w:ind w:hanging="400" w:start="595" w:end="0"/>
    </w:pPr>
    <w:rPr/>
  </w:style>
  <w:style w:type="paragraph" w:styleId="TableRowHeader">
    <w:name w:val="Table Row Header"/>
    <w:basedOn w:val="TableText"/>
    <w:qFormat/>
    <w:pPr/>
    <w:rPr/>
  </w:style>
  <w:style w:type="paragraph" w:styleId="TableSubTotal">
    <w:name w:val="Table SubTotal"/>
    <w:basedOn w:val="TableFigure"/>
    <w:next w:val="TableText"/>
    <w:qFormat/>
    <w:pPr>
      <w:pBdr>
        <w:top w:val="single" w:sz="2" w:space="2" w:color="000000"/>
      </w:pBdr>
    </w:pPr>
    <w:rPr/>
  </w:style>
  <w:style w:type="paragraph" w:styleId="TableSubtotal2">
    <w:name w:val="Table Subtotal 2"/>
    <w:basedOn w:val="TableSubTotal"/>
    <w:next w:val="TableText"/>
    <w:qFormat/>
    <w:pPr/>
    <w:rPr>
      <w:b/>
    </w:rPr>
  </w:style>
  <w:style w:type="paragraph" w:styleId="TableTotal">
    <w:name w:val="Table Total"/>
    <w:basedOn w:val="TableFigure"/>
    <w:next w:val="TableText"/>
    <w:qFormat/>
    <w:pPr>
      <w:pBdr>
        <w:top w:val="single" w:sz="2" w:space="2" w:color="000000"/>
        <w:bottom w:val="single" w:sz="12" w:space="2" w:color="000000"/>
      </w:pBdr>
    </w:pPr>
    <w:rPr/>
  </w:style>
  <w:style w:type="paragraph" w:styleId="TableTotal2">
    <w:name w:val="Table Total 2"/>
    <w:basedOn w:val="TableTotal"/>
    <w:next w:val="TableText"/>
    <w:qFormat/>
    <w:pPr/>
    <w:rPr>
      <w:b/>
    </w:rPr>
  </w:style>
  <w:style w:type="paragraph" w:styleId="TOAHeading">
    <w:name w:val="TOA Heading"/>
    <w:basedOn w:val="Normal"/>
    <w:next w:val="Normal"/>
    <w:qFormat/>
    <w:pPr>
      <w:spacing w:before="120" w:after="290"/>
    </w:pPr>
    <w:rPr>
      <w:b/>
    </w:rPr>
  </w:style>
  <w:style w:type="paragraph" w:styleId="TOC1">
    <w:name w:val="toc 1"/>
    <w:basedOn w:val="Normal"/>
    <w:next w:val="Normal"/>
    <w:pPr>
      <w:spacing w:before="0" w:after="0"/>
    </w:pPr>
    <w:rPr/>
  </w:style>
  <w:style w:type="paragraph" w:styleId="TOC2">
    <w:name w:val="toc 2"/>
    <w:basedOn w:val="Normal"/>
    <w:next w:val="Normal"/>
    <w:pPr>
      <w:spacing w:before="0" w:after="0"/>
      <w:ind w:hanging="0" w:start="200" w:end="0"/>
    </w:pPr>
    <w:rPr/>
  </w:style>
  <w:style w:type="paragraph" w:styleId="TOC3">
    <w:name w:val="toc 3"/>
    <w:basedOn w:val="Normal"/>
    <w:next w:val="Normal"/>
    <w:pPr>
      <w:spacing w:before="0" w:after="0"/>
      <w:ind w:hanging="0" w:start="400" w:end="0"/>
    </w:pPr>
    <w:rPr/>
  </w:style>
  <w:style w:type="paragraph" w:styleId="TOC4">
    <w:name w:val="toc 4"/>
    <w:basedOn w:val="Normal"/>
    <w:next w:val="Normal"/>
    <w:pPr>
      <w:spacing w:before="0" w:after="0"/>
      <w:ind w:hanging="0" w:start="600" w:end="0"/>
    </w:pPr>
    <w:rPr/>
  </w:style>
  <w:style w:type="paragraph" w:styleId="TOC5">
    <w:name w:val="toc 5"/>
    <w:basedOn w:val="Normal"/>
    <w:next w:val="Normal"/>
    <w:pPr>
      <w:spacing w:before="0" w:after="0"/>
      <w:ind w:hanging="0" w:start="800" w:end="0"/>
    </w:pPr>
    <w:rPr/>
  </w:style>
  <w:style w:type="paragraph" w:styleId="TOC6">
    <w:name w:val="toc 6"/>
    <w:basedOn w:val="Normal"/>
    <w:next w:val="Normal"/>
    <w:pPr>
      <w:spacing w:before="0" w:after="0"/>
      <w:ind w:hanging="0" w:start="1000" w:end="0"/>
    </w:pPr>
    <w:rPr/>
  </w:style>
  <w:style w:type="paragraph" w:styleId="TOC7">
    <w:name w:val="toc 7"/>
    <w:basedOn w:val="Normal"/>
    <w:next w:val="Normal"/>
    <w:pPr>
      <w:spacing w:before="0" w:after="0"/>
      <w:ind w:hanging="0" w:start="1200" w:end="0"/>
    </w:pPr>
    <w:rPr/>
  </w:style>
  <w:style w:type="paragraph" w:styleId="TOC8">
    <w:name w:val="toc 8"/>
    <w:basedOn w:val="Normal"/>
    <w:next w:val="Normal"/>
    <w:pPr>
      <w:spacing w:before="0" w:after="0"/>
      <w:ind w:hanging="0" w:start="1400" w:end="0"/>
    </w:pPr>
    <w:rPr/>
  </w:style>
  <w:style w:type="paragraph" w:styleId="TOC9">
    <w:name w:val="toc 9"/>
    <w:basedOn w:val="Normal"/>
    <w:next w:val="Normal"/>
    <w:pPr>
      <w:spacing w:before="0" w:after="0"/>
      <w:ind w:hanging="0" w:start="160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PwC_Memo</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2002-02-12T21:30:00Z</dcterms:created>
  <dc:creator>Timothy Vincent Bowler</dc:creator>
  <dc:description/>
  <dc:language>en-CA</dc:language>
  <cp:lastModifiedBy>Tim Bowler</cp:lastModifiedBy>
  <cp:lastPrinted>2002-02-12T16:55:00Z</cp:lastPrinted>
  <dcterms:modified xsi:type="dcterms:W3CDTF">2002-02-13T01:54:00Z</dcterms:modified>
  <cp:revision>7</cp:revision>
  <dc:subject>  </dc:subject>
  <dc:title>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alogName">
    <vt:lpwstr>frmMemo</vt:lpwstr>
  </property>
  <property fmtid="{D5CDD505-2E9C-101B-9397-08002B2CF9AE}" pid="3" name="TemplateID">
    <vt:lpwstr>PWC_MEMO</vt:lpwstr>
  </property>
</Properties>
</file>