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18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 xml:space="preserve">Vlady Gorny </w:t>
            </w:r>
          </w:p>
          <w:p>
            <w:pPr>
              <w:pStyle w:val="To"/>
              <w:widowControl/>
              <w:rPr>
                <w:rFonts w:ascii="Times New Roman" w:hAnsi="Times New Roman" w:cs="Times New Roman"/>
              </w:rPr>
            </w:pPr>
            <w:r>
              <w:rPr>
                <w:rFonts w:cs="Times New Roman" w:ascii="Times New Roman" w:hAnsi="Times New Roman"/>
              </w:rPr>
              <w:t>John Lavorato</w:t>
            </w:r>
          </w:p>
          <w:p>
            <w:pPr>
              <w:pStyle w:val="To"/>
              <w:widowControl/>
              <w:rPr>
                <w:rFonts w:ascii="Times New Roman" w:hAnsi="Times New Roman" w:cs="Times New Roman"/>
              </w:rPr>
            </w:pPr>
            <w:r>
              <w:rPr>
                <w:rFonts w:cs="Times New Roman" w:ascii="Times New Roman" w:hAnsi="Times New Roman"/>
              </w:rPr>
              <w:t>Kevin Presto</w:t>
            </w:r>
          </w:p>
          <w:p>
            <w:pPr>
              <w:pStyle w:val="To"/>
              <w:widowControl/>
              <w:rPr>
                <w:rFonts w:ascii="Times New Roman" w:hAnsi="Times New Roman" w:cs="Times New Roman"/>
              </w:rPr>
            </w:pPr>
            <w:r>
              <w:rPr>
                <w:rFonts w:cs="Times New Roman" w:ascii="Times New Roman" w:hAnsi="Times New Roman"/>
              </w:rPr>
              <w:t>Leslie Reeves</w:t>
            </w:r>
          </w:p>
          <w:p>
            <w:pPr>
              <w:pStyle w:val="To"/>
              <w:widowControl/>
              <w:rPr>
                <w:rFonts w:ascii="Times New Roman" w:hAnsi="Times New Roman" w:cs="Times New Roman"/>
              </w:rPr>
            </w:pPr>
            <w:r>
              <w:rPr>
                <w:rFonts w:cs="Times New Roman" w:ascii="Times New Roman" w:hAnsi="Times New Roman"/>
              </w:rPr>
              <w:t>Stacey White</w:t>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t>e</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0"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00" w:hRule="exact"/>
        </w:trPr>
        <w:tc>
          <w:tcPr>
            <w:tcW w:w="708" w:type="dxa"/>
            <w:tcBorders/>
          </w:tcPr>
          <w:p>
            <w:pPr>
              <w:pStyle w:val="Normal"/>
              <w:widowControl/>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Jennifer Nguyen</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Global Risk Analytics</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585"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March 2001 Power Curve Validation</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sz w:val="16"/>
        </w:rPr>
      </w:pPr>
      <w:r>
        <w:rPr>
          <w:rFonts w:cs="Times New Roman" w:ascii="Times New Roman" w:hAnsi="Times New Roman"/>
          <w:sz w:val="16"/>
        </w:rPr>
      </w:r>
      <w:bookmarkStart w:id="1" w:name="StartOfMemo"/>
      <w:bookmarkStart w:id="2" w:name="StartOfMemo"/>
      <w:bookmarkEnd w:id="2"/>
    </w:p>
    <w:p>
      <w:pPr>
        <w:pStyle w:val="Department"/>
        <w:widowControl/>
        <w:rPr>
          <w:rFonts w:ascii="Times New Roman" w:hAnsi="Times New Roman" w:cs="Times New Roman"/>
          <w:sz w:val="16"/>
        </w:rPr>
      </w:pPr>
      <w:r>
        <w:rPr>
          <w:rFonts w:cs="Times New Roman" w:ascii="Times New Roman" w:hAnsi="Times New Roman"/>
          <w:sz w:val="16"/>
        </w:rPr>
      </w:r>
    </w:p>
    <w:p>
      <w:pPr>
        <w:pStyle w:val="Department"/>
        <w:widowControl/>
        <w:rPr>
          <w:rFonts w:ascii="Times New Roman" w:hAnsi="Times New Roman" w:cs="Times New Roman"/>
        </w:rPr>
      </w:pPr>
      <w:r>
        <w:rPr>
          <w:rFonts w:cs="Times New Roman" w:ascii="Times New Roman" w:hAnsi="Times New Roman"/>
        </w:rPr>
        <w:t xml:space="preserve">This memo documents the review of power price curves in use on March 30, 2001. </w:t>
        <w:br/>
      </w:r>
    </w:p>
    <w:p>
      <w:pPr>
        <w:pStyle w:val="Department"/>
        <w:widowControl/>
        <w:rPr>
          <w:rFonts w:ascii="Times New Roman" w:hAnsi="Times New Roman" w:cs="Times New Roman"/>
          <w:sz w:val="16"/>
        </w:rPr>
      </w:pPr>
      <w:r>
        <w:rPr>
          <w:rFonts w:cs="Times New Roman" w:ascii="Times New Roman" w:hAnsi="Times New Roman"/>
          <w:sz w:val="16"/>
        </w:rPr>
      </w:r>
    </w:p>
    <w:p>
      <w:pPr>
        <w:pStyle w:val="Department"/>
        <w:widowControl/>
        <w:numPr>
          <w:ilvl w:val="0"/>
          <w:numId w:val="3"/>
        </w:numPr>
        <w:rPr>
          <w:rFonts w:ascii="Times New Roman" w:hAnsi="Times New Roman" w:cs="Times New Roman"/>
          <w:b/>
          <w:sz w:val="16"/>
        </w:rPr>
      </w:pPr>
      <w:r>
        <w:rPr>
          <w:rFonts w:cs="Times New Roman" w:ascii="Times New Roman" w:hAnsi="Times New Roman"/>
          <w:b/>
        </w:rPr>
        <w:t>Scope &amp; Methodology</w:t>
      </w:r>
      <w:r>
        <w:rPr>
          <w:rFonts w:cs="Times New Roman" w:ascii="Times New Roman" w:hAnsi="Times New Roman"/>
        </w:rPr>
        <w:br/>
        <w:br/>
        <w:t xml:space="preserve">The March 2001 curve review included validation of 5 power curves.  </w:t>
      </w:r>
      <w:bookmarkStart w:id="3" w:name="OLE_LINK1"/>
      <w:r>
        <w:rPr>
          <w:rFonts w:cs="Times New Roman" w:ascii="Times New Roman" w:hAnsi="Times New Roman"/>
        </w:rPr>
        <w:t>Our monthly processes consist of selecting a sample of a commodity’s total curves and reviewing them in several ways.  First, we will generate graphs that plot the curve amounts for a selected date, usually the last day of the month.  We will then compare that graph to a graph of the same curve for the last day of the prior month.  We will look for consistency in terms of seasonality and slope.  If we see anything unusual, we will attempt to get an explanation from the trader.  Next, we will compare the curve to new deals transacted on or around the selected date.  This will show how accurately the traders are marking the curve. We also check the curves against third-party quotes such as Amerex and APB, when available.</w:t>
      </w:r>
      <w:bookmarkEnd w:id="3"/>
    </w:p>
    <w:p>
      <w:pPr>
        <w:pStyle w:val="Department"/>
        <w:widowControl/>
        <w:rPr>
          <w:rFonts w:ascii="Times New Roman" w:hAnsi="Times New Roman" w:cs="Times New Roman"/>
          <w:b/>
          <w:sz w:val="16"/>
        </w:rPr>
      </w:pPr>
      <w:r>
        <w:rPr>
          <w:rFonts w:cs="Times New Roman" w:ascii="Times New Roman" w:hAnsi="Times New Roman"/>
          <w:b/>
          <w:sz w:val="16"/>
        </w:rPr>
      </w:r>
    </w:p>
    <w:p>
      <w:pPr>
        <w:pStyle w:val="Department"/>
        <w:widowControl/>
        <w:numPr>
          <w:ilvl w:val="0"/>
          <w:numId w:val="2"/>
        </w:numPr>
        <w:rPr>
          <w:rFonts w:ascii="Times New Roman" w:hAnsi="Times New Roman" w:cs="Times New Roman"/>
          <w:b/>
        </w:rPr>
      </w:pPr>
      <w:r>
        <w:rPr>
          <w:rFonts w:cs="Times New Roman" w:ascii="Times New Roman" w:hAnsi="Times New Roman"/>
          <w:b/>
        </w:rPr>
        <w:t>Analysis</w:t>
      </w:r>
    </w:p>
    <w:p>
      <w:pPr>
        <w:pStyle w:val="Department"/>
        <w:widowControl/>
        <w:rPr>
          <w:rFonts w:ascii="Times New Roman" w:hAnsi="Times New Roman" w:cs="Times New Roman"/>
          <w:b/>
          <w:sz w:val="16"/>
        </w:rPr>
      </w:pPr>
      <w:r>
        <w:rPr>
          <w:rFonts w:cs="Times New Roman" w:ascii="Times New Roman" w:hAnsi="Times New Roman"/>
          <w:b/>
          <w:sz w:val="16"/>
        </w:rPr>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color w:val="000000"/>
        </w:rPr>
        <w:t>ERCOT</w:t>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color w:val="000000"/>
        </w:rPr>
        <w:t>ENTERGY</w:t>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color w:val="000000"/>
        </w:rPr>
        <w:t xml:space="preserve">PALO VERDE  </w:t>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rPr>
        <w:t xml:space="preserve">COB   </w:t>
      </w:r>
    </w:p>
    <w:p>
      <w:pPr>
        <w:pStyle w:val="Department"/>
        <w:widowControl/>
        <w:numPr>
          <w:ilvl w:val="0"/>
          <w:numId w:val="4"/>
        </w:numPr>
        <w:ind w:hanging="360" w:start="720" w:end="0"/>
        <w:rPr>
          <w:rFonts w:ascii="Times New Roman" w:hAnsi="Times New Roman" w:cs="Times New Roman"/>
        </w:rPr>
      </w:pPr>
      <w:r>
        <w:rPr>
          <w:rFonts w:cs="Times New Roman" w:ascii="Times New Roman" w:hAnsi="Times New Roman"/>
        </w:rPr>
        <w:t>MID C</w:t>
      </w:r>
    </w:p>
    <w:p>
      <w:pPr>
        <w:pStyle w:val="Department"/>
        <w:widowControl/>
        <w:rPr>
          <w:rFonts w:ascii="Times New Roman" w:hAnsi="Times New Roman" w:cs="Times New Roman"/>
        </w:rPr>
      </w:pPr>
      <w:r>
        <w:rPr>
          <w:rFonts w:cs="Times New Roman" w:ascii="Times New Roman" w:hAnsi="Times New Roman"/>
        </w:rPr>
      </w:r>
    </w:p>
    <w:p>
      <w:pPr>
        <w:pStyle w:val="Department"/>
        <w:widowControl/>
        <w:numPr>
          <w:ilvl w:val="0"/>
          <w:numId w:val="2"/>
        </w:numPr>
        <w:rPr>
          <w:rFonts w:ascii="Times New Roman" w:hAnsi="Times New Roman" w:cs="Times New Roman"/>
          <w:b/>
        </w:rPr>
      </w:pPr>
      <w:r>
        <w:rPr>
          <w:rFonts w:cs="Times New Roman" w:ascii="Times New Roman" w:hAnsi="Times New Roman"/>
          <w:b/>
        </w:rPr>
        <w:t>Notes</w:t>
      </w:r>
    </w:p>
    <w:p>
      <w:pPr>
        <w:pStyle w:val="Department"/>
        <w:widowControl/>
        <w:ind w:start="360" w:end="0"/>
        <w:rPr>
          <w:rFonts w:ascii="Times New Roman" w:hAnsi="Times New Roman" w:cs="Times New Roman"/>
          <w:b/>
        </w:rPr>
      </w:pPr>
      <w:r>
        <w:rPr>
          <w:rFonts w:cs="Times New Roman" w:ascii="Times New Roman" w:hAnsi="Times New Roman"/>
          <w:b/>
        </w:rPr>
      </w:r>
    </w:p>
    <w:p>
      <w:pPr>
        <w:pStyle w:val="Department"/>
        <w:widowControl/>
        <w:ind w:start="360" w:end="0"/>
        <w:rPr>
          <w:rFonts w:ascii="Times New Roman" w:hAnsi="Times New Roman" w:cs="Times New Roman"/>
        </w:rPr>
      </w:pPr>
      <w:r>
        <w:rPr>
          <w:rFonts w:cs="Times New Roman" w:ascii="Times New Roman" w:hAnsi="Times New Roman"/>
        </w:rPr>
        <w:t xml:space="preserve">PALO VERDE, COB, MID C – Aside from the obvious major effects of the California Power crisis on volatility in the West, the sharp price increases in the front months of these curves can be attributed to a few other factors.  First, the Hydro projected forecast for the Northwest at the end of February was at 67% of normal, while March was actually dry at 55% of normal; hence, there was a large loss in power production that resulted in higher prices.  Second, utilities like Nevada Power and Sierra Pacific were buying heavily in the month of March.  Last, daily prices at the end of February were weaker due to warmer-than-usual weather.  This factor also contributes to making the price discrepancy between February and March seem large in these particular markets.   </w:t>
      </w:r>
    </w:p>
    <w:p>
      <w:pPr>
        <w:pStyle w:val="Department"/>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b/>
        </w:rPr>
      </w:pPr>
      <w:r>
        <w:rPr>
          <w:rFonts w:cs="Times New Roman" w:ascii="Times New Roman" w:hAnsi="Times New Roman"/>
          <w:b/>
        </w:rPr>
        <w:t>4.    Summary</w:t>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360" w:end="0"/>
        <w:jc w:val="both"/>
        <w:rPr>
          <w:rFonts w:ascii="Times New Roman" w:hAnsi="Times New Roman" w:cs="Times New Roman"/>
        </w:rPr>
      </w:pPr>
      <w:r>
        <w:rPr>
          <w:rFonts w:cs="Times New Roman" w:ascii="Times New Roman" w:hAnsi="Times New Roman"/>
        </w:rPr>
        <w:t xml:space="preserve">Based upon the information we obtained during our review, we conclude that, in aggregate, the price curves appear to be </w:t>
        <w:br/>
        <w:t xml:space="preserve">reasonable.  We welcome ideas to continuously improve the curve-validation process and suggestions for additional curves to validate each month.   </w:t>
      </w:r>
    </w:p>
    <w:p>
      <w:pPr>
        <w:pStyle w:val="Department"/>
        <w:widowControl/>
        <w:tabs>
          <w:tab w:val="left" w:pos="720" w:leader="none"/>
        </w:tabs>
        <w:ind w:start="360" w:end="0"/>
        <w:jc w:val="both"/>
        <w:rPr>
          <w:rFonts w:ascii="Times New Roman" w:hAnsi="Times New Roman" w:cs="Times New Roman"/>
          <w:sz w:val="16"/>
        </w:rPr>
      </w:pPr>
      <w:r>
        <w:rPr>
          <w:rFonts w:cs="Times New Roman" w:ascii="Times New Roman" w:hAnsi="Times New Roman"/>
          <w:sz w:val="16"/>
        </w:rPr>
      </w:r>
    </w:p>
    <w:p>
      <w:pPr>
        <w:pStyle w:val="Department"/>
        <w:widowControl/>
        <w:tabs>
          <w:tab w:val="left" w:pos="720" w:leader="none"/>
        </w:tabs>
        <w:ind w:start="360" w:end="0"/>
        <w:jc w:val="both"/>
        <w:rPr>
          <w:rFonts w:ascii="Times New Roman" w:hAnsi="Times New Roman" w:cs="Times New Roman"/>
          <w:sz w:val="16"/>
        </w:rPr>
      </w:pPr>
      <w:r>
        <w:rPr>
          <w:rFonts w:cs="Times New Roman" w:ascii="Times New Roman" w:hAnsi="Times New Roman"/>
          <w:sz w:val="16"/>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ind w:start="360" w:end="0"/>
        <w:rPr>
          <w:rFonts w:ascii="Times New Roman" w:hAnsi="Times New Roman" w:cs="Times New Roman"/>
          <w:b/>
        </w:rPr>
      </w:pPr>
      <w:r>
        <w:rPr>
          <w:rFonts w:cs="Times New Roman" w:ascii="Times New Roman" w:hAnsi="Times New Roman"/>
          <w:b/>
        </w:rPr>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ind w:start="360" w:end="0"/>
        <w:rPr>
          <w:rFonts w:ascii="Times New Roman" w:hAnsi="Times New Roman" w:cs="Times New Roman"/>
        </w:rPr>
      </w:pPr>
      <w:r>
        <w:rPr>
          <w:rFonts w:cs="Times New Roman" w:ascii="Times New Roman" w:hAnsi="Times New Roman"/>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tab/>
      <w:tab/>
      <w:t xml:space="preserve">           </w:t>
    </w: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288" w:hanging="288"/>
      </w:pPr>
      <w:rPr>
        <w:i w:val="false"/>
        <w:b/>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b/>
      <w:i w:val="false"/>
    </w:rPr>
  </w:style>
  <w:style w:type="character" w:styleId="WW8Num17z0">
    <w:name w:val="WW8Num17z0"/>
    <w:qFormat/>
    <w:rPr/>
  </w:style>
  <w:style w:type="character" w:styleId="WW8Num18z0">
    <w:name w:val="WW8Num18z0"/>
    <w:qFormat/>
    <w:rPr>
      <w:rFonts w:ascii="Wingdings" w:hAnsi="Wingdings" w:cs="Wingdings"/>
    </w:rPr>
  </w:style>
  <w:style w:type="character" w:styleId="WW8Num20z0">
    <w:name w:val="WW8Num20z0"/>
    <w:qFormat/>
    <w:rPr>
      <w:rFonts w:ascii="Wingdings" w:hAnsi="Wingdings" w:cs="Wingdings"/>
      <w:sz w:val="16"/>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9z0">
    <w:name w:val="WW8Num29z0"/>
    <w:qFormat/>
    <w:rPr>
      <w:b/>
      <w:i w:val="false"/>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sz w:val="16"/>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1435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2001-04-17T18:32:00Z</dcterms:created>
  <dc:creator>appinst</dc:creator>
  <dc:description/>
  <dc:language>en-CA</dc:language>
  <cp:lastModifiedBy>jnguyen7</cp:lastModifiedBy>
  <cp:lastPrinted>2001-03-08T16:39:00Z</cp:lastPrinted>
  <dcterms:modified xsi:type="dcterms:W3CDTF">2001-04-24T20:15:00Z</dcterms:modified>
  <cp:revision>4</cp:revision>
  <dc:subject/>
  <dc:title>Eron Capital &amp; Trade Resources Memo</dc:title>
</cp:coreProperties>
</file>