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0330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197"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 xml:space="preserve">Vlady Gorny </w:t>
            </w:r>
          </w:p>
          <w:p>
            <w:pPr>
              <w:pStyle w:val="To"/>
              <w:widowControl/>
              <w:rPr>
                <w:rFonts w:ascii="Times New Roman" w:hAnsi="Times New Roman" w:cs="Times New Roman"/>
              </w:rPr>
            </w:pPr>
            <w:r>
              <w:rPr>
                <w:rFonts w:cs="Times New Roman" w:ascii="Times New Roman" w:hAnsi="Times New Roman"/>
              </w:rPr>
              <w:t>Jeff Gossett</w:t>
            </w:r>
          </w:p>
          <w:p>
            <w:pPr>
              <w:pStyle w:val="To"/>
              <w:widowControl/>
              <w:rPr>
                <w:rFonts w:ascii="Times New Roman" w:hAnsi="Times New Roman" w:cs="Times New Roman"/>
              </w:rPr>
            </w:pPr>
            <w:r>
              <w:rPr>
                <w:rFonts w:cs="Times New Roman" w:ascii="Times New Roman" w:hAnsi="Times New Roman"/>
              </w:rPr>
              <w:t>Bob Hall</w:t>
            </w:r>
          </w:p>
          <w:p>
            <w:pPr>
              <w:pStyle w:val="To"/>
              <w:widowControl/>
              <w:rPr>
                <w:rFonts w:ascii="Times New Roman" w:hAnsi="Times New Roman" w:cs="Times New Roman"/>
              </w:rPr>
            </w:pPr>
            <w:r>
              <w:rPr>
                <w:rFonts w:cs="Times New Roman" w:ascii="Times New Roman" w:hAnsi="Times New Roman"/>
              </w:rPr>
              <w:t>John Lavorato</w:t>
            </w:r>
          </w:p>
          <w:p>
            <w:pPr>
              <w:pStyle w:val="To"/>
              <w:widowControl/>
              <w:rPr>
                <w:rFonts w:ascii="Times New Roman" w:hAnsi="Times New Roman" w:cs="Times New Roman"/>
              </w:rPr>
            </w:pPr>
            <w:r>
              <w:rPr>
                <w:rFonts w:cs="Times New Roman" w:ascii="Times New Roman" w:hAnsi="Times New Roman"/>
              </w:rPr>
              <w:t>Leslie Reeves</w:t>
            </w:r>
          </w:p>
          <w:p>
            <w:pPr>
              <w:pStyle w:val="To"/>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450"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Jennifer Nguyen</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Global Risk Analytics</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April 2001 Curve Validation</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
        <w:widowControl/>
        <w:rPr>
          <w:rFonts w:ascii="Times New Roman" w:hAnsi="Times New Roman" w:cs="Times New Roman"/>
        </w:rPr>
      </w:pPr>
      <w:r>
        <w:rPr>
          <w:rFonts w:cs="Times New Roman" w:ascii="Times New Roman" w:hAnsi="Times New Roman"/>
        </w:rPr>
      </w:r>
    </w:p>
    <w:p>
      <w:pPr>
        <w:pStyle w:val="Department"/>
        <w:widowControl/>
        <w:rPr>
          <w:rFonts w:ascii="Times New Roman" w:hAnsi="Times New Roman" w:cs="Times New Roman"/>
        </w:rPr>
      </w:pPr>
      <w:r>
        <w:rPr>
          <w:rFonts w:cs="Times New Roman" w:ascii="Times New Roman" w:hAnsi="Times New Roman"/>
        </w:rPr>
        <w:t xml:space="preserve">This memo documents the review of gas curves in use on April 30, 2001. </w:t>
        <w:br/>
      </w:r>
    </w:p>
    <w:p>
      <w:pPr>
        <w:pStyle w:val="Department"/>
        <w:widowControl/>
        <w:numPr>
          <w:ilvl w:val="0"/>
          <w:numId w:val="5"/>
        </w:numPr>
        <w:rPr>
          <w:rFonts w:ascii="Times New Roman" w:hAnsi="Times New Roman" w:cs="Times New Roman"/>
        </w:rPr>
      </w:pPr>
      <w:r>
        <w:rPr>
          <w:rFonts w:cs="Times New Roman" w:ascii="Times New Roman" w:hAnsi="Times New Roman"/>
          <w:b/>
        </w:rPr>
        <w:t>Scope &amp; Methodology</w:t>
      </w:r>
      <w:r>
        <w:rPr>
          <w:rFonts w:cs="Times New Roman" w:ascii="Times New Roman" w:hAnsi="Times New Roman"/>
        </w:rPr>
        <w:br/>
        <w:br/>
        <w:t>The April 2001 curve review included validation of 10 gas curves.  Our monthly process begins by selecting a sample of the total curves using a P/L sensitivity analysis and choosing curves randomly.  We then generate graphs that plot the curve amounts and positions for a selected date, usually the last day of the month.  We compare that graph to a graph of the same curve for the last day of the prior month.  We look for consistency in terms of seasonality and slope.  If we see anything unusual, we obtain an explanation from the trader.  We also check the curves against third-party quotes such as APB and Amerex, when available.</w:t>
      </w:r>
    </w:p>
    <w:p>
      <w:pPr>
        <w:pStyle w:val="Department"/>
        <w:widowControl/>
        <w:tabs>
          <w:tab w:val="left" w:pos="720" w:leader="none"/>
        </w:tabs>
        <w:ind w:start="720" w:end="0"/>
        <w:rPr>
          <w:rFonts w:ascii="Times New Roman" w:hAnsi="Times New Roman" w:cs="Times New Roman"/>
        </w:rPr>
      </w:pPr>
      <w:r>
        <w:rPr>
          <w:rFonts w:cs="Times New Roman" w:ascii="Times New Roman" w:hAnsi="Times New Roman"/>
        </w:rPr>
      </w:r>
    </w:p>
    <w:p>
      <w:pPr>
        <w:pStyle w:val="Department"/>
        <w:widowControl/>
        <w:numPr>
          <w:ilvl w:val="0"/>
          <w:numId w:val="4"/>
        </w:numPr>
        <w:tabs>
          <w:tab w:val="left" w:pos="720" w:leader="none"/>
        </w:tabs>
        <w:rPr>
          <w:rFonts w:ascii="Times New Roman" w:hAnsi="Times New Roman" w:cs="Times New Roman"/>
          <w:b/>
        </w:rPr>
      </w:pPr>
      <w:r>
        <w:rPr>
          <w:rFonts w:cs="Times New Roman" w:ascii="Times New Roman" w:hAnsi="Times New Roman"/>
          <w:b/>
        </w:rPr>
        <w:t>Curves</w:t>
      </w:r>
    </w:p>
    <w:p>
      <w:pPr>
        <w:pStyle w:val="Department"/>
        <w:widowControl/>
        <w:tabs>
          <w:tab w:val="left" w:pos="720" w:leader="none"/>
        </w:tabs>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360" w:end="0"/>
        <w:rPr>
          <w:rFonts w:ascii="Times New Roman" w:hAnsi="Times New Roman" w:cs="Times New Roman"/>
        </w:rPr>
      </w:pPr>
      <w:r>
        <w:rPr>
          <w:rFonts w:cs="Times New Roman" w:ascii="Times New Roman" w:hAnsi="Times New Roman"/>
        </w:rPr>
        <w:t>The following curves were evaluated for the month of April 30, 2001:</w:t>
      </w:r>
    </w:p>
    <w:p>
      <w:pPr>
        <w:pStyle w:val="Department"/>
        <w:widowControl/>
        <w:tabs>
          <w:tab w:val="left" w:pos="720" w:leader="none"/>
        </w:tabs>
        <w:ind w:start="450" w:end="0"/>
        <w:rPr>
          <w:rFonts w:ascii="Times New Roman" w:hAnsi="Times New Roman" w:cs="Times New Roman"/>
        </w:rPr>
      </w:pPr>
      <w:r>
        <w:rPr>
          <w:rFonts w:cs="Times New Roman" w:ascii="Times New Roman" w:hAnsi="Times New Roman"/>
        </w:rPr>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MICH_CG-GD</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CONSUMERS_CDA</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IF-TETCO ELA</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IF-ELPO PERMIAN</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IF-FGT Z2</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CGPR-CHIP-TRANS</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IF-HPL SHPCHAN</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IF-TRANSCO Z6</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IF-NTHWST CANBR</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NGI-SOBDR-PG&amp;E</w:t>
      </w:r>
    </w:p>
    <w:p>
      <w:pPr>
        <w:pStyle w:val="Department"/>
        <w:widowControl/>
        <w:rPr>
          <w:rFonts w:ascii="Times New Roman" w:hAnsi="Times New Roman" w:cs="Times New Roman"/>
          <w:b/>
          <w:color w:val="000000"/>
        </w:rPr>
      </w:pPr>
      <w:r>
        <w:rPr>
          <w:rFonts w:cs="Times New Roman" w:ascii="Times New Roman" w:hAnsi="Times New Roman"/>
          <w:b/>
          <w:color w:val="000000"/>
        </w:rPr>
      </w:r>
    </w:p>
    <w:p>
      <w:pPr>
        <w:pStyle w:val="Department"/>
        <w:widowControl/>
        <w:numPr>
          <w:ilvl w:val="0"/>
          <w:numId w:val="4"/>
        </w:numPr>
        <w:rPr>
          <w:rFonts w:ascii="Times New Roman" w:hAnsi="Times New Roman" w:cs="Times New Roman"/>
          <w:b/>
          <w:color w:val="000000"/>
        </w:rPr>
      </w:pPr>
      <w:r>
        <w:rPr>
          <w:rFonts w:cs="Times New Roman" w:ascii="Times New Roman" w:hAnsi="Times New Roman"/>
          <w:b/>
          <w:color w:val="000000"/>
        </w:rPr>
        <w:t>Notes</w:t>
      </w:r>
    </w:p>
    <w:p>
      <w:pPr>
        <w:pStyle w:val="Department"/>
        <w:widowControl/>
        <w:rPr>
          <w:rFonts w:ascii="Times New Roman" w:hAnsi="Times New Roman" w:cs="Times New Roman"/>
          <w:b/>
          <w:color w:val="000000"/>
        </w:rPr>
      </w:pPr>
      <w:r>
        <w:rPr>
          <w:rFonts w:cs="Times New Roman" w:ascii="Times New Roman" w:hAnsi="Times New Roman"/>
          <w:b/>
          <w:color w:val="000000"/>
        </w:rPr>
      </w:r>
    </w:p>
    <w:p>
      <w:pPr>
        <w:pStyle w:val="Department"/>
        <w:widowControl/>
        <w:numPr>
          <w:ilvl w:val="0"/>
          <w:numId w:val="3"/>
        </w:numPr>
        <w:tabs>
          <w:tab w:val="left" w:pos="720" w:leader="none"/>
        </w:tabs>
        <w:ind w:hanging="270" w:start="720" w:end="0"/>
        <w:rPr>
          <w:rFonts w:ascii="Times New Roman" w:hAnsi="Times New Roman" w:cs="Times New Roman"/>
          <w:b/>
          <w:color w:val="000000"/>
        </w:rPr>
      </w:pPr>
      <w:r>
        <w:rPr>
          <w:rFonts w:cs="Times New Roman" w:ascii="Times New Roman" w:hAnsi="Times New Roman"/>
          <w:color w:val="000000"/>
        </w:rPr>
        <w:t>NGI-SOBDR-PG&amp;E – This Western market has continued to be highly volatile in the front months due to the energy situation in California.</w:t>
      </w:r>
    </w:p>
    <w:p>
      <w:pPr>
        <w:pStyle w:val="Department"/>
        <w:widowControl/>
        <w:ind w:start="450" w:end="0"/>
        <w:rPr>
          <w:rFonts w:ascii="Times New Roman" w:hAnsi="Times New Roman" w:cs="Times New Roman"/>
          <w:b/>
          <w:color w:val="000000"/>
        </w:rPr>
      </w:pPr>
      <w:r>
        <w:rPr>
          <w:rFonts w:cs="Times New Roman" w:ascii="Times New Roman" w:hAnsi="Times New Roman"/>
          <w:b/>
          <w:color w:val="000000"/>
        </w:rPr>
      </w:r>
    </w:p>
    <w:p>
      <w:pPr>
        <w:pStyle w:val="Department"/>
        <w:widowControl/>
        <w:ind w:start="450" w:end="0"/>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720" w:leader="none"/>
        </w:tabs>
        <w:rPr>
          <w:rFonts w:ascii="Times New Roman" w:hAnsi="Times New Roman" w:cs="Times New Roman"/>
          <w:b/>
        </w:rPr>
      </w:pPr>
      <w:r>
        <w:rPr>
          <w:rFonts w:cs="Times New Roman" w:ascii="Times New Roman" w:hAnsi="Times New Roman"/>
          <w:b/>
        </w:rPr>
        <w:t>4.    Summary</w:t>
      </w:r>
    </w:p>
    <w:p>
      <w:pPr>
        <w:pStyle w:val="Department"/>
        <w:widowControl/>
        <w:tabs>
          <w:tab w:val="left" w:pos="720" w:leader="none"/>
        </w:tabs>
        <w:ind w:start="720" w:end="0"/>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360" w:end="0"/>
        <w:jc w:val="both"/>
        <w:rPr>
          <w:rFonts w:ascii="Times New Roman" w:hAnsi="Times New Roman" w:cs="Times New Roman"/>
        </w:rPr>
      </w:pPr>
      <w:r>
        <w:rPr>
          <w:rFonts w:cs="Times New Roman" w:ascii="Times New Roman" w:hAnsi="Times New Roman"/>
        </w:rPr>
        <w:t xml:space="preserve">Based upon the information we obtained during our review, we conclude that, in aggregate, the gas curves appear to be </w:t>
        <w:br/>
        <w:t xml:space="preserve">reasonable.  We were unable to validate the back-end of the curves, as broker quote data is limited.  We welcome ideas to continuously improve the curve-validation process and would appreciate suggestions for additional curves to validate each month. </w:t>
      </w:r>
    </w:p>
    <w:p>
      <w:pPr>
        <w:pStyle w:val="Department"/>
        <w:widowControl/>
        <w:tabs>
          <w:tab w:val="left" w:pos="720" w:leader="none"/>
        </w:tabs>
        <w:ind w:start="360" w:end="0"/>
        <w:jc w:val="both"/>
        <w:rPr>
          <w:rFonts w:ascii="Times New Roman" w:hAnsi="Times New Roman" w:cs="Times New Roman"/>
          <w:b/>
        </w:rPr>
      </w:pPr>
      <w:r>
        <w:rPr>
          <w:rFonts w:cs="Times New Roman" w:ascii="Times New Roman" w:hAnsi="Times New Roman"/>
          <w:b/>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tab/>
      <w:tab/>
      <w:t xml:space="preserve">           </w:t>
    </w: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decimal"/>
      <w:lvlText w:val="%1."/>
      <w:lvlJc w:val="start"/>
      <w:pPr>
        <w:tabs>
          <w:tab w:val="num" w:pos="360"/>
        </w:tabs>
        <w:ind w:start="360" w:hanging="360"/>
      </w:pPr>
      <w:rPr>
        <w:i w:val="false"/>
        <w:b/>
      </w:rPr>
    </w:lvl>
  </w:abstractNum>
  <w:abstractNum w:abstractNumId="5">
    <w:lvl w:ilvl="0">
      <w:start w:val="1"/>
      <w:numFmt w:val="decimal"/>
      <w:lvlText w:val="%1."/>
      <w:lvlJc w:val="start"/>
      <w:pPr>
        <w:tabs>
          <w:tab w:val="num" w:pos="360"/>
        </w:tabs>
        <w:ind w:start="288" w:hanging="288"/>
      </w:pPr>
      <w:rPr>
        <w:i w:val="false"/>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sz w:val="1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sz w:val="16"/>
    </w:rPr>
  </w:style>
  <w:style w:type="character" w:styleId="WW8Num26z0">
    <w:name w:val="WW8Num26z0"/>
    <w:qFormat/>
    <w:rPr>
      <w:b/>
      <w:i w:val="false"/>
    </w:rPr>
  </w:style>
  <w:style w:type="character" w:styleId="WW8Num27z0">
    <w:name w:val="WW8Num27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sz w:val="16"/>
    </w:rPr>
  </w:style>
  <w:style w:type="character" w:styleId="WW8Num33z0">
    <w:name w:val="WW8Num33z0"/>
    <w:qFormat/>
    <w:rPr>
      <w:b/>
      <w:i w:val="false"/>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16"/>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b/>
      <w:i w:val="false"/>
    </w:rPr>
  </w:style>
  <w:style w:type="character" w:styleId="WW8Num40z0">
    <w:name w:val="WW8Num40z0"/>
    <w:qFormat/>
    <w:rPr>
      <w:rFonts w:ascii="Wingdings" w:hAnsi="Wingdings" w:cs="Wingdings"/>
      <w:sz w:val="16"/>
    </w:rPr>
  </w:style>
  <w:style w:type="character" w:styleId="WW8Num43z0">
    <w:name w:val="WW8Num43z0"/>
    <w:qFormat/>
    <w:rPr>
      <w:rFonts w:ascii="Wingdings" w:hAnsi="Wingdings" w:cs="Wingdings"/>
      <w:sz w:val="16"/>
    </w:rPr>
  </w:style>
  <w:style w:type="character" w:styleId="WW8Num47z0">
    <w:name w:val="WW8Num47z0"/>
    <w:qFormat/>
    <w:rPr>
      <w:b/>
      <w:i w:val="false"/>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ingdings" w:hAnsi="Wingdings" w:cs="Wingdings"/>
      <w:sz w:val="16"/>
    </w:rPr>
  </w:style>
  <w:style w:type="character" w:styleId="WW8Num54z0">
    <w:name w:val="WW8Num54z0"/>
    <w:qFormat/>
    <w:rPr>
      <w:rFonts w:ascii="Wingdings" w:hAnsi="Wingdings" w:cs="Wingdings"/>
      <w:sz w:val="16"/>
    </w:rPr>
  </w:style>
  <w:style w:type="character" w:styleId="WW8Num57z0">
    <w:name w:val="WW8Num57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2001-06-01T13:02:00Z</dcterms:created>
  <dc:creator>appinst</dc:creator>
  <dc:description/>
  <dc:language>en-CA</dc:language>
  <cp:lastModifiedBy>jnguyen7</cp:lastModifiedBy>
  <cp:lastPrinted>2001-03-21T16:32:00Z</cp:lastPrinted>
  <dcterms:modified xsi:type="dcterms:W3CDTF">2001-06-01T13:17:00Z</dcterms:modified>
  <cp:revision>3</cp:revision>
  <dc:subject/>
  <dc:title>Eron Capital &amp; Trade Resources Memo</dc:title>
</cp:coreProperties>
</file>