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jc w:val="center"/>
        <w:rPr/>
      </w:pPr>
      <w:r>
        <w:rPr/>
        <w:t>CURTAILMENT  MATTERS</w:t>
      </w:r>
    </w:p>
    <w:p>
      <w:pPr>
        <w:pStyle w:val="BodyText"/>
        <w:rPr/>
      </w:pPr>
      <w:r>
        <w:rPr/>
      </w:r>
    </w:p>
    <w:p>
      <w:pPr>
        <w:pStyle w:val="BodyText"/>
        <w:rPr>
          <w:b/>
        </w:rPr>
      </w:pPr>
      <w:r>
        <w:rPr>
          <w:b/>
        </w:rPr>
        <w:t>INTRODUCTION</w:t>
      </w:r>
    </w:p>
    <w:p>
      <w:pPr>
        <w:pStyle w:val="BodyText"/>
        <w:rPr/>
      </w:pPr>
      <w:r>
        <w:rPr/>
      </w:r>
    </w:p>
    <w:p>
      <w:pPr>
        <w:pStyle w:val="BodyText"/>
        <w:ind w:firstLine="720" w:end="0"/>
        <w:rPr/>
      </w:pPr>
      <w:r>
        <w:rPr/>
        <w:t>In the Order in Gas Utilities Docket #489 (and O&amp;G Docket 20-62,505), issued on January 5, 1973 (partly as a reaction to Lo-Vaca Gathering Company’s problems), the Railroad Commission ordered all gas utilities (like HPL) to file a curtailment plan subject to the approval of the RRC.  The priorities suggested by the RRC, which determine to whom a pipeline would deliver gas in times of shortage, were:</w:t>
      </w:r>
    </w:p>
    <w:p>
      <w:pPr>
        <w:pStyle w:val="BodyText"/>
        <w:ind w:firstLine="720" w:end="0"/>
        <w:rPr/>
      </w:pPr>
      <w:r>
        <w:rPr/>
      </w:r>
    </w:p>
    <w:p>
      <w:pPr>
        <w:pStyle w:val="BodyText"/>
        <w:numPr>
          <w:ilvl w:val="0"/>
          <w:numId w:val="2"/>
        </w:numPr>
        <w:tabs>
          <w:tab w:val="clear" w:pos="720"/>
          <w:tab w:val="left" w:pos="1080" w:leader="none"/>
        </w:tabs>
        <w:ind w:hanging="360" w:start="1080" w:end="0"/>
        <w:rPr/>
      </w:pPr>
      <w:r>
        <w:rPr/>
        <w:t>Human needs</w:t>
      </w:r>
    </w:p>
    <w:p>
      <w:pPr>
        <w:pStyle w:val="BodyText"/>
        <w:numPr>
          <w:ilvl w:val="0"/>
          <w:numId w:val="2"/>
        </w:numPr>
        <w:tabs>
          <w:tab w:val="clear" w:pos="720"/>
          <w:tab w:val="left" w:pos="1080" w:leader="none"/>
        </w:tabs>
        <w:ind w:hanging="360" w:start="1080" w:end="0"/>
        <w:rPr/>
      </w:pPr>
      <w:r>
        <w:rPr/>
        <w:t>Small industrials and regular commercial loads</w:t>
      </w:r>
    </w:p>
    <w:p>
      <w:pPr>
        <w:pStyle w:val="BodyText"/>
        <w:numPr>
          <w:ilvl w:val="0"/>
          <w:numId w:val="2"/>
        </w:numPr>
        <w:tabs>
          <w:tab w:val="clear" w:pos="720"/>
          <w:tab w:val="left" w:pos="1080" w:leader="none"/>
        </w:tabs>
        <w:ind w:hanging="360" w:start="1080" w:end="0"/>
        <w:rPr/>
      </w:pPr>
      <w:r>
        <w:rPr/>
        <w:t>Large users where an alternate fuel or raw material cannot be used and operation and plant production would be curtailed or shut down completely when gas is curtailed</w:t>
      </w:r>
    </w:p>
    <w:p>
      <w:pPr>
        <w:pStyle w:val="BodyText"/>
        <w:numPr>
          <w:ilvl w:val="0"/>
          <w:numId w:val="2"/>
        </w:numPr>
        <w:tabs>
          <w:tab w:val="clear" w:pos="720"/>
          <w:tab w:val="left" w:pos="1080" w:leader="none"/>
        </w:tabs>
        <w:ind w:hanging="360" w:start="1080" w:end="0"/>
        <w:rPr/>
      </w:pPr>
      <w:r>
        <w:rPr/>
        <w:t>Large users for boiler fuel or other fuel users where alternate fuels can be used (regardless of whether a particular user has actually installed alternate fuel capabilities)</w:t>
      </w:r>
    </w:p>
    <w:p>
      <w:pPr>
        <w:pStyle w:val="BodyText"/>
        <w:numPr>
          <w:ilvl w:val="0"/>
          <w:numId w:val="2"/>
        </w:numPr>
        <w:tabs>
          <w:tab w:val="clear" w:pos="720"/>
          <w:tab w:val="left" w:pos="1080" w:leader="none"/>
        </w:tabs>
        <w:ind w:hanging="360" w:start="1080" w:end="0"/>
        <w:rPr/>
      </w:pPr>
      <w:r>
        <w:rPr/>
        <w:t>Interruptible sales</w:t>
      </w:r>
    </w:p>
    <w:p>
      <w:pPr>
        <w:pStyle w:val="BodyText"/>
        <w:rPr/>
      </w:pPr>
      <w:r>
        <w:rPr/>
      </w:r>
    </w:p>
    <w:p>
      <w:pPr>
        <w:pStyle w:val="BodyText"/>
        <w:rPr/>
      </w:pPr>
      <w:r>
        <w:rPr/>
        <w:t>The Order in Docket 489 also required pipeline companies to answer some questions about their gas supply, demand, and system characteristics.  In 1973 HPL responded to the questions and filed a plan basically adopting the RRC-suggested priorities.  Such plan has never been modified by HPL.</w:t>
      </w:r>
    </w:p>
    <w:p>
      <w:pPr>
        <w:pStyle w:val="BodyText"/>
        <w:rPr>
          <w:i/>
          <w:i/>
        </w:rPr>
      </w:pPr>
      <w:r>
        <w:rPr>
          <w:i/>
        </w:rPr>
      </w:r>
    </w:p>
    <w:p>
      <w:pPr>
        <w:pStyle w:val="BodyText"/>
        <w:ind w:firstLine="720" w:end="0"/>
        <w:rPr/>
      </w:pPr>
      <w:r>
        <w:rPr/>
        <w:t>In 1980 the RRC again reviewed its curtailment policy (Docket 2650), ultimately determining that voluntary allocation was “the most efficient and practical method of ensuring that service to human needs customers will be provided and the public interest will be protected.”  Nonetheless, the RRC has the discretion under Section 5(d) of the Administrative Procedure and Texas Register Act (V.A.C.S Article 6252-13a) under emergency rulemaking to impose mandatory curtailment without notice on a finding of “an imminent peril to the public health, safety, or welfare.”</w:t>
      </w:r>
    </w:p>
    <w:p>
      <w:pPr>
        <w:pStyle w:val="BodyText"/>
        <w:ind w:firstLine="720" w:end="0"/>
        <w:rPr/>
      </w:pPr>
      <w:r>
        <w:rPr/>
      </w:r>
    </w:p>
    <w:p>
      <w:pPr>
        <w:pStyle w:val="BodyText"/>
        <w:ind w:firstLine="720" w:end="0"/>
        <w:rPr>
          <w:i/>
          <w:i/>
        </w:rPr>
      </w:pPr>
      <w:r>
        <w:rPr/>
        <w:t xml:space="preserve">In 1980, in Docket 2336, the RRC also set </w:t>
      </w:r>
      <w:r>
        <w:rPr>
          <w:u w:val="single"/>
        </w:rPr>
        <w:t>inter</w:t>
      </w:r>
      <w:r>
        <w:rPr/>
        <w:t>state sales as an even lower priority (which rule some, including the FERC, may think is invalid as discriminatorily interfering with interstate commerce).</w:t>
      </w:r>
    </w:p>
    <w:p>
      <w:pPr>
        <w:pStyle w:val="BodyText"/>
        <w:ind w:firstLine="720" w:end="0"/>
        <w:rPr>
          <w:i/>
          <w:i/>
        </w:rPr>
      </w:pPr>
      <w:r>
        <w:rPr>
          <w:i/>
        </w:rPr>
      </w:r>
    </w:p>
    <w:p>
      <w:pPr>
        <w:pStyle w:val="BodyText"/>
        <w:rPr/>
      </w:pPr>
      <w:r>
        <w:rPr/>
      </w:r>
    </w:p>
    <w:p>
      <w:pPr>
        <w:pStyle w:val="BodyText"/>
        <w:rPr>
          <w:b/>
        </w:rPr>
      </w:pPr>
      <w:r>
        <w:rPr>
          <w:b/>
        </w:rPr>
        <w:t>ISSUES</w:t>
      </w:r>
    </w:p>
    <w:p>
      <w:pPr>
        <w:pStyle w:val="BodyText"/>
        <w:rPr/>
      </w:pPr>
      <w:r>
        <w:rPr/>
      </w:r>
    </w:p>
    <w:p>
      <w:pPr>
        <w:pStyle w:val="BodyText"/>
        <w:ind w:firstLine="720" w:end="0"/>
        <w:rPr/>
      </w:pPr>
      <w:r>
        <w:rPr/>
        <w:t>There are several issues which are relevant in analyzing curtailment matters which are not very well answered by existing rules and regulations.  Reasons for the uncertainty are the infrequency and short duration of any severe shortage situations, together with very little meaningful attention to the significant changes in the structure of the industry over the last 20 years.  Foremost among these changes are (i) the emergence and proliferation of marketing companies, as opposed to the situation in 1973 and even 1980 when virtually all of the gas sales were made by the pipeline companies themselves, not by affiliated or third party marketing companies, (ii) the great variety and complexity of today’s contracts, and (iii) the development of financial as well as physical gas trading markets.  Among the issues related to pipeline curtailment matters are the following:</w:t>
      </w:r>
    </w:p>
    <w:p>
      <w:pPr>
        <w:pStyle w:val="BodyText"/>
        <w:ind w:firstLine="720" w:end="0"/>
        <w:rPr/>
      </w:pPr>
      <w:r>
        <w:rPr/>
      </w:r>
    </w:p>
    <w:p>
      <w:pPr>
        <w:pStyle w:val="BodyText"/>
        <w:numPr>
          <w:ilvl w:val="0"/>
          <w:numId w:val="1"/>
        </w:numPr>
        <w:tabs>
          <w:tab w:val="clear" w:pos="720"/>
          <w:tab w:val="left" w:pos="1080" w:leader="none"/>
        </w:tabs>
        <w:ind w:hanging="360" w:start="1080" w:end="0"/>
        <w:rPr/>
      </w:pPr>
      <w:r>
        <w:rPr/>
        <w:t xml:space="preserve">Do the curtailment rules apply (or were they ever intended to apply) to </w:t>
      </w:r>
      <w:r>
        <w:rPr>
          <w:u w:val="single"/>
        </w:rPr>
        <w:t>transportation</w:t>
      </w:r>
      <w:r>
        <w:rPr/>
        <w:t xml:space="preserve"> as well as </w:t>
      </w:r>
      <w:r>
        <w:rPr>
          <w:u w:val="single"/>
        </w:rPr>
        <w:t>sales</w:t>
      </w:r>
      <w:r>
        <w:rPr/>
        <w:t xml:space="preserve"> by intrastate pipelines?  How does </w:t>
      </w:r>
      <w:r>
        <w:rPr>
          <w:u w:val="single"/>
        </w:rPr>
        <w:t>storage</w:t>
      </w:r>
      <w:r>
        <w:rPr/>
        <w:t xml:space="preserve"> enter into the equation?</w:t>
      </w:r>
    </w:p>
    <w:p>
      <w:pPr>
        <w:pStyle w:val="BodyText"/>
        <w:numPr>
          <w:ilvl w:val="0"/>
          <w:numId w:val="1"/>
        </w:numPr>
        <w:tabs>
          <w:tab w:val="clear" w:pos="720"/>
          <w:tab w:val="left" w:pos="1080" w:leader="none"/>
        </w:tabs>
        <w:ind w:hanging="360" w:start="1080" w:end="0"/>
        <w:rPr/>
      </w:pPr>
      <w:r>
        <w:rPr/>
        <w:t xml:space="preserve">Can the RRC allocate supplies not owned by the pipeline company?  Does it matter if the pipeline is transporting gas owned by an </w:t>
      </w:r>
      <w:r>
        <w:rPr>
          <w:u w:val="single"/>
        </w:rPr>
        <w:t>affiliate</w:t>
      </w:r>
      <w:r>
        <w:rPr/>
        <w:t>?</w:t>
      </w:r>
    </w:p>
    <w:p>
      <w:pPr>
        <w:pStyle w:val="BodyText"/>
        <w:numPr>
          <w:ilvl w:val="0"/>
          <w:numId w:val="1"/>
        </w:numPr>
        <w:tabs>
          <w:tab w:val="clear" w:pos="720"/>
          <w:tab w:val="left" w:pos="1080" w:leader="none"/>
        </w:tabs>
        <w:ind w:hanging="360" w:start="1080" w:end="0"/>
        <w:rPr/>
      </w:pPr>
      <w:r>
        <w:rPr/>
        <w:t>Do contractual provisions as to firmness affect a pipeline company’s rights or obligations with respect to curtailment?  (See Priority E above)</w:t>
      </w:r>
    </w:p>
    <w:p>
      <w:pPr>
        <w:pStyle w:val="BodyText"/>
        <w:numPr>
          <w:ilvl w:val="0"/>
          <w:numId w:val="1"/>
        </w:numPr>
        <w:tabs>
          <w:tab w:val="clear" w:pos="720"/>
          <w:tab w:val="left" w:pos="1080" w:leader="none"/>
        </w:tabs>
        <w:ind w:hanging="360" w:start="1080" w:end="0"/>
        <w:rPr/>
      </w:pPr>
      <w:r>
        <w:rPr/>
        <w:t>How should a pipeline company try to determine what priority its customers fall into, and what volumes of gas such customers will be using?  Especially when the pipeline is delivering (whether sales or transportation) to a marketing company, is there any way to assess a priority based on presumed downstream usage?</w:t>
      </w:r>
    </w:p>
    <w:p>
      <w:pPr>
        <w:pStyle w:val="BodyText"/>
        <w:numPr>
          <w:ilvl w:val="0"/>
          <w:numId w:val="1"/>
        </w:numPr>
        <w:tabs>
          <w:tab w:val="clear" w:pos="720"/>
          <w:tab w:val="left" w:pos="1080" w:leader="none"/>
        </w:tabs>
        <w:ind w:hanging="360" w:start="1080" w:end="0"/>
        <w:rPr/>
      </w:pPr>
      <w:r>
        <w:rPr/>
        <w:t>To what extent can price be a factor in determining whom to curtail?  E.g., assuming interruptibility is a legitimate factor in establishing a separate “priority class” of customers, does the usage priority of a customer determine his place in the queue or can the utility curtail within that priority based on price?</w:t>
      </w:r>
    </w:p>
    <w:p>
      <w:pPr>
        <w:pStyle w:val="BodyText"/>
        <w:numPr>
          <w:ilvl w:val="0"/>
          <w:numId w:val="1"/>
        </w:numPr>
        <w:tabs>
          <w:tab w:val="clear" w:pos="720"/>
          <w:tab w:val="left" w:pos="1080" w:leader="none"/>
        </w:tabs>
        <w:ind w:hanging="360" w:start="1080" w:end="0"/>
        <w:rPr/>
      </w:pPr>
      <w:r>
        <w:rPr/>
        <w:t>To what extent does complying with its curtailment plan protect a pipeline company from liability to its customers for failure to deliver gas to them (whether sales or transport)?  Does it matter whether and how the contract addresses “governmental rules and regulations”?</w:t>
      </w:r>
    </w:p>
    <w:p>
      <w:pPr>
        <w:pStyle w:val="BodyText"/>
        <w:numPr>
          <w:ilvl w:val="0"/>
          <w:numId w:val="1"/>
        </w:numPr>
        <w:tabs>
          <w:tab w:val="clear" w:pos="720"/>
          <w:tab w:val="left" w:pos="1080" w:leader="none"/>
        </w:tabs>
        <w:ind w:hanging="360" w:start="1080" w:end="0"/>
        <w:rPr/>
      </w:pPr>
      <w:r>
        <w:rPr/>
        <w:t>Conversely to #6, what sanctions or penalties can the RRC impose against a pipeline company which delivers gas contrary to its curtailment plan?</w:t>
      </w:r>
    </w:p>
    <w:p>
      <w:pPr>
        <w:pStyle w:val="BodyText"/>
        <w:numPr>
          <w:ilvl w:val="0"/>
          <w:numId w:val="1"/>
        </w:numPr>
        <w:tabs>
          <w:tab w:val="clear" w:pos="720"/>
          <w:tab w:val="left" w:pos="1080" w:leader="none"/>
        </w:tabs>
        <w:ind w:hanging="360" w:start="1080" w:end="0"/>
        <w:rPr/>
      </w:pPr>
      <w:r>
        <w:rPr/>
        <w:t>If a pipeline company does re-direct gas (again, whether sales or transport) to another party pursuant to its curtailment plan, who bears or receives the economic consequences of such action?  Does it matter if the pipeline has acted voluntarily under its curtailment plan, as opposed to pursuant to a specific RRC order?</w:t>
      </w:r>
    </w:p>
    <w:p>
      <w:pPr>
        <w:pStyle w:val="BodyText"/>
        <w:numPr>
          <w:ilvl w:val="0"/>
          <w:numId w:val="1"/>
        </w:numPr>
        <w:tabs>
          <w:tab w:val="clear" w:pos="720"/>
          <w:tab w:val="left" w:pos="1080" w:leader="none"/>
        </w:tabs>
        <w:ind w:hanging="360" w:start="1080" w:end="0"/>
        <w:rPr/>
      </w:pPr>
      <w:r>
        <w:rPr/>
        <w:t>What role does the Code of Conduct (i.e., non-discrimination among similarly situated customers) play in a curtailment situation?</w:t>
      </w:r>
    </w:p>
    <w:p>
      <w:pPr>
        <w:pStyle w:val="BodyText"/>
        <w:rPr/>
      </w:pPr>
      <w:r>
        <w:rPr/>
      </w:r>
    </w:p>
    <w:p>
      <w:pPr>
        <w:pStyle w:val="BodyText"/>
        <w:ind w:firstLine="720" w:end="0"/>
        <w:rPr/>
      </w:pPr>
      <w:r>
        <w:rPr/>
        <w:t>Pursuant to its “responsibility to foster an adequate supply of natural gas for consumers in Texas,” the RRC used to send out questionnaires every year or two asking about pipelines’ customers, supplies, and potential curtailments, but they have not done so in recent years.  In response to those inquiries and in an effort to ascertain curtailment priorities and anticipated usage, HPL would send out questionnaires to its customers, but the validity of the responses that were received was sometimes questionable.  Trying to compile and use such data to implement a curtailment strategy and actual curtailment procedures is problematic.</w:t>
      </w:r>
    </w:p>
    <w:p>
      <w:pPr>
        <w:pStyle w:val="BodyText"/>
        <w:ind w:firstLine="720" w:end="0"/>
        <w:rPr/>
      </w:pPr>
      <w:r>
        <w:rPr/>
      </w:r>
    </w:p>
    <w:p>
      <w:pPr>
        <w:pStyle w:val="BodyText"/>
        <w:ind w:firstLine="720" w:end="0"/>
        <w:rPr/>
      </w:pPr>
      <w:r>
        <w:rPr/>
      </w:r>
    </w:p>
    <w:p>
      <w:pPr>
        <w:pStyle w:val="BodyText"/>
        <w:ind w:firstLine="720" w:end="0"/>
        <w:rPr/>
      </w:pPr>
      <w:r>
        <w:rPr/>
      </w:r>
    </w:p>
    <w:p>
      <w:pPr>
        <w:pStyle w:val="Normal"/>
        <w:rPr>
          <w:sz w:val="24"/>
        </w:rPr>
      </w:pPr>
      <w:r>
        <w:rPr>
          <w:sz w:val="24"/>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360"/>
        </w:tabs>
        <w:ind w:start="360" w:hanging="360"/>
      </w:pPr>
    </w:lvl>
  </w:abstractNum>
  <w:abstractNum w:abstractNumId="2">
    <w:lvl w:ilvl="0">
      <w:start w:val="1"/>
      <w:numFmt w:val="upperLetter"/>
      <w:lvlText w:val="%1."/>
      <w:lvlJc w:val="start"/>
      <w:pPr>
        <w:tabs>
          <w:tab w:val="num" w:pos="360"/>
        </w:tabs>
        <w:ind w:start="360" w:hanging="360"/>
      </w:pPr>
    </w:lvl>
  </w:abstractNum>
  <w:abstractNum w:abstractNumId="3">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49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2000-09-13T19:47:00Z</dcterms:created>
  <dc:creator>tom shelton</dc:creator>
  <dc:description/>
  <dc:language>en-CA</dc:language>
  <cp:lastModifiedBy>tom shelton</cp:lastModifiedBy>
  <cp:lastPrinted>2000-09-13T16:16:00Z</cp:lastPrinted>
  <dcterms:modified xsi:type="dcterms:W3CDTF">2000-09-15T13:54:00Z</dcterms:modified>
  <cp:revision>15</cp:revision>
  <dc:subject/>
  <dc:title>We are is going to be reviewing the HPL curtailment plan</dc:title>
</cp:coreProperties>
</file>