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10.jpeg" ContentType="image/jpeg"/>
  <Override PartName="/word/media/image6.jpeg" ContentType="image/jpeg"/>
  <Override PartName="/word/media/image7.jpeg" ContentType="image/jpeg"/>
  <Override PartName="/word/media/image11.png" ContentType="image/png"/>
  <Override PartName="/word/media/image8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12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12"/>
        <w:gridCol w:w="1512"/>
        <w:gridCol w:w="151"/>
        <w:gridCol w:w="1361"/>
        <w:gridCol w:w="1512"/>
        <w:gridCol w:w="50"/>
        <w:gridCol w:w="1462"/>
        <w:gridCol w:w="1461"/>
        <w:gridCol w:w="51"/>
        <w:gridCol w:w="1512"/>
        <w:gridCol w:w="1360"/>
        <w:gridCol w:w="152"/>
        <w:gridCol w:w="1512"/>
        <w:gridCol w:w="1512"/>
      </w:tblGrid>
      <w:tr>
        <w:trPr>
          <w:trHeight w:val="222" w:hRule="atLeast"/>
        </w:trPr>
        <w:tc>
          <w:tcPr>
            <w:tcW w:w="15120" w:type="dxa"/>
            <w:gridSpan w:val="14"/>
            <w:tcBorders>
              <w:top w:val="single" w:sz="4" w:space="0" w:color="000000"/>
              <w:start w:val="single" w:sz="4" w:space="0" w:color="000000"/>
              <w:bottom w:val="thinThickSmallGap" w:sz="24" w:space="0" w:color="000000"/>
              <w:end w:val="single" w:sz="4" w:space="0" w:color="000000"/>
            </w:tcBorders>
            <w:shd w:fill="FF6600" w:val="clear"/>
          </w:tcPr>
          <w:p>
            <w:pPr>
              <w:pStyle w:val="Heading3"/>
              <w:ind w:hanging="0" w:start="0"/>
              <w:rPr>
                <w:sz w:val="28"/>
              </w:rPr>
            </w:pPr>
            <w:r>
              <w:rPr>
                <w:sz w:val="28"/>
              </w:rPr>
              <w:t>PLENARY SESSIONS</w:t>
            </w:r>
          </w:p>
        </w:tc>
      </w:tr>
      <w:tr>
        <w:trPr/>
        <w:tc>
          <w:tcPr>
            <w:tcW w:w="317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March 19</w:t>
            </w:r>
          </w:p>
          <w:p>
            <w:pPr>
              <w:pStyle w:val="Normal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9:00 a.m. – 10:15 a.m.</w:t>
            </w:r>
          </w:p>
          <w:p>
            <w:pPr>
              <w:pStyle w:val="BodyText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Opening Plenary Session:</w:t>
            </w:r>
          </w:p>
          <w:p>
            <w:pPr>
              <w:pStyle w:val="Normal"/>
              <w:jc w:val="center"/>
              <w:rPr/>
            </w:pPr>
            <w:r>
              <w:rPr/>
              <w:t>Leadership in the Global Power Industry – Lessons Learned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March 19</w:t>
            </w:r>
          </w:p>
          <w:p>
            <w:pPr>
              <w:pStyle w:val="Normal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10:30 a.m. – 11:45 a.m.</w:t>
            </w:r>
          </w:p>
          <w:p>
            <w:pPr>
              <w:pStyle w:val="Normal"/>
              <w:jc w:val="center"/>
              <w:rPr/>
            </w:pPr>
            <w:r>
              <w:rPr/>
              <w:t>Mid – Morning Plenary Session:</w:t>
            </w:r>
          </w:p>
          <w:p>
            <w:pPr>
              <w:pStyle w:val="Normal"/>
              <w:jc w:val="center"/>
              <w:rPr/>
            </w:pPr>
            <w:r>
              <w:rPr/>
              <w:t>From Conflict to Reconciliation – Resolving the Power Demand and Effects on the Environment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 20</w:t>
            </w:r>
          </w:p>
          <w:p>
            <w:pPr>
              <w:pStyle w:val="Normal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8:30 a.m. – 9:45 a.m.</w:t>
            </w:r>
          </w:p>
          <w:p>
            <w:pPr>
              <w:pStyle w:val="BodyText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Plenary Session:</w:t>
            </w:r>
          </w:p>
          <w:p>
            <w:pPr>
              <w:pStyle w:val="Normal"/>
              <w:jc w:val="center"/>
              <w:rPr/>
            </w:pPr>
            <w:r>
              <w:rPr/>
              <w:t>Centralized v/s Distributed Generation – What Market Share Might DP have in 10 Years?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 21</w:t>
            </w:r>
          </w:p>
          <w:p>
            <w:pPr>
              <w:pStyle w:val="Normal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8:30 a.m. – 9:45 a.m.</w:t>
            </w:r>
          </w:p>
          <w:p>
            <w:pPr>
              <w:pStyle w:val="BodyText3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Plenary Session:</w:t>
            </w:r>
          </w:p>
          <w:p>
            <w:pPr>
              <w:pStyle w:val="Normal"/>
              <w:jc w:val="center"/>
              <w:rPr/>
            </w:pPr>
            <w:r>
              <w:rPr/>
              <w:t>Asset Executives Roundtable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15120" w:type="dxa"/>
            <w:gridSpan w:val="14"/>
            <w:tcBorders>
              <w:top w:val="single" w:sz="4" w:space="0" w:color="000000"/>
              <w:start w:val="single" w:sz="4" w:space="0" w:color="000000"/>
              <w:bottom w:val="thinThickSmallGap" w:sz="24" w:space="0" w:color="000000"/>
              <w:end w:val="single" w:sz="4" w:space="0" w:color="000000"/>
            </w:tcBorders>
            <w:shd w:fill="FF9900" w:val="clear"/>
          </w:tcPr>
          <w:p>
            <w:pPr>
              <w:pStyle w:val="Heading4"/>
              <w:ind w:hanging="0" w:start="0"/>
              <w:rPr>
                <w:sz w:val="28"/>
              </w:rPr>
            </w:pPr>
            <w:r>
              <w:rPr>
                <w:sz w:val="28"/>
              </w:rPr>
              <w:t>ELECTRIC POWER STRATEGIC TRACKS</w:t>
            </w:r>
          </w:p>
        </w:tc>
      </w:tr>
      <w:tr>
        <w:trPr/>
        <w:tc>
          <w:tcPr>
            <w:tcW w:w="3175" w:type="dxa"/>
            <w:gridSpan w:val="3"/>
            <w:tcBorders>
              <w:top w:val="single" w:sz="4" w:space="0" w:color="000000"/>
              <w:start w:val="single" w:sz="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March 19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 P.M. – 4:00 P.M.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thinThickSmallGap" w:sz="2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March 20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 A.M. – 11:30 A.M.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start w:val="single" w:sz="4" w:space="0" w:color="000000"/>
              <w:bottom w:val="thinThickSmallGap" w:sz="2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March 20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 P.M. – 4:00 P.M.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thinThick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March 21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10:00 A.M. – 11:30 A.M. 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start w:val="single" w:sz="4" w:space="0" w:color="000000"/>
              <w:bottom w:val="thinThick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March 21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 P.M.  – 3:30 P.M.</w:t>
            </w:r>
          </w:p>
        </w:tc>
      </w:tr>
      <w:tr>
        <w:trPr/>
        <w:tc>
          <w:tcPr>
            <w:tcW w:w="15120" w:type="dxa"/>
            <w:gridSpan w:val="14"/>
            <w:tcBorders>
              <w:top w:val="thinThick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9900" w:val="clear"/>
          </w:tcPr>
          <w:p>
            <w:pPr>
              <w:pStyle w:val="Heading6"/>
              <w:ind w:hanging="0" w:start="0"/>
              <w:jc w:val="start"/>
              <w:rPr>
                <w:sz w:val="20"/>
              </w:rPr>
            </w:pPr>
            <w:r>
              <w:rPr>
                <w:sz w:val="20"/>
              </w:rPr>
              <w:t>Track 1:  Risky Business:  The 21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Century Energy Company                                                                                                                               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>
        <w:trPr/>
        <w:tc>
          <w:tcPr>
            <w:tcW w:w="317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Hummer or Clunker?  Evaluating Plant Asset Value Risk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A Real Cliffhanger:  Managing Trading/Financial Risk – Part 1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A Real Cliffhanger:  Managing Trading/Financial Risk – Part 2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Afraid of the Dark?  Managing Retail Distribution Risk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The Missing Link: Customer Base to Increased Earnings</w:t>
            </w:r>
          </w:p>
        </w:tc>
      </w:tr>
      <w:tr>
        <w:trPr/>
        <w:tc>
          <w:tcPr>
            <w:tcW w:w="15120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9900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Track 2:  Generating Asset Portfolio Management                                            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i/>
                <w:iCs/>
              </w:rPr>
              <w:t xml:space="preserve"> </w:t>
            </w:r>
          </w:p>
        </w:tc>
      </w:tr>
      <w:tr>
        <w:trPr/>
        <w:tc>
          <w:tcPr>
            <w:tcW w:w="317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Balancing a Portfolio: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*Financial Risk Mgmt in Asset Acquisition 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*Developer Perspective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6"/>
              </w:rPr>
              <w:t>*Strategic Acquisition Issues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Central Generating Plants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>
              <w:rPr>
                <w:sz w:val="18"/>
              </w:rPr>
              <w:t>*Coal             *Gas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>
              <w:rPr>
                <w:sz w:val="18"/>
              </w:rPr>
              <w:t>*Nuclear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Managing Fuels for Profit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*Coal &amp; Gas Co-Firing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*Coal Mixing &amp; Blending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*Fuel Price Forecasts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*Opportunity Fuels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6"/>
              </w:rPr>
              <w:t>*Fuels Handling:  Barge Unloading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Portfolio Management Tools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*Reliability Measurement 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*Risk Management Tools &amp; Techniques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6"/>
              </w:rPr>
              <w:t>*Portfolio Economic Optimization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3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  <w:t>Geographically Dispersed Asset Management</w:t>
            </w:r>
          </w:p>
          <w:p>
            <w:pPr>
              <w:pStyle w:val="BodyText3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  <w:t>*Plants in Multiple Markets</w:t>
            </w:r>
          </w:p>
          <w:p>
            <w:pPr>
              <w:pStyle w:val="BodyText3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  <w:t>*Small Generators in Multiple Locations</w:t>
            </w:r>
          </w:p>
          <w:p>
            <w:pPr>
              <w:pStyle w:val="Normal"/>
              <w:rPr>
                <w:rFonts w:ascii="Times New Roman" w:hAnsi="Times New Roman" w:cs="Times New Roman"/>
                <w:color w:val="808080"/>
                <w:sz w:val="18"/>
              </w:rPr>
            </w:pPr>
            <w:r>
              <w:rPr>
                <w:rFonts w:cs="Times New Roman"/>
                <w:color w:val="808080"/>
                <w:sz w:val="18"/>
              </w:rPr>
            </w:r>
          </w:p>
        </w:tc>
      </w:tr>
      <w:tr>
        <w:trPr/>
        <w:tc>
          <w:tcPr>
            <w:tcW w:w="15120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9900" w:val="clear"/>
          </w:tcPr>
          <w:p>
            <w:pPr>
              <w:pStyle w:val="Heading1"/>
              <w:ind w:hanging="0" w:start="0"/>
              <w:rPr/>
            </w:pPr>
            <w:r>
              <w:rPr/>
              <w:t xml:space="preserve">Track 3:  Environmental Issues and Strategies                                                                                                                                                             </w:t>
            </w:r>
            <w:r>
              <w:rPr>
                <w:rFonts w:cs="Arial"/>
                <w:i/>
                <w:iCs/>
              </w:rPr>
              <w:t xml:space="preserve"> </w:t>
            </w:r>
          </w:p>
        </w:tc>
      </w:tr>
      <w:tr>
        <w:trPr/>
        <w:tc>
          <w:tcPr>
            <w:tcW w:w="317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BodyText3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  <w:t>Environmental Issues in Context of National Energy Policy</w:t>
            </w:r>
          </w:p>
          <w:p>
            <w:pPr>
              <w:pStyle w:val="BodyText3"/>
              <w:rPr>
                <w:rFonts w:ascii="Times New Roman" w:hAnsi="Times New Roman" w:cs="Times New Roman"/>
                <w:i/>
                <w:i/>
                <w:iCs/>
                <w:sz w:val="18"/>
              </w:rPr>
            </w:pPr>
            <w:r>
              <w:rPr>
                <w:rFonts w:cs="Times New Roman" w:ascii="Times New Roman" w:hAnsi="Times New Roman"/>
                <w:i/>
                <w:iCs/>
                <w:sz w:val="18"/>
              </w:rPr>
              <w:t>Panel Discussion</w:t>
            </w:r>
          </w:p>
          <w:p>
            <w:pPr>
              <w:pStyle w:val="BodyText3"/>
              <w:jc w:val="star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*Discussion of Multi-Pollutant Legislation and Agency Initiatives</w:t>
            </w:r>
          </w:p>
          <w:p>
            <w:pPr>
              <w:pStyle w:val="BodyText3"/>
              <w:jc w:val="start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*Other Environmental Issues Confronting Power Generation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Turning Environmental Investments into Profit</w:t>
            </w:r>
          </w:p>
          <w:p>
            <w:pPr>
              <w:pStyle w:val="BodyText2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“</w:t>
            </w:r>
            <w:r>
              <w:rPr>
                <w:rFonts w:cs="Times New Roman" w:ascii="Times New Roman" w:hAnsi="Times New Roman"/>
                <w:i/>
                <w:iCs/>
              </w:rPr>
              <w:t>3 Successful Case Studies Documenting Untapped Revenue Streams”</w:t>
            </w:r>
          </w:p>
          <w:p>
            <w:pPr>
              <w:pStyle w:val="Normal"/>
              <w:rPr>
                <w:rFonts w:ascii="Times New Roman" w:hAnsi="Times New Roman" w:cs="Times New Roman"/>
                <w:i/>
                <w:i/>
                <w:iCs/>
                <w:sz w:val="18"/>
              </w:rPr>
            </w:pPr>
            <w:r>
              <w:rPr>
                <w:rFonts w:cs="Times New Roman"/>
                <w:i/>
                <w:iCs/>
                <w:sz w:val="18"/>
              </w:rPr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Proven Ways of Managing Criteria Pollutants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*Boiler Performance Optimization Using Neural Networks and Advanced Control Techniques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*Combustion Modifications 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*Overfire Air for Cyclone-Fired Boilers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*SNCR Fuel Technology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*SCR on Powder River Basin Coals                         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Breakthrough Technologies</w:t>
            </w:r>
          </w:p>
          <w:p>
            <w:pPr>
              <w:pStyle w:val="Normal"/>
              <w:rPr/>
            </w:pPr>
            <w:r>
              <w:rPr>
                <w:sz w:val="18"/>
              </w:rPr>
              <w:t>*</w:t>
            </w:r>
            <w:r>
              <w:rPr>
                <w:sz w:val="16"/>
              </w:rPr>
              <w:t>Advanced Mercury Control in Wet FGD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*Update on the ECO Process for Multi-Pollutant Control of Coal Fired Utility Boilers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6"/>
              </w:rPr>
              <w:t xml:space="preserve">*Lowering the Cost of </w:t>
            </w:r>
            <w:r>
              <w:rPr/>
              <w:t>PM</w:t>
            </w:r>
            <w:r>
              <w:rPr>
                <w:vertAlign w:val="subscript"/>
              </w:rPr>
              <w:t>2.s</w:t>
            </w:r>
            <w:r>
              <w:rPr>
                <w:u w:val="single"/>
              </w:rPr>
              <w:t xml:space="preserve"> </w:t>
            </w:r>
            <w:r>
              <w:rPr>
                <w:sz w:val="16"/>
              </w:rPr>
              <w:t>Compliance with a New Design Wet Membrane ESP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Environmental Issues with Distributed Generation, Combustion Turbines and Renewables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*Air, Water, Waste Issues</w:t>
            </w:r>
          </w:p>
          <w:p>
            <w:pPr>
              <w:pStyle w:val="Heading2"/>
              <w:ind w:hanging="0" w:start="0"/>
              <w:rPr>
                <w:color w:val="808080"/>
                <w:sz w:val="18"/>
              </w:rPr>
            </w:pPr>
            <w:r>
              <w:rPr/>
              <w:t>Case Study &amp; Panel/Presentations</w:t>
            </w:r>
          </w:p>
        </w:tc>
      </w:tr>
      <w:tr>
        <w:trPr/>
        <w:tc>
          <w:tcPr>
            <w:tcW w:w="15120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9900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Track 4:  New Technologies for Power Generation                                               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i/>
                <w:iCs/>
              </w:rPr>
              <w:t xml:space="preserve"> </w:t>
            </w:r>
          </w:p>
        </w:tc>
      </w:tr>
      <w:tr>
        <w:trPr/>
        <w:tc>
          <w:tcPr>
            <w:tcW w:w="317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BodyTextIndent2"/>
              <w:ind w:start="0" w:end="0"/>
              <w:rPr>
                <w:sz w:val="18"/>
              </w:rPr>
            </w:pPr>
            <w:r>
              <w:rPr>
                <w:sz w:val="18"/>
              </w:rPr>
              <w:t>Gas Based:</w:t>
            </w:r>
          </w:p>
          <w:p>
            <w:pPr>
              <w:pStyle w:val="BodyTextIndent2"/>
              <w:ind w:start="0" w:end="0"/>
              <w:rPr>
                <w:sz w:val="18"/>
              </w:rPr>
            </w:pPr>
            <w:r>
              <w:rPr>
                <w:sz w:val="18"/>
              </w:rPr>
              <w:t>*Gas Turbine/Combined Cycle</w:t>
            </w:r>
          </w:p>
          <w:p>
            <w:pPr>
              <w:pStyle w:val="BodyTextIndent2"/>
              <w:ind w:start="0" w:end="0"/>
              <w:rPr>
                <w:rFonts w:ascii="Arial" w:hAnsi="Arial" w:cs="Arial"/>
                <w:b/>
                <w:sz w:val="18"/>
              </w:rPr>
            </w:pPr>
            <w:r>
              <w:rPr>
                <w:sz w:val="18"/>
              </w:rPr>
              <w:t>*Fuel Cells,  *Coal Bed Methane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3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  <w:t xml:space="preserve">Coal Based: 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*Gasification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*PFBC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*CFB</w:t>
            </w:r>
          </w:p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*Supercritical Boilers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BodyText3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  <w:t>Nuclear Based: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*Pebble Bed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*Advanced Reactors</w:t>
            </w:r>
          </w:p>
          <w:p>
            <w:pPr>
              <w:pStyle w:val="Normal"/>
              <w:jc w:val="center"/>
              <w:rPr>
                <w:i/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Joint Session with the Nuclear Renaissance Tactical Meeting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Balance of Plant Considerations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Bullet3"/>
              <w:rPr>
                <w:sz w:val="18"/>
              </w:rPr>
            </w:pPr>
            <w:r>
              <w:rPr>
                <w:sz w:val="18"/>
              </w:rPr>
              <w:t>Opportunity Fuels</w:t>
            </w:r>
          </w:p>
        </w:tc>
      </w:tr>
      <w:tr>
        <w:trPr/>
        <w:tc>
          <w:tcPr>
            <w:tcW w:w="15120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9900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Track 5: Stealth Capacity – Leveraging Your Existing Assets                          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i/>
                <w:iCs/>
              </w:rPr>
              <w:t xml:space="preserve"> </w:t>
            </w:r>
          </w:p>
        </w:tc>
      </w:tr>
      <w:tr>
        <w:trPr/>
        <w:tc>
          <w:tcPr>
            <w:tcW w:w="317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BodyText3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  <w:t>Strategic Overview:  Generating Assets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*Re-Powering SCR Catalyst Testing         *Alternative Fuels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*Fuel Conversion/Fuel Switch             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6"/>
              </w:rPr>
              <w:t xml:space="preserve">*Re-Powering 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Plant Culture and Staffing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*Risk Based Asset Management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*Getting More Operators in the Classroom and on the Simulator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*Defining Asset Management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6"/>
              </w:rPr>
              <w:t>*How a Central Training Organization Can Meet a Customers’ Needs</w:t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ListBullet3"/>
              <w:rPr>
                <w:sz w:val="18"/>
              </w:rPr>
            </w:pPr>
            <w:r>
              <w:rPr>
                <w:sz w:val="18"/>
              </w:rPr>
              <w:t>Getting the Maximum Return from IT and Automation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*Optimizing Startup Management Systems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*Real Time Combustion System Optimization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*Optimizing Financial Performance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O &amp; M Strategies and Best Practices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Part 1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*Laser Ablation for PWR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*Selecting an Optimum Solution to Boiler Tube Failures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Cs/>
                <w:sz w:val="18"/>
              </w:rPr>
            </w:pPr>
            <w:r>
              <w:rPr>
                <w:iCs/>
                <w:sz w:val="18"/>
              </w:rPr>
              <w:t>O &amp; M Strategies and Best Practices Part 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Cs/>
                <w:sz w:val="18"/>
              </w:rPr>
            </w:pPr>
            <w:r>
              <w:rPr>
                <w:iCs/>
                <w:sz w:val="18"/>
              </w:rPr>
              <w:t>*Short Bed Demineralization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Cs/>
                <w:sz w:val="18"/>
              </w:rPr>
            </w:pPr>
            <w:r>
              <w:rPr>
                <w:iCs/>
                <w:sz w:val="18"/>
              </w:rPr>
              <w:t>*Fly Ash Embankment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Cs/>
                <w:sz w:val="18"/>
              </w:rPr>
            </w:pPr>
            <w:r>
              <w:rPr>
                <w:iCs/>
                <w:sz w:val="18"/>
              </w:rPr>
              <w:t>*Thermal Imaging</w:t>
            </w:r>
          </w:p>
        </w:tc>
      </w:tr>
      <w:tr>
        <w:trPr/>
        <w:tc>
          <w:tcPr>
            <w:tcW w:w="15120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9900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Track 6:  Moving Power to Market – Transmission and Interface Issues                                                                                                                    </w:t>
            </w:r>
            <w:r>
              <w:rPr>
                <w:rFonts w:cs="Arial" w:ascii="Arial" w:hAnsi="Arial"/>
                <w:b/>
                <w:bCs/>
                <w:i/>
                <w:iCs/>
              </w:rPr>
              <w:t xml:space="preserve"> </w:t>
            </w:r>
          </w:p>
        </w:tc>
      </w:tr>
      <w:tr>
        <w:trPr>
          <w:trHeight w:val="681" w:hRule="atLeast"/>
        </w:trPr>
        <w:tc>
          <w:tcPr>
            <w:tcW w:w="3175" w:type="dxa"/>
            <w:gridSpan w:val="3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thinThickSmallGap" w:sz="24" w:space="0" w:color="000000"/>
            </w:tcBorders>
          </w:tcPr>
          <w:p>
            <w:pPr>
              <w:pStyle w:val="BodyText3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  <w:t>Adapting the Interconnected Grid for a National Electricity Marketplace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New Concepts for Transmission Infrastructure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23" w:type="dxa"/>
            <w:gridSpan w:val="2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thinThickSmallGap" w:sz="2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Regional Reports on RTOs, ISOs, States and Countries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“</w:t>
            </w:r>
            <w:r>
              <w:rPr>
                <w:sz w:val="18"/>
              </w:rPr>
              <w:t>What’s Working, What’s Not”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Technology and New Ideas to the Rescue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49" w:hRule="atLeast"/>
        </w:trPr>
        <w:tc>
          <w:tcPr>
            <w:tcW w:w="15120" w:type="dxa"/>
            <w:gridSpan w:val="14"/>
            <w:tcBorders>
              <w:top w:val="thickThinSmallGap" w:sz="2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  <w:shd w:fill="CCFFFF" w:val="clear"/>
          </w:tcPr>
          <w:p>
            <w:pPr>
              <w:pStyle w:val="Heading4"/>
              <w:ind w:hanging="0" w:start="0"/>
              <w:rPr>
                <w:sz w:val="28"/>
              </w:rPr>
            </w:pPr>
            <w:r>
              <w:rPr>
                <w:sz w:val="28"/>
              </w:rPr>
              <w:t>ELECTRIC POWER TACTICAL MEETINGS</w:t>
            </w:r>
          </w:p>
        </w:tc>
      </w:tr>
      <w:tr>
        <w:trPr>
          <w:trHeight w:val="574" w:hRule="atLeast"/>
        </w:trPr>
        <w:tc>
          <w:tcPr>
            <w:tcW w:w="15120" w:type="dxa"/>
            <w:gridSpan w:val="14"/>
            <w:tcBorders>
              <w:top w:val="thickThinSmallGap" w:sz="2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  <w:shd w:fill="FFCC00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20"/>
              </w:rPr>
              <w:drawing>
                <wp:inline distT="0" distB="0" distL="0" distR="0">
                  <wp:extent cx="554990" cy="412750"/>
                  <wp:effectExtent l="0" t="0" r="0" b="0"/>
                  <wp:docPr id="1" name="Image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6" t="-20" r="-16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412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behindDoc="1" distT="0" distB="0" distL="114935" distR="114935" simplePos="0" locked="0" layoutInCell="1" allowOverlap="1" relativeHeight="16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103505</wp:posOffset>
                  </wp:positionV>
                  <wp:extent cx="728345" cy="454660"/>
                  <wp:effectExtent l="0" t="0" r="0" b="0"/>
                  <wp:wrapNone/>
                  <wp:docPr id="2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6" t="-20" r="-16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454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 xml:space="preserve">   </w:t>
            </w:r>
            <w:r>
              <w:rPr>
                <w:b/>
                <w:bCs/>
                <w:sz w:val="20"/>
              </w:rPr>
              <w:t xml:space="preserve">PRB Coal User’s Group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ookman Old Style"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>
        <w:trPr/>
        <w:tc>
          <w:tcPr>
            <w:tcW w:w="1512" w:type="dxa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snapToGrid w:val="false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March 19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8:00 – 9:15 a.m.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PRB Coal Overview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*History *Reserves *Projections</w:t>
            </w:r>
          </w:p>
        </w:tc>
        <w:tc>
          <w:tcPr>
            <w:tcW w:w="1512" w:type="dxa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March 19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9:30 – 10:15 a.m.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Rotary Dump Dust Collector Upgrades</w:t>
            </w:r>
          </w:p>
        </w:tc>
        <w:tc>
          <w:tcPr>
            <w:tcW w:w="1512" w:type="dxa"/>
            <w:gridSpan w:val="2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March 19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10:45 – 11:45 a.m.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Dust Collector Operational Procedures </w:t>
            </w:r>
          </w:p>
        </w:tc>
        <w:tc>
          <w:tcPr>
            <w:tcW w:w="1512" w:type="dxa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March 19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1:30 – 2:30 p.m.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PRB Plant – of – the-Year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Virtual Tour</w:t>
            </w:r>
          </w:p>
        </w:tc>
        <w:tc>
          <w:tcPr>
            <w:tcW w:w="1512" w:type="dxa"/>
            <w:gridSpan w:val="2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March 19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3:30 – 4:45 p.m.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What has been seen in Fire Protection Audits</w:t>
            </w:r>
          </w:p>
        </w:tc>
        <w:tc>
          <w:tcPr>
            <w:tcW w:w="1512" w:type="dxa"/>
            <w:gridSpan w:val="2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March 20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8:30 – 9:45 a.m.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Comparison between a 1980 and a 2002 PRB Coal-Fired Plant</w:t>
            </w:r>
          </w:p>
        </w:tc>
        <w:tc>
          <w:tcPr>
            <w:tcW w:w="1512" w:type="dxa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March 20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10:15  – 11:30 a.m.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Boiler Optimization through cleaning methods, cameras, temperature sensing</w:t>
            </w:r>
          </w:p>
        </w:tc>
        <w:tc>
          <w:tcPr>
            <w:tcW w:w="1512" w:type="dxa"/>
            <w:gridSpan w:val="2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March 20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1:30 – 2:45 p.m.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Case History – Lessons Learned from a fire explosion in an Electric Utility Generating Station</w:t>
            </w:r>
          </w:p>
        </w:tc>
        <w:tc>
          <w:tcPr>
            <w:tcW w:w="1512" w:type="dxa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March 20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3:15 – 4:45 p.m.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History of Utility Coal-related Incidents </w:t>
            </w:r>
          </w:p>
        </w:tc>
        <w:tc>
          <w:tcPr>
            <w:tcW w:w="1512" w:type="dxa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March 21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9:00 – 11:45 a.m.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Open Panel Discussion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PRBCUG Board of Directors</w:t>
            </w:r>
          </w:p>
        </w:tc>
      </w:tr>
      <w:tr>
        <w:trPr>
          <w:trHeight w:val="421" w:hRule="atLeast"/>
        </w:trPr>
        <w:tc>
          <w:tcPr>
            <w:tcW w:w="3024" w:type="dxa"/>
            <w:gridSpan w:val="2"/>
            <w:tcBorders>
              <w:top w:val="thickThinSmallGap" w:sz="2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March 19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 P.M. – 4:00 P.M.</w:t>
            </w:r>
          </w:p>
        </w:tc>
        <w:tc>
          <w:tcPr>
            <w:tcW w:w="3024" w:type="dxa"/>
            <w:gridSpan w:val="3"/>
            <w:tcBorders>
              <w:top w:val="thickThinSmallGap" w:sz="2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March 20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 A.M. – 11:30 A.M.</w:t>
            </w:r>
          </w:p>
        </w:tc>
        <w:tc>
          <w:tcPr>
            <w:tcW w:w="3024" w:type="dxa"/>
            <w:gridSpan w:val="4"/>
            <w:tcBorders>
              <w:top w:val="thickThinSmallGap" w:sz="2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March 20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 P.M. – 4:00 P.M.</w:t>
            </w:r>
          </w:p>
        </w:tc>
        <w:tc>
          <w:tcPr>
            <w:tcW w:w="3024" w:type="dxa"/>
            <w:gridSpan w:val="3"/>
            <w:tcBorders>
              <w:top w:val="thickThinSmallGap" w:sz="2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March 21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10:00 A.M. – 11:30 A.M. </w:t>
            </w:r>
          </w:p>
        </w:tc>
        <w:tc>
          <w:tcPr>
            <w:tcW w:w="3024" w:type="dxa"/>
            <w:gridSpan w:val="2"/>
            <w:tcBorders>
              <w:top w:val="thickThinSmallGap" w:sz="2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March 21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 P.M.  – 3:30 P.M.</w:t>
            </w:r>
          </w:p>
        </w:tc>
      </w:tr>
      <w:tr>
        <w:trPr>
          <w:trHeight w:val="402" w:hRule="atLeast"/>
        </w:trPr>
        <w:tc>
          <w:tcPr>
            <w:tcW w:w="15120" w:type="dxa"/>
            <w:gridSpan w:val="14"/>
            <w:tcBorders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  <w:shd w:fill="C0C0C0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b/>
                <w:bCs/>
                <w:sz w:val="20"/>
              </w:rPr>
              <w:drawing>
                <wp:inline distT="0" distB="0" distL="0" distR="0">
                  <wp:extent cx="451485" cy="349885"/>
                  <wp:effectExtent l="0" t="0" r="0" b="0"/>
                  <wp:docPr id="3" name="Image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31" t="-26" r="-31" b="-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49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0"/>
              </w:rPr>
              <w:t xml:space="preserve">Bituminous Coal Users Group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322" w:hRule="atLeast"/>
        </w:trPr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The New Playing Field for Eastern Coal – Fuel Supplier CEO Roundtable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Plant Improvements – Becoming A Flagship Facility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rFonts w:ascii="Times New Roman" w:hAnsi="Times New Roman" w:cs="Times New Roman"/>
                <w:b w:val="false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</w:rPr>
              <w:t xml:space="preserve">Fuel Upgrading – Blending and Beneficiation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  <w:sz w:val="16"/>
              </w:rPr>
            </w:pPr>
            <w:r>
              <w:rPr>
                <w:rFonts w:cs="Times New Roman"/>
                <w:b/>
                <w:i/>
                <w:color w:val="000000"/>
                <w:sz w:val="16"/>
              </w:rPr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Characteristics of New Coal Based Projects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Open Forum</w:t>
            </w:r>
          </w:p>
        </w:tc>
      </w:tr>
      <w:tr>
        <w:trPr>
          <w:trHeight w:val="709" w:hRule="atLeast"/>
        </w:trPr>
        <w:tc>
          <w:tcPr>
            <w:tcW w:w="15120" w:type="dxa"/>
            <w:gridSpan w:val="14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drawing>
                <wp:inline distT="0" distB="0" distL="0" distR="0">
                  <wp:extent cx="394335" cy="325755"/>
                  <wp:effectExtent l="0" t="0" r="0" b="0"/>
                  <wp:docPr id="4" name="Image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26" t="-33" r="-26" b="-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25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16"/>
              </w:rPr>
              <w:t xml:space="preserve">HRSG Users Group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Improving HRSG Availability and Repairability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Operating Flexibility and Risk-Based Inspections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Boosting Efficiency through Cold-End Heat Recovery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Commissioning Requirements for New HRSG’s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120" w:type="dxa"/>
            <w:gridSpan w:val="14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  <w:shd w:fill="99CC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rFonts w:eastAsia="Bookman Old Style" w:cs="Bookman Old Style" w:ascii="Bookman Old Style" w:hAnsi="Bookman Old Style"/>
                <w:b/>
                <w:bCs/>
              </w:rPr>
              <w:t xml:space="preserve"> </w:t>
            </w:r>
            <w:r>
              <w:rPr>
                <w:rFonts w:cs="Bookman Old Style" w:ascii="Bookman Old Style" w:hAnsi="Bookman Old Style"/>
                <w:b/>
                <w:bCs/>
              </w:rPr>
              <w:drawing>
                <wp:inline distT="0" distB="0" distL="0" distR="0">
                  <wp:extent cx="688975" cy="430530"/>
                  <wp:effectExtent l="0" t="0" r="0" b="0"/>
                  <wp:docPr id="5" name="Image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39" t="-119" r="-39" b="-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Bookman Old Style" w:cs="Bookman Old Style" w:ascii="Bookman Old Style" w:hAnsi="Bookman Old Style"/>
                <w:b/>
                <w:bCs/>
              </w:rPr>
              <w:t xml:space="preserve"> </w:t>
            </w:r>
            <w:r>
              <w:rPr>
                <w:rFonts w:cs="Bookman Old Style" w:ascii="Bookman Old Style" w:hAnsi="Bookman Old Style"/>
                <w:b/>
                <w:bCs/>
                <w:sz w:val="18"/>
              </w:rPr>
              <w:t xml:space="preserve">Natural Gas Infrastructure  </w:t>
            </w:r>
            <w:r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ookman Old Style"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>
        <w:trPr/>
        <w:tc>
          <w:tcPr>
            <w:tcW w:w="3175" w:type="dxa"/>
            <w:gridSpan w:val="3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thinThickSmallGap" w:sz="2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Overview of the Gas Fueled Power Industry Demand/Supply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>
                <w:sz w:val="16"/>
              </w:rPr>
            </w:pPr>
            <w:r>
              <w:rPr>
                <w:sz w:val="16"/>
              </w:rPr>
              <w:t>*Since 1990</w:t>
            </w:r>
          </w:p>
          <w:p>
            <w:pPr>
              <w:pStyle w:val="Normal"/>
              <w:tabs>
                <w:tab w:val="clear" w:pos="720"/>
                <w:tab w:val="left" w:pos="540" w:leader="none"/>
              </w:tabs>
              <w:rPr>
                <w:sz w:val="16"/>
              </w:rPr>
            </w:pPr>
            <w:r>
              <w:rPr>
                <w:sz w:val="16"/>
              </w:rPr>
              <w:t>*New gas-fired generation on-line since 1995</w:t>
            </w:r>
          </w:p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  <w:t>*Queue for gas turbines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start w:val="thinThickSmallGap" w:sz="2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Pipelines, Storage &amp; LNG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40" w:leader="none"/>
                <w:tab w:val="left" w:pos="900" w:leader="none"/>
                <w:tab w:val="left" w:pos="1080" w:leader="none"/>
              </w:tabs>
              <w:ind w:hanging="360" w:start="1080" w:end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left" w:pos="540" w:leader="none"/>
                <w:tab w:val="left" w:pos="900" w:leader="none"/>
                <w:tab w:val="left" w:pos="1080" w:leader="none"/>
              </w:tabs>
              <w:ind w:hanging="0" w:start="0"/>
              <w:rPr>
                <w:sz w:val="16"/>
              </w:rPr>
            </w:pPr>
            <w:r>
              <w:rPr>
                <w:sz w:val="16"/>
              </w:rPr>
              <w:t>* New supply sources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*De-bottlenecking existing infrastructure</w:t>
            </w:r>
          </w:p>
          <w:p>
            <w:pPr>
              <w:pStyle w:val="Normal"/>
              <w:rPr/>
            </w:pPr>
            <w:r>
              <w:rPr/>
              <w:t>*</w:t>
            </w:r>
            <w:r>
              <w:rPr>
                <w:sz w:val="16"/>
              </w:rPr>
              <w:t>Importance of storage vs. reliance on pipeline connectivity</w:t>
            </w:r>
          </w:p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</w:tabs>
              <w:rPr>
                <w:sz w:val="16"/>
              </w:rPr>
            </w:pPr>
            <w:r>
              <w:rPr>
                <w:sz w:val="16"/>
              </w:rPr>
              <w:t>* LNG – a new role in North American supply?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thinThickSmallGap" w:sz="24" w:space="0" w:color="000000"/>
            </w:tcBorders>
          </w:tcPr>
          <w:p>
            <w:pPr>
              <w:pStyle w:val="Heading7"/>
              <w:ind w:hanging="0" w:start="0"/>
              <w:rPr>
                <w:rFonts w:ascii="Times New Roman" w:hAnsi="Times New Roman" w:cs="Times New Roman"/>
                <w:b w:val="false"/>
                <w:bCs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/>
                <w:color w:val="000000"/>
              </w:rPr>
              <w:t>Power Plant Fuel Delivery Issues</w:t>
            </w:r>
          </w:p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</w:tabs>
              <w:rPr>
                <w:sz w:val="16"/>
              </w:rPr>
            </w:pPr>
            <w:r>
              <w:rPr>
                <w:sz w:val="16"/>
              </w:rPr>
              <w:t>*Changing quality specs – today’s turbines are much more sensitive to gas quality issues</w:t>
            </w:r>
          </w:p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</w:tabs>
              <w:rPr>
                <w:sz w:val="16"/>
              </w:rPr>
            </w:pPr>
            <w:r>
              <w:rPr>
                <w:sz w:val="16"/>
              </w:rPr>
              <w:t>*Pressure reliability – impact to gen units with varying fuel pressures</w:t>
            </w:r>
          </w:p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</w:tabs>
              <w:rPr>
                <w:sz w:val="16"/>
              </w:rPr>
            </w:pPr>
            <w:r>
              <w:rPr>
                <w:sz w:val="16"/>
              </w:rPr>
              <w:t>*Transportation scheduling – firm vs. interruptible vs. other transport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Fuel contract issues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start w:val="thinThickSmallGap" w:sz="2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Fuel Energy Management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*To outsource or not outsource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*Evaluating potential outsource providers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66" w:hRule="atLeast"/>
        </w:trPr>
        <w:tc>
          <w:tcPr>
            <w:tcW w:w="15120" w:type="dxa"/>
            <w:gridSpan w:val="14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99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drawing>
                <wp:inline distT="0" distB="0" distL="0" distR="0">
                  <wp:extent cx="822960" cy="354965"/>
                  <wp:effectExtent l="0" t="0" r="0" b="0"/>
                  <wp:docPr id="6" name="Image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9" t="-93" r="-39" b="-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16"/>
              </w:rPr>
              <w:t xml:space="preserve">    </w:t>
            </w:r>
            <w:r>
              <w:rPr>
                <w:b/>
                <w:bCs/>
                <w:sz w:val="20"/>
              </w:rPr>
              <w:t xml:space="preserve">Nuclear Renaissance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The Future Isn’t What It Used to Be:  Reasons for the Nuclear Renaissance 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*NEI Overview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*Project Financing for a Merchant Nuclear Plant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* New Licensing Framework Impact on Project Schedule      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*Public Acceptance/Public Policy               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Competing for the Limited Resources in the Electric Power Industry</w:t>
            </w:r>
          </w:p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  <w:t>*Nuclear Equipment Supply Infrastructure</w:t>
            </w:r>
          </w:p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  <w:t xml:space="preserve">*Human Resource Needs and Strategies to Meet them  </w:t>
            </w:r>
          </w:p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  <w:t xml:space="preserve">*Craft &amp; Technician Labor for New Plant Construction  </w:t>
            </w:r>
          </w:p>
          <w:p>
            <w:pPr>
              <w:pStyle w:val="Normal"/>
              <w:rPr/>
            </w:pPr>
            <w:r>
              <w:rPr/>
              <w:t>*</w:t>
            </w:r>
            <w:r>
              <w:rPr>
                <w:sz w:val="16"/>
              </w:rPr>
              <w:t>Managing a Skilled Workplace Through Peaks &amp; Valleys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BodyText3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Characteristics of New Nuclear Projects Nuclear Based: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*Pebble Bed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*Advanced Reactors</w:t>
            </w:r>
          </w:p>
          <w:p>
            <w:pPr>
              <w:pStyle w:val="BodyTextIndent"/>
              <w:ind w:start="0" w:end="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</w:r>
          </w:p>
          <w:p>
            <w:pPr>
              <w:pStyle w:val="BodyTextIndent"/>
              <w:ind w:start="0" w:end="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i/>
                <w:iCs/>
                <w:sz w:val="16"/>
              </w:rPr>
              <w:t>Joint Session with Track 4, New Technologies in Plant Concepts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Nuclear Asset Management – Maximizing Value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*Generating Asset Value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*Implementing the Standard Business Process Model </w:t>
            </w:r>
          </w:p>
          <w:p>
            <w:pPr>
              <w:pStyle w:val="BodyTextIndent"/>
              <w:jc w:val="center"/>
              <w:rPr>
                <w:sz w:val="16"/>
              </w:rPr>
            </w:pPr>
            <w:r>
              <w:rPr>
                <w:sz w:val="16"/>
              </w:rPr>
              <w:t>*Benchmarking &amp; Process Improvement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*Investors View of Nuclear Assets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>
        <w:trPr/>
        <w:tc>
          <w:tcPr>
            <w:tcW w:w="15120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b/>
                <w:bCs/>
                <w:sz w:val="28"/>
              </w:rPr>
              <w:t>ELECTRIC POWER TACTICAL MEETINGS</w:t>
            </w:r>
          </w:p>
        </w:tc>
      </w:tr>
      <w:tr>
        <w:trPr>
          <w:trHeight w:val="421" w:hRule="atLeast"/>
        </w:trPr>
        <w:tc>
          <w:tcPr>
            <w:tcW w:w="3024" w:type="dxa"/>
            <w:gridSpan w:val="2"/>
            <w:tcBorders>
              <w:top w:val="thickThinSmallGap" w:sz="2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March 19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 P.M. – 4:00 P.M.</w:t>
            </w:r>
          </w:p>
        </w:tc>
        <w:tc>
          <w:tcPr>
            <w:tcW w:w="3024" w:type="dxa"/>
            <w:gridSpan w:val="3"/>
            <w:tcBorders>
              <w:top w:val="thickThinSmallGap" w:sz="2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March 20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 A.M. – 11:30 A.M.</w:t>
            </w:r>
          </w:p>
        </w:tc>
        <w:tc>
          <w:tcPr>
            <w:tcW w:w="3024" w:type="dxa"/>
            <w:gridSpan w:val="4"/>
            <w:tcBorders>
              <w:top w:val="thickThinSmallGap" w:sz="2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March 20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 P.M. – 4:00 P.M.</w:t>
            </w:r>
          </w:p>
        </w:tc>
        <w:tc>
          <w:tcPr>
            <w:tcW w:w="3024" w:type="dxa"/>
            <w:gridSpan w:val="3"/>
            <w:tcBorders>
              <w:top w:val="thickThinSmallGap" w:sz="2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March 21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10:00 A.M. – 11:30 A.M. </w:t>
            </w:r>
          </w:p>
        </w:tc>
        <w:tc>
          <w:tcPr>
            <w:tcW w:w="3024" w:type="dxa"/>
            <w:gridSpan w:val="2"/>
            <w:tcBorders>
              <w:top w:val="thickThinSmallGap" w:sz="2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March 21 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2:00 P.M.  – 3:30 P.M.</w:t>
            </w:r>
          </w:p>
        </w:tc>
      </w:tr>
      <w:tr>
        <w:trPr/>
        <w:tc>
          <w:tcPr>
            <w:tcW w:w="15120" w:type="dxa"/>
            <w:gridSpan w:val="1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CC99" w:val="clear"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Bookman Old Style" w:hAnsi="Bookman Old Style" w:cs="Bookman Old Style"/>
                <w:b/>
                <w:bCs/>
              </w:rPr>
            </w:pPr>
            <w:r>
              <w:rPr>
                <w:rFonts w:eastAsia="Bookman Old Style" w:cs="Bookman Old Style" w:ascii="Bookman Old Style" w:hAnsi="Bookman Old Style"/>
                <w:b/>
                <w:bCs/>
              </w:rPr>
              <w:t xml:space="preserve"> </w:t>
            </w:r>
            <w:r>
              <w:rPr>
                <w:rFonts w:cs="Bookman Old Style" w:ascii="Bookman Old Style" w:hAnsi="Bookman Old Style"/>
                <w:b/>
                <w:bCs/>
              </w:rPr>
              <w:drawing>
                <wp:inline distT="0" distB="0" distL="0" distR="0">
                  <wp:extent cx="914400" cy="292735"/>
                  <wp:effectExtent l="0" t="0" r="0" b="0"/>
                  <wp:docPr id="7" name="Image1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9" t="-123" r="-39" b="-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Bookman Old Style" w:cs="Bookman Old Style" w:ascii="Bookman Old Style" w:hAnsi="Bookman Old Style"/>
                <w:b/>
                <w:bCs/>
              </w:rPr>
              <w:t xml:space="preserve"> </w:t>
            </w:r>
            <w:r>
              <w:rPr>
                <w:rFonts w:cs="Bookman Old Style" w:ascii="Bookman Old Style" w:hAnsi="Bookman Old Style"/>
                <w:b/>
                <w:bCs/>
              </w:rPr>
              <w:t xml:space="preserve">Alternative Power                                                                                                                                    </w:t>
            </w:r>
            <w:r>
              <w:rPr>
                <w:rFonts w:cs="Bookman Old Style" w:ascii="Bookman Old Style" w:hAnsi="Bookman Old Style"/>
                <w:b/>
                <w:bCs/>
                <w:i/>
                <w:iCs/>
              </w:rPr>
              <w:t xml:space="preserve">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Bookman Old Style" w:hAnsi="Bookman Old Style" w:eastAsia="Bookman Old Style" w:cs="Bookman Old Style"/>
                <w:b/>
                <w:bCs/>
              </w:rPr>
            </w:pPr>
            <w:r>
              <w:rPr>
                <w:rFonts w:eastAsia="Bookman Old Style" w:cs="Bookman Old Style" w:ascii="Bookman Old Style" w:hAnsi="Bookman Old Style"/>
                <w:b/>
                <w:bCs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Integration of Alternative Power with Traditional Supply Side Resources</w:t>
            </w:r>
          </w:p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  <w:t>*Emissions Permitting      *Grid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 </w:t>
            </w:r>
            <w:r>
              <w:rPr>
                <w:sz w:val="16"/>
              </w:rPr>
              <w:t>*Asset Optimization</w:t>
            </w:r>
          </w:p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Case Studies – Energy Storage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*CAES           *Battery</w:t>
            </w:r>
          </w:p>
          <w:p>
            <w:pPr>
              <w:pStyle w:val="Normal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           </w:t>
            </w:r>
            <w:r>
              <w:rPr>
                <w:bCs/>
                <w:sz w:val="16"/>
              </w:rPr>
              <w:t>*Hydro (pumped storage)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Case Studies – Distributed Generation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*Micro-Turbines         *Fuel Cells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         </w:t>
            </w:r>
            <w:r>
              <w:rPr>
                <w:sz w:val="16"/>
              </w:rPr>
              <w:t xml:space="preserve">*Recips 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Case Studies – Renewables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*Wind            *Photo Voltaic 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      </w:t>
            </w:r>
            <w:r>
              <w:rPr>
                <w:sz w:val="16"/>
              </w:rPr>
              <w:t>*Biomass</w:t>
            </w:r>
          </w:p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Summary Session – Projecting the Future </w:t>
            </w:r>
          </w:p>
          <w:p>
            <w:pPr>
              <w:pStyle w:val="BodyTextIndent"/>
              <w:ind w:start="0" w:end="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Debate on Different Views</w:t>
            </w:r>
          </w:p>
          <w:p>
            <w:pPr>
              <w:pStyle w:val="BodyTextIndent"/>
              <w:ind w:start="0" w:end="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</w:t>
            </w:r>
            <w:r>
              <w:rPr>
                <w:i/>
                <w:iCs/>
                <w:sz w:val="16"/>
              </w:rPr>
              <w:t xml:space="preserve">of Alternative Power </w:t>
            </w:r>
          </w:p>
          <w:p>
            <w:pPr>
              <w:pStyle w:val="BodyTextIndent"/>
              <w:ind w:start="0" w:end="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</w:r>
          </w:p>
          <w:p>
            <w:pPr>
              <w:pStyle w:val="BodyTextIndent"/>
              <w:ind w:start="0" w:end="0"/>
              <w:jc w:val="center"/>
              <w:rPr>
                <w:i/>
                <w:i/>
                <w:iCs/>
                <w:sz w:val="16"/>
              </w:rPr>
            </w:pPr>
            <w:r>
              <w:rPr>
                <w:sz w:val="16"/>
              </w:rPr>
              <w:t>(Panel Discussion)</w:t>
            </w:r>
          </w:p>
        </w:tc>
      </w:tr>
      <w:tr>
        <w:trPr/>
        <w:tc>
          <w:tcPr>
            <w:tcW w:w="15120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ind w:start="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>
            <w:pPr>
              <w:pStyle w:val="BodyTextIndent"/>
              <w:ind w:start="0" w:end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BodyTextIndent"/>
              <w:ind w:start="0" w:end="0"/>
              <w:rPr/>
            </w:pPr>
            <w:r>
              <w:rPr>
                <w:b/>
                <w:bCs/>
              </w:rPr>
              <w:t xml:space="preserve">Energy Management Forum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lang w:val="en-CA" w:eastAsia="en-CA"/>
              </w:rPr>
            </w:pPr>
            <w:r>
              <w:rPr>
                <w:sz w:val="18"/>
                <w:lang w:val="en-CA" w:eastAsia="en-CA"/>
              </w:rPr>
              <w:drawing>
                <wp:anchor behindDoc="1" distT="0" distB="0" distL="114935" distR="114935" simplePos="0" locked="0" layoutInCell="1" allowOverlap="1" relativeHeight="17">
                  <wp:simplePos x="0" y="0"/>
                  <wp:positionH relativeFrom="column">
                    <wp:posOffset>-1368425</wp:posOffset>
                  </wp:positionH>
                  <wp:positionV relativeFrom="paragraph">
                    <wp:posOffset>-263525</wp:posOffset>
                  </wp:positionV>
                  <wp:extent cx="1305560" cy="408305"/>
                  <wp:effectExtent l="0" t="0" r="0" b="0"/>
                  <wp:wrapTight wrapText="bothSides">
                    <wp:wrapPolygon edited="0">
                      <wp:start x="-90" y="0"/>
                      <wp:lineTo x="-90" y="21301"/>
                      <wp:lineTo x="21595" y="21301"/>
                      <wp:lineTo x="21595" y="0"/>
                      <wp:lineTo x="-90" y="0"/>
                    </wp:wrapPolygon>
                  </wp:wrapTight>
                  <wp:docPr id="8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6" t="-51" r="-16" b="-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56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591" w:hRule="atLeast"/>
        </w:trPr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Overview and Self-Assessment:  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Knowing Your Energy Profile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*Introduction 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*How Much Energy Do You Use?</w:t>
              <w:br/>
              <w:t>*How is Energy Used?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*What is the Cost of Energy?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Reliability At What Price?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*Minimize Energy Costs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*Interruptibility 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*Shifting Load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*Participating in Competitive Power Markets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*Power Quality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Behind the Meter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Case Studies: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*New Technologies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*Performance Contracting 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*Power Quality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*Advanced Storage Devices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To Outsource or Not to Outsource?</w:t>
            </w:r>
          </w:p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  <w:t>*What Energy Management Needs can be Outsourced?</w:t>
            </w:r>
          </w:p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  <w:t>*What are the Pro’s and Con’s of Outsourcing?</w:t>
              <w:br/>
              <w:t>*Is Outsourcing Cost Effective and Reliable?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BodyTextIndent"/>
              <w:ind w:start="0" w:end="0"/>
              <w:jc w:val="center"/>
              <w:rPr/>
            </w:pPr>
            <w:r>
              <w:rPr/>
              <w:t>How Do I Buy (Sell) Energy?</w:t>
            </w:r>
          </w:p>
          <w:p>
            <w:pPr>
              <w:pStyle w:val="BodyTextIndent"/>
              <w:ind w:start="0" w:end="0"/>
              <w:jc w:val="center"/>
              <w:rPr/>
            </w:pPr>
            <w:r>
              <w:rPr/>
            </w:r>
          </w:p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  <w:t>*The RFP Process</w:t>
            </w:r>
          </w:p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  <w:t>*Seeking Market Knowledge</w:t>
            </w:r>
          </w:p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  <w:t>*Contracting for the Energy Supply</w:t>
            </w:r>
          </w:p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  <w:t>*Risk Management</w:t>
            </w:r>
          </w:p>
        </w:tc>
      </w:tr>
      <w:tr>
        <w:trPr/>
        <w:tc>
          <w:tcPr>
            <w:tcW w:w="15120" w:type="dxa"/>
            <w:gridSpan w:val="14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CC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b/>
                <w:bCs/>
                <w:sz w:val="20"/>
              </w:rPr>
              <w:drawing>
                <wp:inline distT="0" distB="0" distL="0" distR="0">
                  <wp:extent cx="323850" cy="316865"/>
                  <wp:effectExtent l="0" t="0" r="0" b="0"/>
                  <wp:docPr id="9" name="Image1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44" t="-33" r="-44" b="-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Global Energy Forum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ookman Old Style"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>
        <w:trPr>
          <w:trHeight w:val="141" w:hRule="atLeast"/>
        </w:trPr>
        <w:tc>
          <w:tcPr>
            <w:tcW w:w="15120" w:type="dxa"/>
            <w:gridSpan w:val="14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BodyTextIndent"/>
              <w:ind w:start="0" w:end="0"/>
              <w:rPr>
                <w:sz w:val="16"/>
              </w:rPr>
            </w:pPr>
            <w:r>
              <w:rPr>
                <w:sz w:val="16"/>
              </w:rPr>
              <w:t>Coordinate w/ International Buyer Program</w:t>
            </w:r>
            <w:r>
              <w:rPr>
                <w:b/>
                <w:bCs/>
                <w:sz w:val="20"/>
              </w:rPr>
              <w:t xml:space="preserve">  </w:t>
            </w:r>
          </w:p>
        </w:tc>
      </w:tr>
      <w:tr>
        <w:trPr/>
        <w:tc>
          <w:tcPr>
            <w:tcW w:w="15120" w:type="dxa"/>
            <w:gridSpan w:val="14"/>
            <w:tcBorders>
              <w:top w:val="thickThinSmallGap" w:sz="2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  <w:r>
              <w:drawing>
                <wp:anchor behindDoc="1" distT="0" distB="0" distL="114935" distR="114935" simplePos="0" locked="0" layoutInCell="1" allowOverlap="1" relativeHeight="18">
                  <wp:simplePos x="0" y="0"/>
                  <wp:positionH relativeFrom="column">
                    <wp:posOffset>-454025</wp:posOffset>
                  </wp:positionH>
                  <wp:positionV relativeFrom="paragraph">
                    <wp:posOffset>-48260</wp:posOffset>
                  </wp:positionV>
                  <wp:extent cx="505460" cy="205105"/>
                  <wp:effectExtent l="0" t="0" r="0" b="0"/>
                  <wp:wrapTight wrapText="bothSides">
                    <wp:wrapPolygon edited="0">
                      <wp:start x="-225" y="0"/>
                      <wp:lineTo x="-225" y="21025"/>
                      <wp:lineTo x="21600" y="21025"/>
                      <wp:lineTo x="21600" y="0"/>
                      <wp:lineTo x="-225" y="0"/>
                    </wp:wrapPolygon>
                  </wp:wrapTight>
                  <wp:docPr id="10" name="Imag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39" t="-96" r="-39" b="-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20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</w:rPr>
              <w:t xml:space="preserve">Engineering, Procurement &amp; Construction     (Business &amp; Technology)         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>
        <w:trPr>
          <w:trHeight w:val="556" w:hRule="atLeast"/>
        </w:trPr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Purchasing/Supply Chain Management</w:t>
            </w:r>
          </w:p>
          <w:p>
            <w:pPr>
              <w:pStyle w:val="BodyTextIndent"/>
              <w:ind w:start="0" w:end="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(Joint session with Track 2 of e-ProCom)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EPC Project Management 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sz w:val="16"/>
              </w:rPr>
              <w:t>Global Sourcing and Partnering</w:t>
            </w:r>
          </w:p>
          <w:p>
            <w:pPr>
              <w:pStyle w:val="BodyTextIndent"/>
              <w:ind w:start="0" w:end="0"/>
              <w:jc w:val="center"/>
              <w:rPr>
                <w:sz w:val="16"/>
              </w:rPr>
            </w:pPr>
            <w:r>
              <w:rPr>
                <w:i/>
                <w:iCs/>
                <w:sz w:val="16"/>
              </w:rPr>
              <w:t>(Joint session with Track 2 of e-ProCom)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BodyTextIndent"/>
              <w:snapToGrid w:val="false"/>
              <w:ind w:start="0" w:end="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thickThinSmallGap" w:sz="24" w:space="0" w:color="000000"/>
              <w:end w:val="single" w:sz="4" w:space="0" w:color="000000"/>
            </w:tcBorders>
          </w:tcPr>
          <w:p>
            <w:pPr>
              <w:pStyle w:val="BodyTextIndent"/>
              <w:snapToGrid w:val="false"/>
              <w:ind w:start="0" w:end="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</w:r>
          </w:p>
        </w:tc>
      </w:tr>
      <w:tr>
        <w:trPr/>
        <w:tc>
          <w:tcPr>
            <w:tcW w:w="15120" w:type="dxa"/>
            <w:gridSpan w:val="14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  <w:shd w:fill="008000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/>
              <w:drawing>
                <wp:inline distT="0" distB="0" distL="0" distR="0">
                  <wp:extent cx="555625" cy="333375"/>
                  <wp:effectExtent l="0" t="0" r="0" b="0"/>
                  <wp:docPr id="11" name="Image1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39" t="-66" r="-39"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e-Pro Com for Utility &amp; Energy e-Business </w:t>
            </w:r>
          </w:p>
        </w:tc>
      </w:tr>
      <w:tr>
        <w:trPr/>
        <w:tc>
          <w:tcPr>
            <w:tcW w:w="15120" w:type="dxa"/>
            <w:gridSpan w:val="1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Track 1:  Integrating e-Commerce &amp; Technology Benefits into the Enterprise      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Executive Perspectives in Maximizing Returns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Here C-Level Executives discuss the successes and failures on specific projects.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Transforming the Enterprise with e-Business</w:t>
            </w:r>
          </w:p>
          <w:p>
            <w:pPr>
              <w:pStyle w:val="Heading2"/>
              <w:ind w:hanging="0" w:start="0"/>
              <w:rPr/>
            </w:pPr>
            <w:r>
              <w:rPr/>
              <w:t>Case Study presented by Enron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*Business Case for Transformation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*Technology to Achieve Transformation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*Change Management and People Issues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Getting Closer to Your Customers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Panel Discussion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*Billing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*CIS Metering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*CRM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*Regulated vs. De-Regulated Customer Contact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Achieving Integrated Business Flows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How do you connect the different parts of the enterprise in an e-business implementation and successfully connect the related data channels and process flows?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*Business Process Engineering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*Planning &amp; Implementation</w:t>
            </w:r>
          </w:p>
          <w:p>
            <w:pPr>
              <w:pStyle w:val="Normal"/>
              <w:rPr>
                <w:b/>
                <w:bCs/>
                <w:sz w:val="16"/>
              </w:rPr>
            </w:pPr>
            <w:r>
              <w:rPr>
                <w:sz w:val="16"/>
              </w:rPr>
              <w:t>*Utility Customer Testimony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6"/>
              </w:rPr>
            </w:pPr>
            <w:r>
              <w:rPr>
                <w:bCs/>
                <w:sz w:val="16"/>
              </w:rPr>
              <w:t xml:space="preserve">Business Intelligence to Optimize Generation </w:t>
            </w:r>
          </w:p>
        </w:tc>
      </w:tr>
      <w:tr>
        <w:trPr>
          <w:trHeight w:val="402" w:hRule="atLeast"/>
        </w:trPr>
        <w:tc>
          <w:tcPr>
            <w:tcW w:w="15120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</w:rPr>
              <w:t xml:space="preserve">Track 2: Purchasing/Procurement/Supply Chain Management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</w:tr>
      <w:tr>
        <w:trPr/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Purchasing/Supply Chain Management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i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(Joint Session with EPC Business &amp; Technology)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  <w:r>
              <w:rPr>
                <w:bCs/>
                <w:sz w:val="16"/>
              </w:rPr>
              <w:t>Current State of Procurement Exchanges</w:t>
            </w:r>
          </w:p>
        </w:tc>
        <w:tc>
          <w:tcPr>
            <w:tcW w:w="302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Global Sourcing and Partnering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  <w:r>
              <w:rPr>
                <w:bCs/>
                <w:i/>
                <w:iCs/>
                <w:sz w:val="16"/>
              </w:rPr>
              <w:t>(Joint Session with EPC Business &amp; Technology)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B2B Doesn’t Mean Buyer to Buyer- The Supplier Perspective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/>
                <w:i/>
                <w:iCs/>
                <w:sz w:val="16"/>
              </w:rPr>
            </w:pPr>
            <w:r>
              <w:rPr>
                <w:bCs/>
                <w:sz w:val="16"/>
              </w:rPr>
              <w:t>“</w:t>
            </w:r>
            <w:r>
              <w:rPr>
                <w:bCs/>
                <w:sz w:val="16"/>
              </w:rPr>
              <w:t>What’s In It For Us?”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  <w:r>
              <w:rPr>
                <w:bCs/>
                <w:sz w:val="16"/>
              </w:rPr>
              <w:t>Private Marketplace Strategies</w:t>
            </w:r>
          </w:p>
        </w:tc>
      </w:tr>
    </w:tbl>
    <w:p>
      <w:pPr>
        <w:pStyle w:val="Footer"/>
        <w:tabs>
          <w:tab w:val="clear" w:pos="4320"/>
          <w:tab w:val="clear" w:pos="8640"/>
          <w:tab w:val="left" w:pos="9900" w:leader="none"/>
        </w:tabs>
        <w:rPr/>
      </w:pPr>
      <w:r>
        <w:rPr/>
      </w:r>
    </w:p>
    <w:sectPr>
      <w:headerReference w:type="default" r:id="rId13"/>
      <w:type w:val="nextPage"/>
      <w:pgSz w:orient="landscape" w:w="15840" w:h="12240"/>
      <w:pgMar w:left="720" w:right="720" w:gutter="0" w:header="864" w:top="920" w:footer="0" w:bottom="2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12">
          <wp:simplePos x="0" y="0"/>
          <wp:positionH relativeFrom="column">
            <wp:posOffset>-177165</wp:posOffset>
          </wp:positionH>
          <wp:positionV relativeFrom="paragraph">
            <wp:posOffset>-317500</wp:posOffset>
          </wp:positionV>
          <wp:extent cx="1828800" cy="516890"/>
          <wp:effectExtent l="0" t="0" r="0" b="0"/>
          <wp:wrapTight wrapText="bothSides">
            <wp:wrapPolygon edited="0">
              <wp:start x="-22" y="0"/>
              <wp:lineTo x="-22" y="21507"/>
              <wp:lineTo x="21600" y="21507"/>
              <wp:lineTo x="21600" y="0"/>
              <wp:lineTo x="-22" y="0"/>
            </wp:wrapPolygon>
          </wp:wrapTight>
          <wp:docPr id="12" name="Image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7" r="-2" b="-7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tab/>
      <w:tab/>
      <w:tab/>
    </w:r>
    <w:r>
      <mc:AlternateContent>
        <mc:Choice Requires="wps">
          <w:drawing>
            <wp:anchor behindDoc="1" distT="0" distB="0" distL="114935" distR="114935" simplePos="0" locked="0" layoutInCell="1" allowOverlap="1" relativeHeight="15">
              <wp:simplePos x="0" y="0"/>
              <wp:positionH relativeFrom="column">
                <wp:posOffset>4961890</wp:posOffset>
              </wp:positionH>
              <wp:positionV relativeFrom="paragraph">
                <wp:posOffset>-344805</wp:posOffset>
              </wp:positionV>
              <wp:extent cx="4237990" cy="466090"/>
              <wp:effectExtent l="0" t="0" r="0" b="0"/>
              <wp:wrapNone/>
              <wp:docPr id="1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7990" cy="466090"/>
                      </a:xfrm>
                      <a:prstGeom prst="rect"/>
                      <a:solidFill>
                        <a:srgbClr val="FFFFFF"/>
                      </a:solidFill>
                      <a:ln w="9525">
                        <a:solidFill>
                          <a:srgbClr val="008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Heading9"/>
                            <w:ind w:hanging="0" w:start="0"/>
                            <w:jc w:val="center"/>
                            <w:rPr>
                              <w:color w:val="FF6600"/>
                              <w:sz w:val="28"/>
                            </w:rPr>
                          </w:pPr>
                          <w:r>
                            <w:rPr>
                              <w:color w:val="FF6600"/>
                              <w:sz w:val="28"/>
                            </w:rPr>
                            <w:t>Electric Power 2002 Conference &amp; Exhibition</w:t>
                          </w:r>
                        </w:p>
                        <w:p>
                          <w:pPr>
                            <w:pStyle w:val="Normal"/>
                            <w:jc w:val="center"/>
                            <w:rPr>
                              <w:color w:val="FF6600"/>
                            </w:rPr>
                          </w:pPr>
                          <w:r>
                            <w:rPr>
                              <w:color w:val="FF6600"/>
                            </w:rPr>
                            <w:t>March 19-21, 2002, America’s Center, St. Louis, Missouri, USA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008000" strokeweight="0pt" style="position:absolute;rotation:-0;width:333.7pt;height:36.7pt;mso-wrap-distance-left:9.05pt;mso-wrap-distance-right:9.05pt;mso-wrap-distance-top:0pt;mso-wrap-distance-bottom:0pt;margin-top:-27.15pt;mso-position-vertical-relative:text;margin-left:390.7pt;mso-position-horizontal-relative:text">
              <v:textbox>
                <w:txbxContent>
                  <w:p>
                    <w:pPr>
                      <w:pStyle w:val="Heading9"/>
                      <w:ind w:hanging="0" w:start="0"/>
                      <w:jc w:val="center"/>
                      <w:rPr>
                        <w:color w:val="FF6600"/>
                        <w:sz w:val="28"/>
                      </w:rPr>
                    </w:pPr>
                    <w:r>
                      <w:rPr>
                        <w:color w:val="FF6600"/>
                        <w:sz w:val="28"/>
                      </w:rPr>
                      <w:t>Electric Power 2002 Conference &amp; Exhibition</w:t>
                    </w:r>
                  </w:p>
                  <w:p>
                    <w:pPr>
                      <w:pStyle w:val="Normal"/>
                      <w:jc w:val="center"/>
                      <w:rPr>
                        <w:color w:val="FF6600"/>
                      </w:rPr>
                    </w:pPr>
                    <w:r>
                      <w:rPr>
                        <w:color w:val="FF6600"/>
                      </w:rPr>
                      <w:t>March 19-21, 2002, America’s Center, St. Louis, Missouri, USA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  <w:iCs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3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808080"/>
      <w:sz w:val="1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8000"/>
      <w:sz w:val="4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ailstyle18">
    <w:name w:val="emailstyle18"/>
    <w:basedOn w:val="DefaultParagraphFont"/>
    <w:qFormat/>
    <w:rPr>
      <w:rFonts w:ascii="Arial" w:hAnsi="Arial" w:cs="Arial"/>
      <w:color w:val="000080"/>
      <w:sz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3">
    <w:name w:val="Body Text 3"/>
    <w:basedOn w:val="Normal"/>
    <w:qFormat/>
    <w:pPr>
      <w:jc w:val="center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sz w:val="18"/>
    </w:rPr>
  </w:style>
  <w:style w:type="paragraph" w:styleId="ListBullet3">
    <w:name w:val="List Bullet 3"/>
    <w:basedOn w:val="Normal"/>
    <w:qFormat/>
    <w:pPr>
      <w:tabs>
        <w:tab w:val="clear" w:pos="720"/>
        <w:tab w:val="left" w:pos="162" w:leader="none"/>
        <w:tab w:val="left" w:pos="252" w:leader="none"/>
      </w:tabs>
      <w:ind w:hanging="0" w:start="162" w:end="0"/>
      <w:jc w:val="center"/>
    </w:pPr>
    <w:rPr>
      <w:bCs/>
    </w:rPr>
  </w:style>
  <w:style w:type="paragraph" w:styleId="BodyTextIndent2">
    <w:name w:val="Body Text Indent 2"/>
    <w:basedOn w:val="Normal"/>
    <w:qFormat/>
    <w:pPr>
      <w:ind w:hanging="0" w:start="1380" w:end="0"/>
      <w:jc w:val="center"/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ind w:hanging="0" w:start="360" w:end="0"/>
    </w:pPr>
    <w:rPr>
      <w:sz w:val="18"/>
    </w:rPr>
  </w:style>
  <w:style w:type="paragraph" w:styleId="ListBullet2">
    <w:name w:val="List Bullet 2"/>
    <w:basedOn w:val="Normal"/>
    <w:pPr>
      <w:ind w:hanging="360" w:start="720" w:end="0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pn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eader" Target="head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2001-06-28T20:19:00Z</dcterms:created>
  <dc:creator>nicoled</dc:creator>
  <dc:description/>
  <dc:language>en-CA</dc:language>
  <cp:lastModifiedBy>Work Station</cp:lastModifiedBy>
  <cp:lastPrinted>2001-08-27T09:24:00Z</cp:lastPrinted>
  <dcterms:modified xsi:type="dcterms:W3CDTF">2001-08-30T14:29:00Z</dcterms:modified>
  <cp:revision>96</cp:revision>
  <dc:subject/>
  <dc:title>March 19- P</dc:title>
</cp:coreProperties>
</file>