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b/>
          <w:sz w:val="30"/>
        </w:rPr>
      </w:pPr>
      <w:r>
        <w:rPr>
          <w:rFonts w:cs="Times New Roman" w:ascii="Times New Roman" w:hAnsi="Times New Roman"/>
          <w:b/>
          <w:sz w:val="30"/>
        </w:rPr>
        <w:t xml:space="preserve">Dockets Nos. EL00-95-045 </w:t>
      </w:r>
    </w:p>
    <w:p>
      <w:pPr>
        <w:pStyle w:val="Normal"/>
        <w:jc w:val="end"/>
        <w:rPr>
          <w:rFonts w:ascii="Times New Roman" w:hAnsi="Times New Roman" w:cs="Times New Roman"/>
          <w:b/>
          <w:sz w:val="30"/>
        </w:rPr>
      </w:pPr>
      <w:r>
        <w:rPr>
          <w:rFonts w:cs="Times New Roman" w:ascii="Times New Roman" w:hAnsi="Times New Roman"/>
          <w:b/>
          <w:sz w:val="30"/>
        </w:rPr>
        <w:t>and EL00-98-042</w:t>
      </w:r>
    </w:p>
    <w:p>
      <w:pPr>
        <w:pStyle w:val="Normal"/>
        <w:jc w:val="end"/>
        <w:rPr>
          <w:rFonts w:ascii="Times New Roman" w:hAnsi="Times New Roman" w:cs="Times New Roman"/>
          <w:b/>
          <w:sz w:val="30"/>
        </w:rPr>
      </w:pPr>
      <w:r>
        <w:rPr>
          <w:rFonts w:cs="Times New Roman" w:ascii="Times New Roman" w:hAnsi="Times New Roman"/>
          <w:b/>
          <w:sz w:val="30"/>
        </w:rPr>
        <w:t>Exhibit GC-1</w:t>
      </w:r>
    </w:p>
    <w:p>
      <w:pPr>
        <w:pStyle w:val="Normal"/>
        <w:jc w:val="center"/>
        <w:rPr>
          <w:rFonts w:ascii="Times New Roman" w:hAnsi="Times New Roman" w:cs="Times New Roman"/>
          <w:b/>
          <w:sz w:val="30"/>
        </w:rPr>
      </w:pPr>
      <w:r>
        <w:rPr>
          <w:rFonts w:cs="Times New Roman" w:ascii="Times New Roman" w:hAnsi="Times New Roman"/>
          <w:b/>
          <w:sz w:val="30"/>
        </w:rPr>
      </w:r>
    </w:p>
    <w:p>
      <w:pPr>
        <w:pStyle w:val="Normal"/>
        <w:jc w:val="center"/>
        <w:rPr>
          <w:rFonts w:ascii="Times New Roman" w:hAnsi="Times New Roman" w:cs="Times New Roman"/>
          <w:b/>
          <w:sz w:val="30"/>
        </w:rPr>
      </w:pPr>
      <w:r>
        <w:rPr>
          <w:rFonts w:cs="Times New Roman" w:ascii="Times New Roman" w:hAnsi="Times New Roman"/>
          <w:b/>
          <w:sz w:val="30"/>
        </w:rPr>
      </w:r>
    </w:p>
    <w:p>
      <w:pPr>
        <w:pStyle w:val="Normal"/>
        <w:jc w:val="center"/>
        <w:rPr>
          <w:rFonts w:ascii="Times New Roman" w:hAnsi="Times New Roman" w:cs="Times New Roman"/>
          <w:b/>
          <w:sz w:val="30"/>
        </w:rPr>
      </w:pPr>
      <w:r>
        <w:rPr>
          <w:rFonts w:cs="Times New Roman" w:ascii="Times New Roman" w:hAnsi="Times New Roman"/>
          <w:b/>
          <w:sz w:val="30"/>
        </w:rPr>
        <w:t>UNITED STATES OF AMERICA</w:t>
      </w:r>
    </w:p>
    <w:p>
      <w:pPr>
        <w:pStyle w:val="Normal"/>
        <w:jc w:val="center"/>
        <w:rPr>
          <w:rFonts w:ascii="Times New Roman" w:hAnsi="Times New Roman" w:cs="Times New Roman"/>
          <w:b/>
          <w:sz w:val="30"/>
        </w:rPr>
      </w:pPr>
      <w:r>
        <w:rPr>
          <w:rFonts w:cs="Times New Roman" w:ascii="Times New Roman" w:hAnsi="Times New Roman"/>
          <w:b/>
          <w:sz w:val="30"/>
        </w:rPr>
        <w:t>BEFORE THE</w:t>
      </w:r>
    </w:p>
    <w:p>
      <w:pPr>
        <w:pStyle w:val="Normal"/>
        <w:jc w:val="center"/>
        <w:rPr>
          <w:rFonts w:ascii="Times New Roman" w:hAnsi="Times New Roman" w:cs="Times New Roman"/>
          <w:b/>
          <w:sz w:val="30"/>
        </w:rPr>
      </w:pPr>
      <w:r>
        <w:rPr>
          <w:rFonts w:cs="Times New Roman" w:ascii="Times New Roman" w:hAnsi="Times New Roman"/>
          <w:b/>
          <w:sz w:val="30"/>
        </w:rPr>
        <w:t>FEDERAL ENERGY REGULATORY COMMISSION</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tbl>
      <w:tblPr>
        <w:tblW w:w="8640" w:type="dxa"/>
        <w:jc w:val="start"/>
        <w:tblInd w:w="0" w:type="dxa"/>
        <w:tblLayout w:type="fixed"/>
        <w:tblCellMar>
          <w:top w:w="0" w:type="dxa"/>
          <w:start w:w="108" w:type="dxa"/>
          <w:bottom w:w="0" w:type="dxa"/>
          <w:end w:w="108" w:type="dxa"/>
        </w:tblCellMar>
      </w:tblPr>
      <w:tblGrid>
        <w:gridCol w:w="4522"/>
        <w:gridCol w:w="619"/>
        <w:gridCol w:w="3499"/>
      </w:tblGrid>
      <w:tr>
        <w:trPr/>
        <w:tc>
          <w:tcPr>
            <w:tcW w:w="4522" w:type="dxa"/>
            <w:tcBorders/>
          </w:tcPr>
          <w:p>
            <w:pPr>
              <w:pStyle w:val="Normal"/>
              <w:ind w:hanging="360" w:start="360" w:end="0"/>
              <w:rPr>
                <w:rFonts w:ascii="Times New Roman" w:hAnsi="Times New Roman" w:cs="Times New Roman"/>
                <w:b/>
                <w:sz w:val="24"/>
              </w:rPr>
            </w:pPr>
            <w:bookmarkStart w:id="0" w:name="case_name"/>
            <w:bookmarkEnd w:id="0"/>
            <w:r>
              <w:rPr>
                <w:rFonts w:cs="Times New Roman" w:ascii="Times New Roman" w:hAnsi="Times New Roman"/>
                <w:b/>
                <w:sz w:val="24"/>
              </w:rPr>
              <w:t>San Diego Gas &amp; Electric Company</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 xml:space="preserve">                           </w:t>
            </w:r>
            <w:r>
              <w:rPr>
                <w:rFonts w:cs="Times New Roman" w:ascii="Times New Roman" w:hAnsi="Times New Roman"/>
                <w:b/>
                <w:sz w:val="24"/>
              </w:rPr>
              <w:t>v.</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Sellers of Energy and Ancillary Services Into Markets Operated By the California Independent System Operator Corporation and the California Power Exchange Corporation</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tc>
        <w:tc>
          <w:tcPr>
            <w:tcW w:w="619" w:type="dxa"/>
            <w:tcBorders/>
          </w:tcPr>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r>
          </w:p>
        </w:tc>
        <w:tc>
          <w:tcPr>
            <w:tcW w:w="3499" w:type="dxa"/>
            <w:tcBorders/>
          </w:tcPr>
          <w:p>
            <w:pPr>
              <w:pStyle w:val="Normal"/>
              <w:snapToGrid w:val="false"/>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i/>
                <w:i/>
                <w:sz w:val="24"/>
              </w:rPr>
            </w:pPr>
            <w:r>
              <w:rPr>
                <w:rFonts w:cs="Times New Roman" w:ascii="Times New Roman" w:hAnsi="Times New Roman"/>
                <w:b/>
                <w:sz w:val="24"/>
              </w:rPr>
              <w:t xml:space="preserve">Dockets Nos. </w:t>
            </w:r>
            <w:bookmarkStart w:id="1" w:name="docket_nos"/>
            <w:bookmarkEnd w:id="1"/>
            <w:r>
              <w:rPr>
                <w:rFonts w:cs="Times New Roman" w:ascii="Times New Roman" w:hAnsi="Times New Roman"/>
                <w:b/>
                <w:sz w:val="24"/>
              </w:rPr>
              <w:t>EL00-95-045 and EL00-98-042</w:t>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tc>
      </w:tr>
    </w:tbl>
    <w:p>
      <w:pPr>
        <w:pStyle w:val="Normal"/>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30"/>
        </w:rPr>
      </w:pPr>
      <w:r>
        <w:rPr>
          <w:rFonts w:cs="Times New Roman" w:ascii="Times New Roman" w:hAnsi="Times New Roman"/>
          <w:b/>
          <w:sz w:val="30"/>
        </w:rPr>
        <w:t xml:space="preserve">Direct Testimony of Tim Culbertson on Behalf of </w:t>
      </w:r>
    </w:p>
    <w:p>
      <w:pPr>
        <w:pStyle w:val="Normal"/>
        <w:jc w:val="center"/>
        <w:rPr>
          <w:rFonts w:ascii="Times New Roman" w:hAnsi="Times New Roman" w:cs="Times New Roman"/>
          <w:b/>
          <w:sz w:val="30"/>
        </w:rPr>
      </w:pPr>
      <w:r>
        <w:rPr>
          <w:rFonts w:cs="Times New Roman" w:ascii="Times New Roman" w:hAnsi="Times New Roman"/>
          <w:b/>
          <w:sz w:val="30"/>
        </w:rPr>
        <w:t xml:space="preserve">Public Utility District No. 2 of Grant County, Washington </w:t>
      </w:r>
    </w:p>
    <w:p>
      <w:pPr>
        <w:pStyle w:val="Normal"/>
        <w:jc w:val="center"/>
        <w:rPr>
          <w:rFonts w:ascii="Times New Roman" w:hAnsi="Times New Roman" w:cs="Times New Roman"/>
          <w:b/>
          <w:sz w:val="30"/>
          <w:u w:val="single"/>
        </w:rPr>
      </w:pPr>
      <w:r>
        <w:rPr>
          <w:rFonts w:cs="Times New Roman" w:ascii="Times New Roman" w:hAnsi="Times New Roman"/>
          <w:b/>
          <w:sz w:val="30"/>
        </w:rPr>
        <w:t>Regarding Purchased Power Costs</w:t>
      </w:r>
    </w:p>
    <w:p>
      <w:pPr>
        <w:pStyle w:val="Normal"/>
        <w:jc w:val="center"/>
        <w:rPr>
          <w:rFonts w:ascii="Times New Roman" w:hAnsi="Times New Roman" w:cs="Times New Roman"/>
          <w:b/>
          <w:sz w:val="28"/>
          <w:u w:val="single"/>
        </w:rPr>
      </w:pPr>
      <w:r>
        <w:rPr>
          <w:rFonts w:cs="Times New Roman" w:ascii="Times New Roman" w:hAnsi="Times New Roman"/>
          <w:b/>
          <w:sz w:val="28"/>
          <w:u w:val="single"/>
        </w:rPr>
      </w:r>
    </w:p>
    <w:p>
      <w:pPr>
        <w:sectPr>
          <w:footerReference w:type="default" r:id="rId2"/>
          <w:footerReference w:type="first" r:id="rId3"/>
          <w:type w:val="nextPage"/>
          <w:pgSz w:w="12240" w:h="15840"/>
          <w:pgMar w:left="1440" w:right="1440" w:gutter="0" w:header="0" w:top="1440" w:footer="864" w:bottom="1440"/>
          <w:lnNumType w:countBy="1" w:restart="newPage" w:distance="283"/>
          <w:pgNumType w:fmt="decimal"/>
          <w:formProt w:val="false"/>
          <w:titlePg/>
          <w:textDirection w:val="lrTb"/>
          <w:docGrid w:type="default" w:linePitch="360" w:charSpace="0"/>
        </w:sectPr>
      </w:pP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Q1:</w:t>
        <w:tab/>
        <w:t>Please state your full name and business address for the record.</w:t>
      </w:r>
    </w:p>
    <w:p>
      <w:pPr>
        <w:pStyle w:val="Normal"/>
        <w:spacing w:lineRule="auto" w:line="480"/>
        <w:ind w:hanging="720" w:start="720" w:end="0"/>
        <w:rPr>
          <w:rFonts w:ascii="Times New Roman" w:hAnsi="Times New Roman" w:cs="Times New Roman"/>
          <w:sz w:val="24"/>
        </w:rPr>
      </w:pPr>
      <w:r>
        <w:rPr>
          <w:rFonts w:cs="Times New Roman" w:ascii="Times New Roman" w:hAnsi="Times New Roman"/>
          <w:sz w:val="24"/>
        </w:rPr>
        <w:t>A1:</w:t>
        <w:tab/>
        <w:t>My name is Tim Culbertson.  I am Manager of Marketing and Operations for Public Utility District No. 2 of Grant County, Washington (“Grant” or “District”).  My business address is Post Office Box 878, Ephrata, Washington, 98823.</w:t>
      </w:r>
    </w:p>
    <w:p>
      <w:pPr>
        <w:pStyle w:val="Normal"/>
        <w:spacing w:lineRule="auto" w:line="480"/>
        <w:ind w:hanging="720" w:start="720" w:end="0"/>
        <w:rPr>
          <w:rFonts w:ascii="Times New Roman" w:hAnsi="Times New Roman" w:cs="Times New Roman"/>
          <w:sz w:val="24"/>
        </w:rPr>
      </w:pPr>
      <w:r>
        <w:rPr>
          <w:rFonts w:cs="Times New Roman" w:ascii="Times New Roman" w:hAnsi="Times New Roman"/>
          <w:sz w:val="24"/>
        </w:rPr>
        <w:t>Q2:</w:t>
        <w:tab/>
        <w:t>What are your responsibilities at Grant?</w:t>
      </w:r>
    </w:p>
    <w:p>
      <w:pPr>
        <w:pStyle w:val="Normal"/>
        <w:spacing w:lineRule="auto" w:line="480"/>
        <w:ind w:hanging="720" w:start="720" w:end="0"/>
        <w:rPr/>
      </w:pPr>
      <w:r>
        <w:rPr>
          <w:rFonts w:cs="Times New Roman" w:ascii="Times New Roman" w:hAnsi="Times New Roman"/>
          <w:sz w:val="24"/>
        </w:rPr>
        <w:t>A2:</w:t>
        <w:tab/>
        <w:t>I am responsible for all power transactions for the District.  This includes all wholesale power purchases and sales for the next hour, next day, month ahead, and quarters, out to a year and in some case multiple years, as in the case of the District’s new BPA long term contract.</w:t>
      </w:r>
      <w:r>
        <w:rPr>
          <w:rFonts w:cs="Times New Roman" w:ascii="Times New Roman" w:hAnsi="Times New Roman"/>
          <w:b/>
          <w:sz w:val="24"/>
        </w:rPr>
        <w:t xml:space="preserve">  </w:t>
      </w:r>
      <w:r>
        <w:rPr>
          <w:rFonts w:cs="Times New Roman" w:ascii="Times New Roman" w:hAnsi="Times New Roman"/>
          <w:sz w:val="24"/>
        </w:rPr>
        <w:t>In addition, I am responsible for power supply planning and any potential additional generation development or acquisition.  I also am a member of the Risk Oversight Committee at the District, which makes policy decisions on the appropriate levels of risk.</w:t>
      </w:r>
    </w:p>
    <w:p>
      <w:pPr>
        <w:pStyle w:val="Normal"/>
        <w:spacing w:lineRule="auto" w:line="480"/>
        <w:ind w:hanging="720" w:start="720" w:end="0"/>
        <w:rPr>
          <w:rFonts w:ascii="Times New Roman" w:hAnsi="Times New Roman" w:cs="Times New Roman"/>
          <w:sz w:val="24"/>
        </w:rPr>
      </w:pPr>
      <w:r>
        <w:rPr>
          <w:rFonts w:cs="Times New Roman" w:ascii="Times New Roman" w:hAnsi="Times New Roman"/>
          <w:sz w:val="24"/>
        </w:rPr>
        <w:t>Q3:</w:t>
        <w:tab/>
        <w:t>Do you have education and other work experience that is relevant to your testimony in this proceeding?</w:t>
      </w:r>
    </w:p>
    <w:p>
      <w:pPr>
        <w:pStyle w:val="Normal"/>
        <w:spacing w:lineRule="auto" w:line="480"/>
        <w:ind w:hanging="720" w:start="720" w:end="0"/>
        <w:rPr>
          <w:rFonts w:ascii="Times New Roman" w:hAnsi="Times New Roman" w:cs="Times New Roman"/>
          <w:sz w:val="24"/>
        </w:rPr>
      </w:pPr>
      <w:r>
        <w:rPr>
          <w:rFonts w:cs="Times New Roman" w:ascii="Times New Roman" w:hAnsi="Times New Roman"/>
          <w:sz w:val="24"/>
        </w:rPr>
        <w:t>A3:</w:t>
        <w:tab/>
        <w:t xml:space="preserve">Yes.  I received my degree in Business Administration from Portland State University in 1973.  I have more than 24 years of experience in operations and wholesale power transactions in the Pacific Northwest market. From 1979 until 1990 I was a power scheduler (trader) for Portland General Electric Company (“PGE”).  It was my responsibility to acquire enough power for the system requirements for the next day or days and plan for the system needs out to 90 days.  This meant buying and selling power throughout the Western region.  From 1990 until 1996 I was the Senior Power Scheduler (trader) and was responsible for all buys and sells at PGE for up to thirty days.  From 1995 until early 1996 I was a member of PGE's wholesale marketing team.  As such we were responsible for structured transactions that ranged from one month to multiple years. </w:t>
      </w:r>
    </w:p>
    <w:p>
      <w:pPr>
        <w:pStyle w:val="Normal"/>
        <w:spacing w:lineRule="auto" w:line="480"/>
        <w:ind w:hanging="720" w:start="720" w:end="0"/>
        <w:rPr>
          <w:rFonts w:ascii="Times New Roman" w:hAnsi="Times New Roman" w:cs="Times New Roman"/>
          <w:sz w:val="24"/>
        </w:rPr>
      </w:pPr>
      <w:r>
        <w:rPr>
          <w:rFonts w:cs="Times New Roman" w:ascii="Times New Roman" w:hAnsi="Times New Roman"/>
          <w:sz w:val="24"/>
        </w:rPr>
      </w:r>
    </w:p>
    <w:p>
      <w:pPr>
        <w:pStyle w:val="Normal"/>
        <w:spacing w:lineRule="auto" w:line="480"/>
        <w:ind w:start="720" w:end="0"/>
        <w:rPr>
          <w:rFonts w:ascii="Times New Roman" w:hAnsi="Times New Roman" w:cs="Times New Roman"/>
          <w:sz w:val="24"/>
        </w:rPr>
      </w:pPr>
      <w:r>
        <w:rPr>
          <w:rFonts w:cs="Times New Roman" w:ascii="Times New Roman" w:hAnsi="Times New Roman"/>
          <w:sz w:val="24"/>
        </w:rPr>
        <w:t xml:space="preserve">From early in 1996 until March of 1997 I was Director of Northwest Power Marketing for Aquila Power Corporation.  I was responsible for energy transactions in the Northwest that included buys and sells as well as arranging transmission for these transactions, as Aquila had no assets in the west.  </w:t>
      </w:r>
    </w:p>
    <w:p>
      <w:pPr>
        <w:pStyle w:val="Normal"/>
        <w:spacing w:lineRule="auto" w:line="480"/>
        <w:ind w:start="720" w:end="0"/>
        <w:rPr>
          <w:rFonts w:ascii="Times New Roman" w:hAnsi="Times New Roman" w:cs="Times New Roman"/>
          <w:sz w:val="24"/>
        </w:rPr>
      </w:pPr>
      <w:r>
        <w:rPr>
          <w:rFonts w:cs="Times New Roman" w:ascii="Times New Roman" w:hAnsi="Times New Roman"/>
          <w:sz w:val="24"/>
        </w:rPr>
      </w:r>
    </w:p>
    <w:p>
      <w:pPr>
        <w:pStyle w:val="Normal"/>
        <w:spacing w:lineRule="auto" w:line="480"/>
        <w:ind w:start="720" w:end="0"/>
        <w:rPr>
          <w:rFonts w:ascii="Times New Roman" w:hAnsi="Times New Roman" w:cs="Times New Roman"/>
          <w:sz w:val="24"/>
        </w:rPr>
      </w:pPr>
      <w:r>
        <w:rPr>
          <w:rFonts w:cs="Times New Roman" w:ascii="Times New Roman" w:hAnsi="Times New Roman"/>
          <w:sz w:val="24"/>
        </w:rPr>
        <w:t xml:space="preserve">In April of 1997 I joined Idaho Power Company as Director of Energy Sales.  I was responsible for deal origination for both power and gas structured transactions.  Another part of my responsibilities was to work with other areas of the company like Rates and Regulatory Affairs to help position the company to compete in new markets.  </w:t>
      </w:r>
    </w:p>
    <w:p>
      <w:pPr>
        <w:pStyle w:val="Normal"/>
        <w:spacing w:lineRule="auto" w:line="480"/>
        <w:ind w:start="720" w:end="0"/>
        <w:rPr>
          <w:rFonts w:ascii="Times New Roman" w:hAnsi="Times New Roman" w:cs="Times New Roman"/>
          <w:sz w:val="24"/>
        </w:rPr>
      </w:pPr>
      <w:r>
        <w:rPr>
          <w:rFonts w:cs="Times New Roman" w:ascii="Times New Roman" w:hAnsi="Times New Roman"/>
          <w:sz w:val="24"/>
        </w:rPr>
      </w:r>
    </w:p>
    <w:p>
      <w:pPr>
        <w:pStyle w:val="Normal"/>
        <w:spacing w:lineRule="auto" w:line="480"/>
        <w:ind w:start="720" w:end="0"/>
        <w:rPr>
          <w:rFonts w:ascii="Times New Roman" w:hAnsi="Times New Roman" w:cs="Times New Roman"/>
          <w:sz w:val="24"/>
        </w:rPr>
      </w:pPr>
      <w:r>
        <w:rPr>
          <w:rFonts w:cs="Times New Roman" w:ascii="Times New Roman" w:hAnsi="Times New Roman"/>
          <w:sz w:val="24"/>
        </w:rPr>
        <w:t xml:space="preserve">I left Idaho Power Company in October of 1999 to join Arizona Public Service (“APS”) as the Manager of Northwest energy accounts.  My primary focus was structured deals that ranged in length from one month to multiple years.  </w:t>
      </w:r>
    </w:p>
    <w:p>
      <w:pPr>
        <w:pStyle w:val="Normal"/>
        <w:spacing w:lineRule="auto" w:line="480"/>
        <w:ind w:start="720" w:end="0"/>
        <w:rPr>
          <w:rFonts w:ascii="Times New Roman" w:hAnsi="Times New Roman" w:cs="Times New Roman"/>
          <w:sz w:val="24"/>
        </w:rPr>
      </w:pPr>
      <w:r>
        <w:rPr>
          <w:rFonts w:cs="Times New Roman" w:ascii="Times New Roman" w:hAnsi="Times New Roman"/>
          <w:sz w:val="24"/>
        </w:rPr>
      </w:r>
    </w:p>
    <w:p>
      <w:pPr>
        <w:pStyle w:val="Normal"/>
        <w:spacing w:lineRule="auto" w:line="480"/>
        <w:ind w:start="720" w:end="0"/>
        <w:rPr>
          <w:rFonts w:ascii="Times New Roman" w:hAnsi="Times New Roman" w:cs="Times New Roman"/>
          <w:sz w:val="24"/>
        </w:rPr>
      </w:pPr>
      <w:r>
        <w:rPr>
          <w:rFonts w:cs="Times New Roman" w:ascii="Times New Roman" w:hAnsi="Times New Roman"/>
          <w:sz w:val="24"/>
        </w:rPr>
        <w:t>I left APS in July of 2000 to take my present position as Manager of Marketing and Operations at Grant County Public Utility District #2.</w:t>
      </w:r>
    </w:p>
    <w:p>
      <w:pPr>
        <w:pStyle w:val="Normal"/>
        <w:spacing w:lineRule="auto" w:line="480"/>
        <w:ind w:hanging="720" w:start="720" w:end="0"/>
        <w:rPr>
          <w:rFonts w:ascii="Times New Roman" w:hAnsi="Times New Roman" w:cs="Times New Roman"/>
          <w:sz w:val="24"/>
        </w:rPr>
      </w:pPr>
      <w:r>
        <w:rPr>
          <w:rFonts w:cs="Times New Roman" w:ascii="Times New Roman" w:hAnsi="Times New Roman"/>
          <w:sz w:val="24"/>
        </w:rPr>
        <w:t>Q4:</w:t>
        <w:tab/>
        <w:t>Have you ever provided expert testimony in a regulatory proceeding?</w:t>
      </w:r>
    </w:p>
    <w:p>
      <w:pPr>
        <w:pStyle w:val="Normal"/>
        <w:spacing w:lineRule="auto" w:line="480"/>
        <w:ind w:hanging="720" w:start="720" w:end="0"/>
        <w:rPr>
          <w:rFonts w:ascii="Times New Roman" w:hAnsi="Times New Roman" w:cs="Times New Roman"/>
          <w:sz w:val="24"/>
        </w:rPr>
      </w:pPr>
      <w:r>
        <w:rPr>
          <w:rFonts w:cs="Times New Roman" w:ascii="Times New Roman" w:hAnsi="Times New Roman"/>
          <w:sz w:val="24"/>
        </w:rPr>
        <w:t>A4:</w:t>
        <w:tab/>
        <w:t xml:space="preserve">Yes.  I testified before the Nevada Public Utility Commission in 1999 for a local distribution and irrigation utility in Fallon, Nevada.  They had leased their system to Sierra Pacific Resources and the contract was about to expire.  Fallon wanted to take their system back and operate it under their own control.  I provided testimony about Fallon’s ability to acquire energy in the marketplace, their ability to acquire the required transmission, and their ability to contract for crews to maintain the system.  </w:t>
      </w:r>
    </w:p>
    <w:p>
      <w:pPr>
        <w:pStyle w:val="Normal"/>
        <w:spacing w:lineRule="auto" w:line="480"/>
        <w:ind w:hanging="720" w:start="720" w:end="0"/>
        <w:rPr>
          <w:rFonts w:ascii="Times New Roman" w:hAnsi="Times New Roman" w:cs="Times New Roman"/>
          <w:sz w:val="24"/>
        </w:rPr>
      </w:pPr>
      <w:r>
        <w:rPr>
          <w:rFonts w:cs="Times New Roman" w:ascii="Times New Roman" w:hAnsi="Times New Roman"/>
          <w:sz w:val="24"/>
        </w:rPr>
        <w:tab/>
      </w:r>
    </w:p>
    <w:p>
      <w:pPr>
        <w:pStyle w:val="Normal"/>
        <w:spacing w:lineRule="auto" w:line="480"/>
        <w:ind w:hanging="720" w:start="720" w:end="0"/>
        <w:rPr>
          <w:rFonts w:ascii="Times New Roman" w:hAnsi="Times New Roman" w:cs="Times New Roman"/>
          <w:sz w:val="24"/>
        </w:rPr>
      </w:pPr>
      <w:r>
        <w:rPr>
          <w:rFonts w:cs="Times New Roman" w:ascii="Times New Roman" w:hAnsi="Times New Roman"/>
          <w:sz w:val="24"/>
        </w:rPr>
        <w:tab/>
        <w:t xml:space="preserve">Earlier this year I presented testimony in FERC Docket No. EL01-10-000 regarding the appropriate definition of spot market transactions in the Pacific Northwest, the appropriate scope of the Pacific Northwest market, the relationship between prices at the Mid-Columbia trading point and the prices at other trading points in the Western region during different periods, and the appropriate approach for addressing “ripple claims” and counterclaims in Docket No. EL01-10-000.  </w:t>
      </w:r>
    </w:p>
    <w:p>
      <w:pPr>
        <w:pStyle w:val="Normal"/>
        <w:spacing w:lineRule="auto" w:line="480"/>
        <w:ind w:hanging="720" w:start="720" w:end="0"/>
        <w:rPr>
          <w:rFonts w:ascii="Times New Roman" w:hAnsi="Times New Roman" w:cs="Times New Roman"/>
          <w:sz w:val="24"/>
        </w:rPr>
      </w:pPr>
      <w:r>
        <w:rPr>
          <w:rFonts w:cs="Times New Roman" w:ascii="Times New Roman" w:hAnsi="Times New Roman"/>
          <w:sz w:val="24"/>
        </w:rPr>
        <w:t>Q5:</w:t>
        <w:tab/>
        <w:t>Please describe Grant County Public Utility District #2, its resources, and how it operates.</w:t>
      </w:r>
    </w:p>
    <w:p>
      <w:pPr>
        <w:pStyle w:val="Normal"/>
        <w:spacing w:lineRule="auto" w:line="480"/>
        <w:ind w:hanging="720" w:start="720" w:end="0"/>
        <w:rPr>
          <w:rFonts w:ascii="Times New Roman" w:hAnsi="Times New Roman" w:cs="Times New Roman"/>
          <w:sz w:val="24"/>
        </w:rPr>
      </w:pPr>
      <w:r>
        <w:rPr>
          <w:rFonts w:cs="Times New Roman" w:ascii="Times New Roman" w:hAnsi="Times New Roman"/>
          <w:sz w:val="24"/>
        </w:rPr>
        <w:t>A5:</w:t>
        <w:tab/>
        <w:t>The citizens of Grant County, under Washington State Law, established this consumer-owned utility in 1938 and started operations in 1942.  A Board of Commissioners, comprised of local citizens elected on a nonpartisan basis, sets the policy for this utility.  The District supplies power to approximately 41,000 customers in Grant County, who consumed just over 2,850,000 MWh in 2000.  The District has the sole authority to establish its rates for our retail customers.  The District does not file any of its rates or wholesale contracts with the Federal Energy Regulatory Commission (FERC).</w:t>
      </w:r>
    </w:p>
    <w:p>
      <w:pPr>
        <w:pStyle w:val="Normal"/>
        <w:spacing w:lineRule="auto" w:line="480"/>
        <w:ind w:hanging="720" w:start="720" w:end="0"/>
        <w:rPr>
          <w:rFonts w:ascii="Times New Roman" w:hAnsi="Times New Roman" w:cs="Times New Roman"/>
          <w:sz w:val="24"/>
        </w:rPr>
      </w:pPr>
      <w:r>
        <w:rPr>
          <w:rFonts w:cs="Times New Roman" w:ascii="Times New Roman" w:hAnsi="Times New Roman"/>
          <w:sz w:val="24"/>
        </w:rPr>
      </w:r>
    </w:p>
    <w:p>
      <w:pPr>
        <w:pStyle w:val="Normal"/>
        <w:spacing w:lineRule="auto" w:line="480"/>
        <w:ind w:start="720" w:end="0"/>
        <w:rPr>
          <w:rFonts w:ascii="Times New Roman" w:hAnsi="Times New Roman" w:cs="Times New Roman"/>
          <w:sz w:val="24"/>
        </w:rPr>
      </w:pPr>
      <w:r>
        <w:rPr>
          <w:rFonts w:cs="Times New Roman" w:ascii="Times New Roman" w:hAnsi="Times New Roman"/>
          <w:sz w:val="24"/>
        </w:rPr>
        <w:t xml:space="preserve">Grant is a major generation utility that owns and operates two large hydroelectric power plants on the Columbia River and two small hydroelectric power plants on local irrigation canals.  Electricity is sold on a non-profit basis at retail to Grant County residents and at market-based rates at wholesale to utilities throughout the Northwest.  Our hydroelectric projects have a combined capacity of just over 2000 MW.  The District receives 36.5 % of the output of that generation and sells the balance to other Northwest utilities under long term power sales contracts. </w:t>
      </w:r>
    </w:p>
    <w:p>
      <w:pPr>
        <w:pStyle w:val="Normal"/>
        <w:spacing w:lineRule="auto" w:line="480"/>
        <w:ind w:start="720" w:end="0"/>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b/>
        <w:t>The 36.5 % of project output is insufficient to meet the District’s loads, and we supplement our generation with a long-term power purchase contract with BPA and market purchases.  We use a portfolio approach to meeting our needs and will buy based on load requirements and risk tolerance in the day ahead markets, balance of month markets, quarterly markets, and year ahead markets.  If the District has surpluses to its needs, due to better than expected hydro conditions or lower than expected loads, the District will sell into those same markets.  The District is continually trying to balance its loads and resources and stay within the guidelines established by the Risk Oversight Committee.</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Q6:</w:t>
        <w:tab/>
        <w:t>What is the purpose of your testimony?</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A6:</w:t>
        <w:tab/>
        <w:t>This Exhibit GC-1 summarizes the purchased power costs for Grant for those periods in which the prices for Grant’s spot market sales to the California Independent System Operator Corporation (“ISO”) exceeded the Mitigated Market Clearing Price (“MMCP”) as calculated by the ISO.</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Q7:</w:t>
        <w:tab/>
        <w:t>Please describe the purpose of your calculations relating to Grant’s purchased power costs?</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A7:</w:t>
        <w:tab/>
        <w:t>I am advised by legal counsel that even if (contrary to Grant’s view) the Commission has the jurisdiction over Grant’s sales of energy to require Grant to make refunds for sales at prices in excess of just and reasonable rates, Grant is entitled at a bare minimum to recover its costs for energy sold.  For example, if for a given hour, Grant sold energy to the ISO at a price of $350/Mwh and the revised market clearing price for that hour is determined to be $250/Mwh, it would be unfair and (according to Grant’s counsel) unlawful to require Grant to refund $100/Mwh if Grant’s hourly marginal resource in that hour had a cost of $300/Mwh.  In such a case, Grant would LOSE $50/Mwh on this transaction.</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Q8:</w:t>
        <w:tab/>
        <w:t>Please describe your methodology for calculating Grant’s hourly marginal resource costs.</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A8:</w:t>
        <w:tab/>
        <w:t>Grant’s method of determining hourly marginal resource costs is based on market opportunities.  Since Grant is, generally, in the market either buying or selling, we use as an hourly marginal resource cost the highest incremental purchase during a particular hour.  If we have not purchased during an hour, we use the relevant market index for that hour.</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Q9:</w:t>
        <w:tab/>
        <w:t>Please describe your methodology for comparing Grant’s hourly marginal resource costs with the market clearing price.</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A9:</w:t>
        <w:tab/>
        <w:t>I reviewed hourly data for Grant’s sales to the ISO during the period from October 2, 2000 to June 20, 2001.  For those transactions in which Grant’s sale price was higher than the MMCP as calculated by the ISO, I also compared the sale price to Grant’s hourly marginal resource cost during the same hour.  Exhibit GC-2 shows those comparisons.</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Q10:</w:t>
        <w:tab/>
        <w:t>What were the results of your comparisons?</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A10:</w:t>
        <w:tab/>
        <w:t>Overall, of the sales above the revised market clearing price, approximately 21% were made at times when the MMCP was less than Grant’s hourly marginal resource costs.  This indicates that for these sales, Grant would incur a loss if limited to the MMCP as calculated by the ISO.  Exhibit GC-3 shows that Grant would fail to recover approximately $544,843 in costs if it is required to refund all revenues received from the ISO in excess of the MMCPs as calculated by the ISO.</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Q11:</w:t>
        <w:tab/>
        <w:t>Does this complete your prepared testimony on this subject?</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A11:</w:t>
        <w:tab/>
        <w:t>Yes, it does.</w:t>
      </w:r>
    </w:p>
    <w:p>
      <w:pPr>
        <w:pStyle w:val="Normal"/>
        <w:tabs>
          <w:tab w:val="left" w:pos="720" w:leader="none"/>
          <w:tab w:val="left" w:pos="1440" w:leader="none"/>
        </w:tabs>
        <w:spacing w:lineRule="auto" w:line="480"/>
        <w:rPr>
          <w:rFonts w:ascii="Times New Roman" w:hAnsi="Times New Roman" w:cs="Times New Roman"/>
          <w:b/>
          <w:sz w:val="24"/>
        </w:rPr>
      </w:pPr>
      <w:r>
        <w:rPr>
          <w:rFonts w:cs="Times New Roman" w:ascii="Times New Roman" w:hAnsi="Times New Roman"/>
          <w:b/>
          <w:sz w:val="24"/>
        </w:rPr>
        <w:t>[THE NEXT PAGE IS THE SIGNATURE PAGE]</w:t>
      </w:r>
    </w:p>
    <w:sectPr>
      <w:type w:val="continuous"/>
      <w:pgSz w:w="12240" w:h="15840"/>
      <w:pgMar w:left="1440" w:right="1440" w:gutter="0" w:header="0" w:top="1440" w:footer="864" w:bottom="1440"/>
      <w:lnNumType w:countBy="1" w:restart="newPage" w:distance="283"/>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Kuenst480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pPr>
    <w:r>
      <w:rPr>
        <w:sz w:val="16"/>
        <w:lang w:eastAsia="en-US"/>
      </w:rPr>
      <w:t>1710446</w:t>
    </w: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6</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1710446</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Kuenst480 BT" w:hAnsi="Kuenst480 BT" w:eastAsia="Times New Roman" w:cs="Kuenst480 BT"/>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8080"/>
      <w:u w:val="none"/>
    </w:rPr>
  </w:style>
  <w:style w:type="character" w:styleId="FollowedHyperlink">
    <w:name w:val="FollowedHyperlink"/>
    <w:basedOn w:val="DefaultParagraphFont"/>
    <w:rPr>
      <w:color w:val="800080"/>
      <w:u w:val="none"/>
    </w:rPr>
  </w:style>
  <w:style w:type="character" w:styleId="PageNumber">
    <w:name w:val="page number"/>
    <w:basedOn w:val="DefaultParagraphFont"/>
    <w:rPr>
      <w:rFonts w:ascii="Kuenst480 BT" w:hAnsi="Kuenst480 BT" w:cs="Kuenst480 BT"/>
    </w:rPr>
  </w:style>
  <w:style w:type="character" w:styleId="FootnoteCharacters">
    <w:name w:val="Footnote Characters"/>
    <w:basedOn w:val="DefaultParagraphFont"/>
    <w:qFormat/>
    <w:rPr>
      <w:rFonts w:ascii="Kuenst480 BT" w:hAnsi="Kuenst480 BT" w:cs="Kuenst480 BT"/>
      <w:vertAlign w:val="superscript"/>
    </w:rPr>
  </w:style>
  <w:style w:type="character" w:styleId="LineNumber">
    <w:name w:val="line number"/>
    <w:basedOn w:val="DefaultParagraphFont"/>
    <w:rPr>
      <w:rFonts w:ascii="Kuenst480 BT" w:hAnsi="Kuenst480 BT" w:cs="Kuenst480 BT"/>
    </w:rPr>
  </w:style>
  <w:style w:type="character" w:styleId="EndnoteCharacters">
    <w:name w:val="Endnote Characters"/>
    <w:basedOn w:val="DefaultParagraphFont"/>
    <w:qFormat/>
    <w:rPr>
      <w:rFonts w:ascii="Kuenst480 BT" w:hAnsi="Kuenst480 BT" w:cs="Kuenst480 BT"/>
      <w:vertAlign w:val="superscrip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EnvelopeReturn">
    <w:name w:val="envelope return"/>
    <w:basedOn w:val="Normal"/>
    <w:pPr/>
    <w:rPr>
      <w:sz w:val="20"/>
    </w:rPr>
  </w:style>
  <w:style w:type="paragraph" w:styleId="1E4">
    <w:name w:val="(1) E4"/>
    <w:basedOn w:val="Normal"/>
    <w:qFormat/>
    <w:pPr>
      <w:tabs>
        <w:tab w:val="clear" w:pos="720"/>
        <w:tab w:val="left" w:pos="1440" w:leader="none"/>
      </w:tabs>
      <w:spacing w:lineRule="auto" w:line="420" w:before="0" w:after="120"/>
      <w:ind w:firstLine="720" w:start="1440" w:end="0"/>
      <w:jc w:val="both"/>
    </w:pPr>
    <w:rPr>
      <w:spacing w:val="-3"/>
    </w:rPr>
  </w:style>
  <w:style w:type="paragraph" w:styleId="aE3">
    <w:name w:val="(a) E3"/>
    <w:basedOn w:val="Normal"/>
    <w:qFormat/>
    <w:pPr>
      <w:tabs>
        <w:tab w:val="clear" w:pos="720"/>
        <w:tab w:val="left" w:pos="1440" w:leader="none"/>
        <w:tab w:val="left" w:pos="2160" w:leader="none"/>
        <w:tab w:val="left" w:pos="2880" w:leader="none"/>
        <w:tab w:val="left" w:pos="3600" w:leader="none"/>
      </w:tabs>
      <w:spacing w:lineRule="auto" w:line="420" w:before="120" w:after="120"/>
      <w:ind w:firstLine="720" w:start="720" w:end="0"/>
      <w:jc w:val="both"/>
    </w:pPr>
    <w:rPr>
      <w:spacing w:val="-3"/>
    </w:rPr>
  </w:style>
  <w:style w:type="paragraph" w:styleId="AE5">
    <w:name w:val="(A) E5"/>
    <w:basedOn w:val="Normal"/>
    <w:qFormat/>
    <w:pPr>
      <w:tabs>
        <w:tab w:val="clear" w:pos="720"/>
        <w:tab w:val="left" w:pos="1440" w:leader="none"/>
      </w:tabs>
      <w:spacing w:lineRule="auto" w:line="420" w:before="0" w:after="120"/>
      <w:ind w:firstLine="720" w:start="2160" w:end="0"/>
      <w:jc w:val="both"/>
    </w:pPr>
    <w:rPr>
      <w:spacing w:val="-3"/>
    </w:rPr>
  </w:style>
  <w:style w:type="paragraph" w:styleId="ARTICLEE1">
    <w:name w:val="ARTICLE E1"/>
    <w:basedOn w:val="Normal"/>
    <w:next w:val="Normal"/>
    <w:qFormat/>
    <w:pPr>
      <w:keepNext w:val="true"/>
      <w:keepLines/>
      <w:tabs>
        <w:tab w:val="left" w:pos="720" w:leader="none"/>
        <w:tab w:val="left" w:pos="1440" w:leader="none"/>
      </w:tabs>
      <w:spacing w:lineRule="auto" w:line="420" w:before="120" w:after="0"/>
      <w:jc w:val="center"/>
    </w:pPr>
    <w:rPr>
      <w:b/>
      <w:smallCaps/>
      <w:kern w:val="2"/>
      <w:sz w:val="28"/>
    </w:rPr>
  </w:style>
  <w:style w:type="paragraph" w:styleId="SECTIONE2">
    <w:name w:val="SECTION E2"/>
    <w:basedOn w:val="Normal"/>
    <w:next w:val="Normal"/>
    <w:qFormat/>
    <w:pPr>
      <w:keepNext w:val="true"/>
      <w:keepLines/>
      <w:tabs>
        <w:tab w:val="clear" w:pos="720"/>
        <w:tab w:val="left" w:pos="1800" w:leader="none"/>
        <w:tab w:val="left" w:pos="2880" w:leader="none"/>
        <w:tab w:val="left" w:pos="3600" w:leader="none"/>
      </w:tabs>
      <w:spacing w:lineRule="auto" w:line="420" w:before="120" w:after="120"/>
      <w:jc w:val="both"/>
    </w:pPr>
    <w:rPr>
      <w:b/>
      <w:small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260"/>
    </w:pPr>
    <w:rPr>
      <w:sz w:val="20"/>
    </w:rPr>
  </w:style>
  <w:style w:type="paragraph" w:styleId="Header">
    <w:name w:val="header"/>
    <w:basedOn w:val="Normal"/>
    <w:pPr>
      <w:tabs>
        <w:tab w:val="clear" w:pos="720"/>
        <w:tab w:val="center" w:pos="4680" w:leader="none"/>
        <w:tab w:val="right" w:pos="9360" w:leader="none"/>
      </w:tabs>
    </w:pPr>
    <w:rPr/>
  </w:style>
  <w:style w:type="paragraph" w:styleId="TOC3">
    <w:name w:val="toc 3"/>
    <w:basedOn w:val="Normal"/>
    <w:next w:val="Normal"/>
    <w:pPr>
      <w:ind w:hanging="0" w:start="440" w:end="0"/>
    </w:pPr>
    <w:rPr/>
  </w:style>
  <w:style w:type="paragraph" w:styleId="Index1">
    <w:name w:val="index 1"/>
    <w:basedOn w:val="Normal"/>
    <w:next w:val="Normal"/>
    <w:pPr>
      <w:ind w:hanging="220" w:start="22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60"/>
      <w:jc w:val="center"/>
      <w:outlineLvl w:val="1"/>
    </w:pPr>
    <w:rPr>
      <w:sz w:val="24"/>
    </w:rPr>
  </w:style>
  <w:style w:type="paragraph" w:styleId="TOAHeading">
    <w:name w:val="TOA Heading"/>
    <w:basedOn w:val="Normal"/>
    <w:next w:val="Normal"/>
    <w:qFormat/>
    <w:pPr>
      <w:spacing w:before="120" w:after="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2001-11-06T18:44:00Z</dcterms:created>
  <dc:creator>Thompson Coburn</dc:creator>
  <dc:description/>
  <dc:language>en-CA</dc:language>
  <cp:lastModifiedBy>Thompson Coburn</cp:lastModifiedBy>
  <cp:lastPrinted>2001-11-06T16:14:00Z</cp:lastPrinted>
  <dcterms:modified xsi:type="dcterms:W3CDTF">2001-11-06T19:31:00Z</dcterms:modified>
  <cp:revision>4</cp:revision>
  <dc:subject/>
  <dc:title>Dockets Nos</dc:title>
</cp:coreProperties>
</file>