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November 22, 2000</w:t>
      </w:r>
    </w:p>
    <w:p>
      <w:pPr>
        <w:pStyle w:val="Normal"/>
        <w:rPr>
          <w:sz w:val="22"/>
        </w:rPr>
      </w:pPr>
      <w:r>
        <w:rPr>
          <w:sz w:val="22"/>
        </w:rPr>
      </w:r>
    </w:p>
    <w:p>
      <w:pPr>
        <w:pStyle w:val="Normal"/>
        <w:rPr>
          <w:sz w:val="22"/>
        </w:rPr>
      </w:pPr>
      <w:r>
        <w:rPr>
          <w:sz w:val="22"/>
        </w:rPr>
        <w:t>To:</w:t>
        <w:tab/>
        <w:t>Wendy King</w:t>
      </w:r>
    </w:p>
    <w:p>
      <w:pPr>
        <w:pStyle w:val="Normal"/>
        <w:rPr>
          <w:sz w:val="22"/>
        </w:rPr>
      </w:pPr>
      <w:r>
        <w:rPr>
          <w:sz w:val="22"/>
        </w:rPr>
      </w:r>
    </w:p>
    <w:p>
      <w:pPr>
        <w:pStyle w:val="Normal"/>
        <w:rPr>
          <w:sz w:val="22"/>
        </w:rPr>
      </w:pPr>
      <w:r>
        <w:rPr>
          <w:sz w:val="22"/>
        </w:rPr>
        <w:t>From:</w:t>
        <w:tab/>
        <w:t>Bob Lee</w:t>
      </w:r>
    </w:p>
    <w:p>
      <w:pPr>
        <w:pStyle w:val="Normal"/>
        <w:rPr>
          <w:sz w:val="22"/>
        </w:rPr>
      </w:pPr>
      <w:r>
        <w:rPr>
          <w:sz w:val="22"/>
        </w:rPr>
      </w:r>
    </w:p>
    <w:p>
      <w:pPr>
        <w:pStyle w:val="Normal"/>
        <w:rPr>
          <w:sz w:val="22"/>
        </w:rPr>
      </w:pPr>
      <w:r>
        <w:rPr>
          <w:sz w:val="22"/>
        </w:rPr>
        <w:t>Subj:</w:t>
        <w:tab/>
        <w:t>Hedge strategies for oil-in-storage</w:t>
      </w:r>
    </w:p>
    <w:p>
      <w:pPr>
        <w:pStyle w:val="Normal"/>
        <w:rPr>
          <w:sz w:val="22"/>
        </w:rPr>
      </w:pPr>
      <w:r>
        <w:rPr>
          <w:sz w:val="22"/>
        </w:rPr>
      </w:r>
    </w:p>
    <w:p>
      <w:pPr>
        <w:pStyle w:val="Normal"/>
        <w:rPr>
          <w:sz w:val="22"/>
        </w:rPr>
      </w:pPr>
      <w:r>
        <w:rPr>
          <w:sz w:val="22"/>
        </w:rPr>
        <w:t>An evaluation of hedge strategies for oil-in-storage (Futures Magazine; June, 1996) have been evaluated.  The strategies apply to crude oil and oil products with traded futures and option contracts.</w:t>
      </w:r>
    </w:p>
    <w:p>
      <w:pPr>
        <w:pStyle w:val="Normal"/>
        <w:rPr>
          <w:sz w:val="22"/>
        </w:rPr>
      </w:pPr>
      <w:r>
        <w:rPr>
          <w:sz w:val="22"/>
        </w:rPr>
      </w:r>
    </w:p>
    <w:p>
      <w:pPr>
        <w:pStyle w:val="BodyText2"/>
        <w:rPr/>
      </w:pPr>
      <w:r>
        <w:rPr/>
        <w:t>The strategy carries oil inventory forward in time by selling and buying futures contracts and uses puts and calls to hedge overall shifts of the forward curve.  As seen in Table 1,  the strategy works well in a falling market, turning a loss in value into a substantial profit.  However, in a rising price market, a loss can occur that is larger than just forfeiting the profit that would be gained from a unhedged inventory position.</w:t>
      </w:r>
    </w:p>
    <w:p>
      <w:pPr>
        <w:pStyle w:val="Normal"/>
        <w:rPr>
          <w:sz w:val="22"/>
        </w:rPr>
      </w:pPr>
      <w:r>
        <w:rPr>
          <w:sz w:val="22"/>
        </w:rPr>
      </w:r>
    </w:p>
    <w:tbl>
      <w:tblPr>
        <w:tblW w:w="6750" w:type="dxa"/>
        <w:jc w:val="start"/>
        <w:tblInd w:w="1098" w:type="dxa"/>
        <w:tblLayout w:type="fixed"/>
        <w:tblCellMar>
          <w:top w:w="0" w:type="dxa"/>
          <w:start w:w="108" w:type="dxa"/>
          <w:bottom w:w="0" w:type="dxa"/>
          <w:end w:w="108" w:type="dxa"/>
        </w:tblCellMar>
      </w:tblPr>
      <w:tblGrid>
        <w:gridCol w:w="2094"/>
        <w:gridCol w:w="2406"/>
        <w:gridCol w:w="2250"/>
      </w:tblGrid>
      <w:tr>
        <w:trPr/>
        <w:tc>
          <w:tcPr>
            <w:tcW w:w="6750" w:type="dxa"/>
            <w:gridSpan w:val="3"/>
            <w:tcBorders/>
          </w:tcPr>
          <w:p>
            <w:pPr>
              <w:pStyle w:val="Heading2"/>
              <w:ind w:hanging="0" w:start="0"/>
              <w:rPr/>
            </w:pPr>
            <w:r>
              <w:rPr/>
              <w:t>Table 1 – Hedge Performance</w:t>
            </w:r>
          </w:p>
        </w:tc>
      </w:tr>
      <w:tr>
        <w:trPr/>
        <w:tc>
          <w:tcPr>
            <w:tcW w:w="2094" w:type="dxa"/>
            <w:tcBorders>
              <w:top w:val="single" w:sz="4" w:space="0" w:color="000000"/>
              <w:start w:val="single" w:sz="4" w:space="0" w:color="000000"/>
              <w:bottom w:val="single" w:sz="4" w:space="0" w:color="000000"/>
            </w:tcBorders>
          </w:tcPr>
          <w:p>
            <w:pPr>
              <w:pStyle w:val="Normal"/>
              <w:snapToGrid w:val="false"/>
              <w:rPr>
                <w:sz w:val="22"/>
              </w:rPr>
            </w:pPr>
            <w:r>
              <w:rPr>
                <w:sz w:val="22"/>
              </w:rPr>
            </w:r>
          </w:p>
        </w:tc>
        <w:tc>
          <w:tcPr>
            <w:tcW w:w="2406"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Hedged</w:t>
            </w:r>
          </w:p>
        </w:tc>
        <w:tc>
          <w:tcPr>
            <w:tcW w:w="2250" w:type="dxa"/>
            <w:tcBorders>
              <w:top w:val="single" w:sz="4" w:space="0" w:color="000000"/>
              <w:bottom w:val="single" w:sz="4" w:space="0" w:color="000000"/>
              <w:end w:val="single" w:sz="4" w:space="0" w:color="000000"/>
            </w:tcBorders>
          </w:tcPr>
          <w:p>
            <w:pPr>
              <w:pStyle w:val="Normal"/>
              <w:jc w:val="center"/>
              <w:rPr>
                <w:sz w:val="22"/>
              </w:rPr>
            </w:pPr>
            <w:r>
              <w:rPr>
                <w:sz w:val="22"/>
              </w:rPr>
              <w:t>Unhedged</w:t>
            </w:r>
          </w:p>
        </w:tc>
      </w:tr>
      <w:tr>
        <w:trPr/>
        <w:tc>
          <w:tcPr>
            <w:tcW w:w="2094"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Rising (1/99 – 9/99)</w:t>
            </w:r>
          </w:p>
          <w:p>
            <w:pPr>
              <w:pStyle w:val="Normal"/>
              <w:rPr>
                <w:sz w:val="22"/>
              </w:rPr>
            </w:pPr>
            <w:r>
              <w:rPr>
                <w:sz w:val="22"/>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($9.79)</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$14.70</w:t>
            </w:r>
          </w:p>
        </w:tc>
      </w:tr>
      <w:tr>
        <w:trPr/>
        <w:tc>
          <w:tcPr>
            <w:tcW w:w="2094"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Falling (1/97 – 9/97)</w:t>
            </w:r>
          </w:p>
          <w:p>
            <w:pPr>
              <w:pStyle w:val="Normal"/>
              <w:rPr>
                <w:sz w:val="22"/>
              </w:rPr>
            </w:pPr>
            <w:r>
              <w:rPr>
                <w:sz w:val="22"/>
              </w:rPr>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$9.22</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($5.42)</w:t>
            </w:r>
          </w:p>
        </w:tc>
      </w:tr>
    </w:tbl>
    <w:p>
      <w:pPr>
        <w:pStyle w:val="Normal"/>
        <w:rPr>
          <w:sz w:val="22"/>
        </w:rPr>
      </w:pPr>
      <w:r>
        <w:rPr>
          <w:sz w:val="22"/>
        </w:rPr>
      </w:r>
    </w:p>
    <w:p>
      <w:pPr>
        <w:pStyle w:val="Heading"/>
        <w:jc w:val="start"/>
        <w:rPr>
          <w:rFonts w:ascii="Times New Roman" w:hAnsi="Times New Roman" w:cs="Times New Roman"/>
          <w:b w:val="false"/>
          <w:sz w:val="22"/>
        </w:rPr>
      </w:pPr>
      <w:r>
        <w:rPr>
          <w:rFonts w:cs="Times New Roman" w:ascii="Times New Roman" w:hAnsi="Times New Roman"/>
          <w:b w:val="false"/>
          <w:sz w:val="22"/>
        </w:rPr>
        <w:t>These results suggest that this hedge strategy should be used only when the trader has a directional view for a falling price level over the next period.</w:t>
      </w:r>
    </w:p>
    <w:p>
      <w:pPr>
        <w:pStyle w:val="Heading"/>
        <w:jc w:val="start"/>
        <w:rPr>
          <w:rFonts w:ascii="Times New Roman" w:hAnsi="Times New Roman" w:cs="Times New Roman"/>
          <w:b w:val="false"/>
          <w:sz w:val="22"/>
        </w:rPr>
      </w:pPr>
      <w:r>
        <w:rPr>
          <w:rFonts w:cs="Times New Roman" w:ascii="Times New Roman" w:hAnsi="Times New Roman"/>
          <w:b w:val="false"/>
          <w:sz w:val="22"/>
        </w:rPr>
      </w:r>
      <w:r>
        <w:br w:type="page"/>
      </w:r>
    </w:p>
    <w:p>
      <w:pPr>
        <w:pStyle w:val="Heading"/>
        <w:rPr>
          <w:sz w:val="24"/>
        </w:rPr>
      </w:pPr>
      <w:r>
        <w:rPr>
          <w:sz w:val="24"/>
        </w:rPr>
        <w:t>Hedging Crude Oil Storage using Futures and Options</w:t>
      </w:r>
    </w:p>
    <w:p>
      <w:pPr>
        <w:pStyle w:val="Normal"/>
        <w:jc w:val="center"/>
        <w:rPr>
          <w:rFonts w:ascii="Arial" w:hAnsi="Arial" w:cs="Arial"/>
          <w:b/>
          <w:color w:val="000000"/>
          <w:sz w:val="24"/>
          <w:lang w:eastAsia="en-US"/>
        </w:rPr>
      </w:pPr>
      <w:r>
        <w:rPr>
          <w:rFonts w:cs="Arial" w:ascii="Arial" w:hAnsi="Arial"/>
          <w:b/>
          <w:color w:val="000000"/>
          <w:sz w:val="24"/>
          <w:lang w:eastAsia="en-US"/>
        </w:rPr>
      </w:r>
    </w:p>
    <w:p>
      <w:pPr>
        <w:pStyle w:val="Subtitle"/>
        <w:rPr>
          <w:sz w:val="22"/>
        </w:rPr>
      </w:pPr>
      <w:r>
        <w:rPr>
          <w:sz w:val="22"/>
        </w:rPr>
        <w:t>Description</w:t>
      </w:r>
    </w:p>
    <w:p>
      <w:pPr>
        <w:pStyle w:val="Subtitle"/>
        <w:rPr>
          <w:sz w:val="22"/>
        </w:rPr>
      </w:pPr>
      <w:r>
        <w:rPr>
          <w:sz w:val="22"/>
        </w:rPr>
      </w:r>
    </w:p>
    <w:p>
      <w:pPr>
        <w:pStyle w:val="Subtitle"/>
        <w:rPr>
          <w:sz w:val="22"/>
          <w:u w:val="none"/>
        </w:rPr>
      </w:pPr>
      <w:r>
        <w:object w:dxaOrig="6401" w:dyaOrig="435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43pt;width:272.4pt;height:201.7pt;mso-wrap-distance-left:9.05pt;mso-wrap-distance-right:9.05pt;mso-position-horizontal-relative:text;mso-position-vertical-relative:text" filled="f" o:ole="">
            <v:imagedata r:id="rId3" o:title=""/>
            <w10:wrap type="square" side="left"/>
          </v:shape>
          <o:OLEObject Type="Embed" ProgID="Excel.Sheet.12" ShapeID="ole_rId2" DrawAspect="Content" ObjectID="_560259980" r:id="rId2"/>
        </w:object>
      </w:r>
      <w:r>
        <w:rPr>
          <w:sz w:val="22"/>
          <w:u w:val="none"/>
        </w:rPr>
        <w:t>A trading strategy to store crude oil forward consists of the following trades (Assume cash crude is purchased on Aug. 20, 1996 for delivery in October at the NYMEX settlement price and you want to store it forward for use or sale in November):</w:t>
      </w:r>
    </w:p>
    <w:p>
      <w:pPr>
        <w:pStyle w:val="Subtitle"/>
        <w:rPr>
          <w:sz w:val="22"/>
          <w:u w:val="none"/>
        </w:rPr>
      </w:pPr>
      <w:r>
        <w:rPr>
          <w:sz w:val="22"/>
          <w:u w:val="none"/>
        </w:rPr>
      </w:r>
    </w:p>
    <w:p>
      <w:pPr>
        <w:pStyle w:val="Subtitle"/>
        <w:numPr>
          <w:ilvl w:val="0"/>
          <w:numId w:val="2"/>
        </w:numPr>
        <w:rPr>
          <w:sz w:val="22"/>
          <w:u w:val="none"/>
        </w:rPr>
      </w:pPr>
      <w:r>
        <w:rPr>
          <w:sz w:val="22"/>
          <w:u w:val="none"/>
        </w:rPr>
        <w:t>Sell October NYMEX and buy November NYMEX.  This converts long cash position into a long November futures position.  The intermonth spread risk is neutralized.</w:t>
      </w:r>
    </w:p>
    <w:p>
      <w:pPr>
        <w:pStyle w:val="Subtitle"/>
        <w:rPr>
          <w:sz w:val="22"/>
          <w:u w:val="none"/>
        </w:rPr>
      </w:pPr>
      <w:r>
        <w:rPr>
          <w:sz w:val="22"/>
          <w:u w:val="none"/>
        </w:rPr>
      </w:r>
    </w:p>
    <w:p>
      <w:pPr>
        <w:pStyle w:val="Subtitle"/>
        <w:numPr>
          <w:ilvl w:val="0"/>
          <w:numId w:val="2"/>
        </w:numPr>
        <w:rPr>
          <w:sz w:val="22"/>
          <w:u w:val="none"/>
        </w:rPr>
      </w:pPr>
      <w:r>
        <w:rPr>
          <w:sz w:val="22"/>
          <w:u w:val="none"/>
        </w:rPr>
        <w:t>Buy October put with a strike $0.50 to $1.00 below the October futures price.  This creates a short October position below (Oct Futures Price – Option Premium).  This protects the physical position against a price drop.</w:t>
      </w:r>
      <w:r>
        <w:rPr>
          <w:sz w:val="22"/>
        </w:rPr>
        <w:t xml:space="preserve"> </w:t>
      </w:r>
    </w:p>
    <w:p>
      <w:pPr>
        <w:pStyle w:val="Subtitle"/>
        <w:rPr>
          <w:sz w:val="22"/>
          <w:u w:val="none"/>
        </w:rPr>
      </w:pPr>
      <w:r>
        <w:rPr>
          <w:sz w:val="22"/>
          <w:u w:val="none"/>
        </w:rPr>
      </w:r>
    </w:p>
    <w:p>
      <w:pPr>
        <w:pStyle w:val="Subtitle"/>
        <w:numPr>
          <w:ilvl w:val="0"/>
          <w:numId w:val="2"/>
        </w:numPr>
        <w:rPr>
          <w:sz w:val="22"/>
          <w:u w:val="none"/>
        </w:rPr>
      </w:pPr>
      <w:r>
        <w:object w:dxaOrig="6401"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52pt;margin-top:54.85pt;width:273.15pt;height:206.25pt;mso-wrap-distance-left:9.05pt;mso-wrap-distance-right:9.05pt;mso-position-horizontal-relative:text;mso-position-vertical-relative:text" filled="f" o:ole="">
            <v:imagedata r:id="rId5" o:title=""/>
            <w10:wrap type="square" side="left"/>
          </v:shape>
          <o:OLEObject Type="Embed" ProgID="Excel.Sheet.12" ShapeID="ole_rId4" DrawAspect="Content" ObjectID="_265280294" r:id="rId4"/>
        </w:object>
      </w:r>
      <w:r>
        <w:rPr>
          <w:sz w:val="22"/>
          <w:u w:val="none"/>
        </w:rPr>
        <w:t>Sell a November call with a strike about $2.00 below the November futures price.  The premium received hedges the long November future down to (current futures price – option premium).</w:t>
      </w:r>
    </w:p>
    <w:p>
      <w:pPr>
        <w:pStyle w:val="Subtitle"/>
        <w:rPr>
          <w:sz w:val="22"/>
          <w:u w:val="none"/>
        </w:rPr>
      </w:pPr>
      <w:r>
        <w:rPr>
          <w:sz w:val="22"/>
          <w:u w:val="none"/>
        </w:rPr>
      </w:r>
    </w:p>
    <w:p>
      <w:pPr>
        <w:pStyle w:val="Subtitle"/>
        <w:numPr>
          <w:ilvl w:val="0"/>
          <w:numId w:val="2"/>
        </w:numPr>
        <w:rPr>
          <w:sz w:val="22"/>
          <w:u w:val="none"/>
        </w:rPr>
      </w:pPr>
      <w:r>
        <w:rPr>
          <w:sz w:val="22"/>
          <w:u w:val="none"/>
        </w:rPr>
        <w:t>On the expiration date of the October put (Sept 13) sell it for its intrinsic value if it is in the money.</w:t>
      </w:r>
    </w:p>
    <w:p>
      <w:pPr>
        <w:pStyle w:val="Subtitle"/>
        <w:rPr>
          <w:sz w:val="22"/>
          <w:u w:val="none"/>
        </w:rPr>
      </w:pPr>
      <w:r>
        <w:rPr>
          <w:sz w:val="22"/>
          <w:u w:val="none"/>
        </w:rPr>
      </w:r>
    </w:p>
    <w:p>
      <w:pPr>
        <w:pStyle w:val="Subtitle"/>
        <w:numPr>
          <w:ilvl w:val="0"/>
          <w:numId w:val="2"/>
        </w:numPr>
        <w:rPr>
          <w:sz w:val="22"/>
          <w:u w:val="none"/>
        </w:rPr>
      </w:pPr>
      <w:r>
        <w:rPr>
          <w:sz w:val="22"/>
          <w:u w:val="none"/>
        </w:rPr>
        <w:t>On the expiration date of the October futures (Sept 20), unwind the October-November spread  (Buy October, sell November futures).</w:t>
      </w:r>
    </w:p>
    <w:p>
      <w:pPr>
        <w:pStyle w:val="Subtitle"/>
        <w:rPr>
          <w:sz w:val="22"/>
          <w:u w:val="none"/>
        </w:rPr>
      </w:pPr>
      <w:r>
        <w:rPr>
          <w:sz w:val="22"/>
          <w:u w:val="none"/>
        </w:rPr>
      </w:r>
    </w:p>
    <w:p>
      <w:pPr>
        <w:pStyle w:val="Subtitle"/>
        <w:numPr>
          <w:ilvl w:val="0"/>
          <w:numId w:val="2"/>
        </w:numPr>
        <w:rPr>
          <w:sz w:val="22"/>
          <w:u w:val="none"/>
        </w:rPr>
      </w:pPr>
      <w:r>
        <w:rPr>
          <w:sz w:val="22"/>
          <w:u w:val="none"/>
        </w:rPr>
        <w:t>Sell a second November future – the result is a long physical oil-in-storage/short November future position.  Repeat the cycle to move the storage ahead another month.</w:t>
      </w:r>
    </w:p>
    <w:p>
      <w:pPr>
        <w:pStyle w:val="Subtitle"/>
        <w:rPr>
          <w:sz w:val="22"/>
          <w:u w:val="none"/>
        </w:rPr>
      </w:pPr>
      <w:r>
        <w:rPr>
          <w:sz w:val="22"/>
          <w:u w:val="none"/>
        </w:rPr>
      </w:r>
    </w:p>
    <w:p>
      <w:pPr>
        <w:pStyle w:val="Subtitle"/>
        <w:rPr>
          <w:sz w:val="22"/>
          <w:u w:val="none"/>
        </w:rPr>
      </w:pPr>
      <w:r>
        <w:rPr>
          <w:sz w:val="22"/>
          <w:u w:val="none"/>
        </w:rPr>
        <w:t xml:space="preserve">In the example pictured in Fig. 1, October crude was purchased at $22.00 on Aug, 20.  In this unhedged example, P&amp;L depends only on the October contract at termination on Sep. 20.  When the hedge strategy described above is used, P&amp;L depends on the October price and the spread between the October and November contracts.  Both a shift in the level of the forward curve and a shift in the shape will affect P&amp;L.  </w:t>
      </w:r>
    </w:p>
    <w:p>
      <w:pPr>
        <w:pStyle w:val="Subtitle"/>
        <w:rPr>
          <w:sz w:val="22"/>
          <w:u w:val="none"/>
        </w:rPr>
      </w:pPr>
      <w:r>
        <w:rPr>
          <w:sz w:val="22"/>
          <w:u w:val="none"/>
        </w:rPr>
      </w:r>
    </w:p>
    <w:p>
      <w:pPr>
        <w:pStyle w:val="Subtitle"/>
        <w:rPr>
          <w:sz w:val="22"/>
          <w:u w:val="none"/>
        </w:rPr>
      </w:pPr>
      <w:r>
        <w:rPr>
          <w:sz w:val="22"/>
          <w:u w:val="none"/>
        </w:rPr>
        <w:t>The hedge strategy is most effective in protecting against a fall in the level of the curve, with a secondary impact from the shape.  In fact, a potential loss from a drop in price levels is turned into a profit.  This profit potential is gained at the expense of giving up the profit that would accrue from a rise in prices.  If the price rises, the premium paid for the put is lost, and there is a increasing loss on the short call.</w:t>
      </w:r>
    </w:p>
    <w:p>
      <w:pPr>
        <w:pStyle w:val="Subtitle"/>
        <w:rPr>
          <w:sz w:val="22"/>
          <w:u w:val="none"/>
        </w:rPr>
      </w:pPr>
      <w:r>
        <w:rPr>
          <w:sz w:val="22"/>
          <w:u w:val="none"/>
        </w:rPr>
      </w:r>
    </w:p>
    <w:p>
      <w:pPr>
        <w:pStyle w:val="Subtitle"/>
        <w:rPr>
          <w:sz w:val="22"/>
          <w:u w:val="none"/>
        </w:rPr>
      </w:pPr>
      <w:r>
        <w:rPr>
          <w:sz w:val="22"/>
          <w:u w:val="none"/>
        </w:rPr>
        <w:t>This suggests that the hedge strategy should be used when the trader has a directional view of generally falling prices.  A test of this hypothesis is described in the next section.</w:t>
      </w:r>
      <w:r>
        <w:br w:type="page"/>
      </w:r>
    </w:p>
    <w:p>
      <w:pPr>
        <w:pStyle w:val="Subtitle"/>
        <w:rPr>
          <w:sz w:val="22"/>
        </w:rPr>
      </w:pPr>
      <w:r>
        <w:rPr>
          <w:sz w:val="22"/>
        </w:rPr>
        <w:t>Test of the Hedge Strategy</w:t>
      </w:r>
    </w:p>
    <w:p>
      <w:pPr>
        <w:pStyle w:val="Normal"/>
        <w:rPr>
          <w:rFonts w:ascii="Arial" w:hAnsi="Arial" w:cs="Arial"/>
          <w:color w:val="000000"/>
          <w:sz w:val="22"/>
          <w:u w:val="single"/>
          <w:lang w:eastAsia="en-US"/>
        </w:rPr>
      </w:pPr>
      <w:r>
        <w:rPr>
          <w:sz w:val="22"/>
        </w:rPr>
        <w:t xml:space="preserve"> </w:t>
      </w:r>
    </w:p>
    <w:p>
      <w:pPr>
        <w:pStyle w:val="Heading1"/>
        <w:ind w:hanging="0" w:start="0"/>
        <w:rPr>
          <w:rFonts w:ascii="Arial" w:hAnsi="Arial" w:cs="Arial"/>
          <w:sz w:val="22"/>
        </w:rPr>
      </w:pPr>
      <w:r>
        <w:object w:dxaOrig="7680" w:dyaOrig="409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51.2pt;margin-top:257.8pt;width:370.5pt;height:207pt;mso-wrap-distance-left:9.05pt;mso-wrap-distance-right:9.05pt;mso-position-horizontal-relative:text;mso-position-vertical-relative:text" filled="f" o:ole="">
            <v:imagedata r:id="rId7" o:title=""/>
            <w10:wrap type="square" side="left"/>
          </v:shape>
          <o:OLEObject Type="Embed" ProgID="Excel.Sheet.12" ShapeID="ole_rId6" DrawAspect="Content" ObjectID="_920876487" r:id="rId6"/>
        </w:object>
        <w:object w:dxaOrig="7680"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151.2pt;margin-top:34.6pt;width:369.75pt;height:207pt;mso-wrap-distance-left:9.05pt;mso-wrap-distance-right:9.05pt;mso-position-horizontal-relative:text;mso-position-vertical-relative:text" filled="f" o:ole="">
            <v:imagedata r:id="rId9" o:title=""/>
            <w10:wrap type="square" side="left"/>
          </v:shape>
          <o:OLEObject Type="Embed" ProgID="Excel.Sheet.12" ShapeID="ole_rId8" DrawAspect="Content" ObjectID="_791647923" r:id="rId8"/>
        </w:object>
      </w:r>
      <w:r>
        <w:rPr>
          <w:rFonts w:cs="Arial" w:ascii="Arial" w:hAnsi="Arial"/>
          <w:sz w:val="22"/>
        </w:rPr>
        <w:t xml:space="preserve">Two characteristic market situations were chosen for the test.  Figure 3 shows a rising market.  The futures curve is in backwardation for most of this interval.  There are brief periods of falling prices during the interval. </w:t>
      </w:r>
    </w:p>
    <w:p>
      <w:pPr>
        <w:pStyle w:val="Normal"/>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Figure 4 shows a falling market with brief intervals of rising prices.  The futures curve is in contango for most this period.</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Table 1 compares the performance of the hedge strategy over a 10 month period of rising prices (Fig. 3) to the P&amp;L of an unhedged long position (oil in storage).  As suggested by the P&amp;L of the hedge (Fig. 2), a loss is incurred in eight of the ten periods – the hedge outperforms the unhedged position only when the overall oil price is falling (2/22 – 3/21 and 3/21 – 4/19).  Over the whole ten month period, the hedge loses $9.79 while the unhedged position gains $14.70.  The unhedged position matches the market gain of $14.70.</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The hedge performance over a 10-month period of generally falling prices (Fig. 4) is summarized in Table 2.  In this market, the hedge strategy outperforms the unhedged position in 7 of the 10 periods.  Each of the three losing periods had a price increase.  Over the whole ten-month period, the hedge gains $9.22 while the unhedged position loses $5.42.  The unhedged position matches the market loss of $5.42.</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From these examples, we see that this hedge strategy is best used when the trader has a directional market view of falling oil prices.  In a rising market, the market gain is forfeited and an additional loss from the options positions is incurred.</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A modification of the basic strategy, involving the sale of a straddle, is designed to recover some of the upside potential of holding oil-in-storage.  The performance of this addition is evaluated in the next section.</w:t>
      </w:r>
      <w:r>
        <w:br w:type="page"/>
      </w:r>
    </w:p>
    <w:p>
      <w:pPr>
        <w:pStyle w:val="BodyText"/>
        <w:rPr>
          <w:rFonts w:ascii="Arial" w:hAnsi="Arial" w:cs="Arial"/>
          <w:sz w:val="22"/>
          <w:u w:val="single"/>
        </w:rPr>
      </w:pPr>
      <w:r>
        <w:rPr>
          <w:rFonts w:cs="Arial" w:ascii="Arial" w:hAnsi="Arial"/>
          <w:sz w:val="22"/>
          <w:u w:val="single"/>
        </w:rPr>
        <w:t>Basic Strategy with Straddle</w:t>
      </w:r>
    </w:p>
    <w:p>
      <w:pPr>
        <w:pStyle w:val="BodyText"/>
        <w:rPr>
          <w:rFonts w:ascii="Arial" w:hAnsi="Arial" w:cs="Arial"/>
          <w:sz w:val="22"/>
          <w:u w:val="single"/>
        </w:rPr>
      </w:pPr>
      <w:r>
        <w:rPr>
          <w:rFonts w:cs="Arial" w:ascii="Arial" w:hAnsi="Arial"/>
          <w:sz w:val="22"/>
          <w:u w:val="single"/>
        </w:rPr>
        <w:object w:dxaOrig="6400" w:dyaOrig="46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72.8pt;margin-top:59.35pt;width:324.75pt;height:225.75pt;mso-wrap-distance-left:9.05pt;mso-wrap-distance-right:9.05pt;mso-position-horizontal-relative:text;mso-position-vertical-relative:text" filled="f" o:ole="">
            <v:imagedata r:id="rId11" o:title=""/>
            <w10:wrap type="square" side="left"/>
          </v:shape>
          <o:OLEObject Type="Embed" ProgID="Excel.Sheet.12" ShapeID="ole_rId10" DrawAspect="Content" ObjectID="_452035532" r:id="rId10"/>
        </w:object>
      </w:r>
    </w:p>
    <w:p>
      <w:pPr>
        <w:pStyle w:val="BodyText"/>
        <w:rPr>
          <w:rFonts w:ascii="Arial" w:hAnsi="Arial" w:cs="Arial"/>
          <w:sz w:val="22"/>
        </w:rPr>
      </w:pPr>
      <w:r>
        <w:rPr>
          <w:rFonts w:cs="Arial" w:ascii="Arial" w:hAnsi="Arial"/>
          <w:sz w:val="22"/>
        </w:rPr>
        <w:t xml:space="preserve">A modification of the basic strategy adds the sale of a straddle with a strike $1.00 - $2.00 above the prompt month futures price.  The amount is a selected fraction of the unit contract.  This addition has the potential to recover some of the upside in a rising market.  A typical P&amp;L is shown in Fig. 5.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series of hedges shown in Table 2 was repeated with the addition of a straddle.  The fraction of the basic contract was 0.4.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The results are shoiwn in Table 4.  The hedge performance is improved in five of the ten months, however, the overall loss over the whole ten month period increases from ($9.79) to ($10.29).</w:t>
      </w:r>
    </w:p>
    <w:sectPr>
      <w:type w:val="nextPage"/>
      <w:pgSz w:w="12240" w:h="15840"/>
      <w:pgMar w:left="1440" w:right="144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color w:val="000000"/>
      <w:lang w:eastAsia="en-US"/>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color w:val="000000"/>
      <w:u w:val="single"/>
      <w:lang w:eastAsia="en-US"/>
    </w:rPr>
  </w:style>
  <w:style w:type="paragraph" w:styleId="BodyText2">
    <w:name w:val="Body Text 2"/>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2000-11-14T11:29:00Z</dcterms:created>
  <dc:creator>blee5</dc:creator>
  <dc:description/>
  <dc:language>en-CA</dc:language>
  <cp:lastModifiedBy>blee5</cp:lastModifiedBy>
  <cp:lastPrinted>2000-11-22T12:58:00Z</cp:lastPrinted>
  <dcterms:modified xsi:type="dcterms:W3CDTF">2000-11-22T16:29:00Z</dcterms:modified>
  <cp:revision>7</cp:revision>
  <dc:subject/>
  <dc:title>Hedging Crude oil Storage using Futures and Options</dc:title>
</cp:coreProperties>
</file>