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3"/>
        <w:rPr>
          <w:rFonts w:ascii="Times New Roman" w:hAnsi="Times New Roman" w:cs="Times New Roman"/>
          <w:sz w:val="24"/>
          <w:u w:val="none"/>
        </w:rPr>
      </w:pPr>
      <w:r>
        <w:rPr>
          <w:rFonts w:cs="Times New Roman" w:ascii="Times New Roman" w:hAnsi="Times New Roman"/>
          <w:sz w:val="24"/>
          <w:u w:val="none"/>
        </w:rPr>
        <w:t xml:space="preserve">Field Guide </w:t>
      </w:r>
    </w:p>
    <w:p>
      <w:pPr>
        <w:pStyle w:val="BodyText3"/>
        <w:rPr>
          <w:rFonts w:ascii="Times New Roman" w:hAnsi="Times New Roman" w:cs="Times New Roman"/>
          <w:sz w:val="24"/>
          <w:u w:val="none"/>
        </w:rPr>
      </w:pPr>
      <w:r>
        <w:rPr>
          <w:rFonts w:cs="Times New Roman" w:ascii="Times New Roman" w:hAnsi="Times New Roman"/>
          <w:sz w:val="24"/>
          <w:u w:val="none"/>
        </w:rPr>
        <w:t>For</w:t>
      </w:r>
    </w:p>
    <w:p>
      <w:pPr>
        <w:pStyle w:val="BodyText3"/>
        <w:rPr>
          <w:rFonts w:ascii="Times New Roman" w:hAnsi="Times New Roman" w:cs="Times New Roman"/>
          <w:sz w:val="28"/>
        </w:rPr>
      </w:pPr>
      <w:r>
        <w:rPr>
          <w:rFonts w:cs="Times New Roman" w:ascii="Times New Roman" w:hAnsi="Times New Roman"/>
          <w:sz w:val="28"/>
        </w:rPr>
        <w:t>Reportable Surface Releases of Crude Oil in Non-Sensitive Areas</w:t>
      </w:r>
    </w:p>
    <w:p>
      <w:pPr>
        <w:pStyle w:val="BodyText3"/>
        <w:rPr>
          <w:rFonts w:ascii="Times New Roman" w:hAnsi="Times New Roman" w:cs="Times New Roman"/>
          <w:sz w:val="24"/>
          <w:u w:val="none"/>
        </w:rPr>
      </w:pPr>
      <w:r>
        <w:rPr>
          <w:rFonts w:cs="Times New Roman" w:ascii="Times New Roman" w:hAnsi="Times New Roman"/>
          <w:sz w:val="24"/>
          <w:u w:val="none"/>
        </w:rPr>
        <w:t>SWR 8, 20, 91</w:t>
      </w:r>
    </w:p>
    <w:p>
      <w:pPr>
        <w:pStyle w:val="BodyText3"/>
        <w:rPr>
          <w:rFonts w:ascii="Times New Roman" w:hAnsi="Times New Roman" w:cs="Times New Roman"/>
          <w:b w:val="false"/>
          <w:sz w:val="28"/>
          <w:u w:val="none"/>
        </w:rPr>
      </w:pPr>
      <w:r>
        <w:rPr>
          <w:rFonts w:cs="Times New Roman" w:ascii="Times New Roman" w:hAnsi="Times New Roman"/>
          <w:b w:val="false"/>
          <w:sz w:val="28"/>
          <w:u w:val="none"/>
        </w:rPr>
      </w:r>
    </w:p>
    <w:p>
      <w:pPr>
        <w:pStyle w:val="BodyTextIndent2"/>
        <w:rPr/>
      </w:pPr>
      <w:r>
        <w:rPr/>
        <w:t>To assure persons meet the goals established by Statewide Rules 8, 20, and 91, all spill responses should include:</w:t>
      </w:r>
    </w:p>
    <w:p>
      <w:pPr>
        <w:pStyle w:val="Normal"/>
        <w:ind w:start="360" w:end="0"/>
        <w:jc w:val="both"/>
        <w:rPr>
          <w:b/>
          <w:sz w:val="24"/>
        </w:rPr>
      </w:pPr>
      <w:r>
        <w:rPr>
          <w:b/>
          <w:sz w:val="24"/>
        </w:rPr>
      </w:r>
    </w:p>
    <w:p>
      <w:pPr>
        <w:pStyle w:val="Normal"/>
        <w:numPr>
          <w:ilvl w:val="0"/>
          <w:numId w:val="3"/>
        </w:numPr>
        <w:jc w:val="both"/>
        <w:rPr>
          <w:bCs/>
          <w:sz w:val="24"/>
        </w:rPr>
      </w:pPr>
      <w:r>
        <w:rPr>
          <w:bCs/>
          <w:sz w:val="24"/>
        </w:rPr>
        <w:t>Notice to the RRC as described in Statewide Rule 20(a)(1).  [except for crude oil spills of five barrels or less into the soil]</w:t>
      </w:r>
    </w:p>
    <w:p>
      <w:pPr>
        <w:pStyle w:val="Normal"/>
        <w:jc w:val="both"/>
        <w:rPr>
          <w:bCs/>
          <w:sz w:val="24"/>
        </w:rPr>
      </w:pPr>
      <w:r>
        <w:rPr>
          <w:bCs/>
          <w:sz w:val="24"/>
        </w:rPr>
      </w:r>
    </w:p>
    <w:p>
      <w:pPr>
        <w:pStyle w:val="Normal"/>
        <w:numPr>
          <w:ilvl w:val="0"/>
          <w:numId w:val="3"/>
        </w:numPr>
        <w:jc w:val="both"/>
        <w:rPr>
          <w:sz w:val="24"/>
        </w:rPr>
      </w:pPr>
      <w:r>
        <w:rPr>
          <w:sz w:val="24"/>
        </w:rPr>
        <w:t>Removal of all free liquids immediately as described in SWR 91(c)(1).</w:t>
      </w:r>
    </w:p>
    <w:p>
      <w:pPr>
        <w:pStyle w:val="Normal"/>
        <w:tabs>
          <w:tab w:val="clear" w:pos="720"/>
          <w:tab w:val="left" w:pos="1080" w:leader="none"/>
        </w:tabs>
        <w:jc w:val="both"/>
        <w:rPr>
          <w:sz w:val="24"/>
        </w:rPr>
      </w:pPr>
      <w:r>
        <w:rPr>
          <w:sz w:val="24"/>
        </w:rPr>
      </w:r>
    </w:p>
    <w:p>
      <w:pPr>
        <w:pStyle w:val="BodyTextIndent"/>
        <w:numPr>
          <w:ilvl w:val="0"/>
          <w:numId w:val="3"/>
        </w:numPr>
        <w:rPr/>
      </w:pPr>
      <w:r>
        <w:rPr/>
        <w:t>Vertical and horizontal delineation of all areas with more than one percent by weight of total petroleum hydrocarbon.  Appropriate analytical testing for Total Petroleum Hydrocarbons should be performed to verify that delineation has been achieved.    Available analytical methods include, but are not limited to, 418.1, modified TNRCC 1005 (to include carbon fractions up to C-35), TNRCC 1006, Massachusetts VPH/EPH.  Additional methods may be used provided that the interested party demonstrates that the method is appropriate to characterize the specific crude oil.  Knowledge about product composition is helpful in determining appropriate analytical methods.</w:t>
      </w:r>
    </w:p>
    <w:p>
      <w:pPr>
        <w:pStyle w:val="Normal"/>
        <w:tabs>
          <w:tab w:val="clear" w:pos="720"/>
          <w:tab w:val="left" w:pos="1080" w:leader="none"/>
        </w:tabs>
        <w:jc w:val="both"/>
        <w:rPr>
          <w:sz w:val="24"/>
        </w:rPr>
      </w:pPr>
      <w:r>
        <w:rPr>
          <w:sz w:val="24"/>
        </w:rPr>
      </w:r>
    </w:p>
    <w:p>
      <w:pPr>
        <w:pStyle w:val="Normal"/>
        <w:numPr>
          <w:ilvl w:val="0"/>
          <w:numId w:val="3"/>
        </w:numPr>
        <w:jc w:val="both"/>
        <w:rPr>
          <w:sz w:val="24"/>
        </w:rPr>
      </w:pPr>
      <w:r>
        <w:rPr>
          <w:sz w:val="24"/>
        </w:rPr>
        <w:t>Proper reporting as described in Statewide Rule 91(e).</w:t>
      </w:r>
    </w:p>
    <w:p>
      <w:pPr>
        <w:pStyle w:val="Normal"/>
        <w:jc w:val="both"/>
        <w:rPr>
          <w:sz w:val="24"/>
        </w:rPr>
      </w:pPr>
      <w:r>
        <w:rPr>
          <w:sz w:val="24"/>
        </w:rPr>
      </w:r>
    </w:p>
    <w:p>
      <w:pPr>
        <w:pStyle w:val="Normal"/>
        <w:numPr>
          <w:ilvl w:val="0"/>
          <w:numId w:val="3"/>
        </w:numPr>
        <w:jc w:val="both"/>
        <w:rPr>
          <w:sz w:val="24"/>
        </w:rPr>
      </w:pPr>
      <w:r>
        <w:rPr>
          <w:sz w:val="24"/>
        </w:rPr>
        <w:t>If spill excavation is concurrent with delineation, at least one confirmation sample at the base of the excavation to verify that all soil containing over one percent by weight TPH is brought to the surface for disposal or remediation.</w:t>
      </w:r>
    </w:p>
    <w:p>
      <w:pPr>
        <w:pStyle w:val="Normal"/>
        <w:tabs>
          <w:tab w:val="clear" w:pos="720"/>
          <w:tab w:val="left" w:pos="1350" w:leader="none"/>
        </w:tabs>
        <w:jc w:val="both"/>
        <w:rPr>
          <w:sz w:val="24"/>
        </w:rPr>
      </w:pPr>
      <w:r>
        <w:rPr>
          <w:sz w:val="24"/>
        </w:rPr>
      </w:r>
    </w:p>
    <w:p>
      <w:pPr>
        <w:pStyle w:val="BodyText2"/>
        <w:numPr>
          <w:ilvl w:val="0"/>
          <w:numId w:val="3"/>
        </w:numPr>
        <w:rPr/>
      </w:pPr>
      <w:r>
        <w:rPr/>
        <w:t>If spill excavation is not conducted, delineation may require 5 sample locations  (in a 5-spot pattern) to verify all soil containing over one percent by weight TPH is brought to the surface for disposal or remediation.</w:t>
      </w:r>
    </w:p>
    <w:p>
      <w:pPr>
        <w:pStyle w:val="Normal"/>
        <w:tabs>
          <w:tab w:val="clear" w:pos="720"/>
          <w:tab w:val="left" w:pos="1350" w:leader="none"/>
        </w:tabs>
        <w:ind w:start="360" w:end="0"/>
        <w:jc w:val="both"/>
        <w:rPr>
          <w:sz w:val="24"/>
        </w:rPr>
      </w:pPr>
      <w:r>
        <w:rPr>
          <w:sz w:val="24"/>
        </w:rPr>
      </w:r>
    </w:p>
    <w:p>
      <w:pPr>
        <w:pStyle w:val="Normal"/>
        <w:ind w:start="360" w:end="0"/>
        <w:jc w:val="both"/>
        <w:rPr/>
      </w:pPr>
      <w:r>
        <w:rPr>
          <w:b/>
          <w:sz w:val="28"/>
        </w:rPr>
        <w:t>Delineation and reporting of Spills over 25 bbls</w:t>
      </w:r>
      <w:r>
        <w:rPr>
          <w:sz w:val="28"/>
        </w:rPr>
        <w:t xml:space="preserve"> </w:t>
      </w:r>
    </w:p>
    <w:p>
      <w:pPr>
        <w:pStyle w:val="Normal"/>
        <w:ind w:start="360" w:end="0"/>
        <w:jc w:val="both"/>
        <w:rPr>
          <w:sz w:val="24"/>
        </w:rPr>
      </w:pPr>
      <w:r>
        <w:rPr>
          <w:sz w:val="24"/>
        </w:rPr>
      </w:r>
    </w:p>
    <w:p>
      <w:pPr>
        <w:pStyle w:val="Normal"/>
        <w:numPr>
          <w:ilvl w:val="0"/>
          <w:numId w:val="2"/>
        </w:numPr>
        <w:tabs>
          <w:tab w:val="clear" w:pos="720"/>
          <w:tab w:val="left" w:pos="1440" w:leader="none"/>
        </w:tabs>
        <w:jc w:val="both"/>
        <w:rPr>
          <w:sz w:val="24"/>
        </w:rPr>
      </w:pPr>
      <w:r>
        <w:rPr>
          <w:sz w:val="24"/>
        </w:rPr>
        <w:t>May require 5 sample locations (in a 5-spot pattern) to ensure all soil containing over one percent by weight TPH is brought to the surface for disposal or remediation.</w:t>
      </w:r>
    </w:p>
    <w:p>
      <w:pPr>
        <w:pStyle w:val="Normal"/>
        <w:tabs>
          <w:tab w:val="clear" w:pos="720"/>
          <w:tab w:val="left" w:pos="1440" w:leader="none"/>
        </w:tabs>
        <w:ind w:start="1440" w:end="0"/>
        <w:jc w:val="both"/>
        <w:rPr>
          <w:sz w:val="24"/>
        </w:rPr>
      </w:pPr>
      <w:r>
        <w:rPr>
          <w:sz w:val="24"/>
        </w:rPr>
      </w:r>
    </w:p>
    <w:p>
      <w:pPr>
        <w:pStyle w:val="Normal"/>
        <w:numPr>
          <w:ilvl w:val="0"/>
          <w:numId w:val="2"/>
        </w:numPr>
        <w:tabs>
          <w:tab w:val="clear" w:pos="720"/>
          <w:tab w:val="left" w:pos="1440" w:leader="none"/>
        </w:tabs>
        <w:jc w:val="both"/>
        <w:rPr>
          <w:sz w:val="24"/>
        </w:rPr>
      </w:pPr>
      <w:r>
        <w:rPr>
          <w:sz w:val="24"/>
        </w:rPr>
        <w:t>The operator should forward an initial delineation report including analytical results to the Commission within 45 days of the spill date.</w:t>
      </w:r>
    </w:p>
    <w:p>
      <w:pPr>
        <w:pStyle w:val="Normal"/>
        <w:tabs>
          <w:tab w:val="clear" w:pos="720"/>
          <w:tab w:val="left" w:pos="1440" w:leader="none"/>
        </w:tabs>
        <w:ind w:start="1440" w:end="0"/>
        <w:jc w:val="both"/>
        <w:rPr>
          <w:sz w:val="24"/>
        </w:rPr>
      </w:pPr>
      <w:r>
        <w:rPr>
          <w:sz w:val="24"/>
        </w:rPr>
      </w:r>
    </w:p>
    <w:p>
      <w:pPr>
        <w:pStyle w:val="Normal"/>
        <w:numPr>
          <w:ilvl w:val="0"/>
          <w:numId w:val="2"/>
        </w:numPr>
        <w:tabs>
          <w:tab w:val="clear" w:pos="720"/>
          <w:tab w:val="left" w:pos="1440" w:leader="none"/>
        </w:tabs>
        <w:jc w:val="both"/>
        <w:rPr>
          <w:sz w:val="24"/>
        </w:rPr>
      </w:pPr>
      <w:r>
        <w:rPr>
          <w:sz w:val="24"/>
        </w:rPr>
        <w:t>If spill delineation indicates that the spill site may be in a sensitive area, additional delineation with site-specific criteria will likely be required once the person consults with the appropriate District Office about proper cleanup standards and methods, reporting requirements and other special procedures.</w:t>
      </w:r>
    </w:p>
    <w:p>
      <w:pPr>
        <w:pStyle w:val="Normal"/>
        <w:tabs>
          <w:tab w:val="clear" w:pos="720"/>
          <w:tab w:val="left" w:pos="1440" w:leader="none"/>
        </w:tabs>
        <w:jc w:val="both"/>
        <w:rPr>
          <w:sz w:val="24"/>
        </w:rPr>
      </w:pPr>
      <w:r>
        <w:rPr>
          <w:sz w:val="24"/>
        </w:rPr>
      </w:r>
    </w:p>
    <w:p>
      <w:pPr>
        <w:pStyle w:val="Normal"/>
        <w:tabs>
          <w:tab w:val="clear" w:pos="720"/>
          <w:tab w:val="left" w:pos="1440" w:leader="none"/>
        </w:tabs>
        <w:ind w:start="360" w:end="0"/>
        <w:jc w:val="both"/>
        <w:rPr>
          <w:sz w:val="24"/>
        </w:rPr>
      </w:pPr>
      <w:r>
        <w:rPr>
          <w:sz w:val="24"/>
        </w:rPr>
      </w:r>
    </w:p>
    <w:p>
      <w:pPr>
        <w:pStyle w:val="Normal"/>
        <w:numPr>
          <w:ilvl w:val="0"/>
          <w:numId w:val="2"/>
        </w:numPr>
        <w:tabs>
          <w:tab w:val="clear" w:pos="720"/>
          <w:tab w:val="left" w:pos="1440" w:leader="none"/>
        </w:tabs>
        <w:jc w:val="both"/>
        <w:rPr>
          <w:sz w:val="24"/>
        </w:rPr>
      </w:pPr>
      <w:r>
        <w:rPr>
          <w:sz w:val="24"/>
        </w:rPr>
        <w:t>A topographic map of the spill or GPS coordinates of the area may be requested to assist in the delineation of the site.</w:t>
      </w:r>
    </w:p>
    <w:p>
      <w:pPr>
        <w:pStyle w:val="Normal"/>
        <w:tabs>
          <w:tab w:val="clear" w:pos="720"/>
          <w:tab w:val="left" w:pos="1440" w:leader="none"/>
        </w:tabs>
        <w:ind w:start="1440" w:end="0"/>
        <w:jc w:val="both"/>
        <w:rPr>
          <w:sz w:val="24"/>
        </w:rPr>
      </w:pPr>
      <w:r>
        <w:rPr>
          <w:sz w:val="24"/>
        </w:rPr>
      </w:r>
    </w:p>
    <w:p>
      <w:pPr>
        <w:pStyle w:val="Normal"/>
        <w:numPr>
          <w:ilvl w:val="0"/>
          <w:numId w:val="2"/>
        </w:numPr>
        <w:tabs>
          <w:tab w:val="clear" w:pos="720"/>
          <w:tab w:val="left" w:pos="1440" w:leader="none"/>
        </w:tabs>
        <w:jc w:val="both"/>
        <w:rPr>
          <w:sz w:val="24"/>
        </w:rPr>
      </w:pPr>
      <w:r>
        <w:rPr>
          <w:sz w:val="24"/>
        </w:rPr>
        <w:t>Analyses of samples representative of the spill is the preferred method of   verifying that the specific cleanup concentrations described in SWR 91 have been achieved.</w:t>
      </w:r>
    </w:p>
    <w:p>
      <w:pPr>
        <w:pStyle w:val="Normal"/>
        <w:tabs>
          <w:tab w:val="clear" w:pos="720"/>
          <w:tab w:val="left" w:pos="1440" w:leader="none"/>
        </w:tabs>
        <w:jc w:val="both"/>
        <w:rPr>
          <w:sz w:val="24"/>
        </w:rPr>
      </w:pPr>
      <w:r>
        <w:rPr>
          <w:sz w:val="24"/>
        </w:rPr>
      </w:r>
    </w:p>
    <w:p>
      <w:pPr>
        <w:pStyle w:val="Normal"/>
        <w:tabs>
          <w:tab w:val="clear" w:pos="720"/>
          <w:tab w:val="left" w:pos="1440" w:leader="none"/>
        </w:tabs>
        <w:jc w:val="both"/>
        <w:rPr>
          <w:sz w:val="24"/>
        </w:rPr>
      </w:pPr>
      <w:r>
        <w:rPr>
          <w:sz w:val="24"/>
        </w:rPr>
      </w:r>
    </w:p>
    <w:p>
      <w:pPr>
        <w:pStyle w:val="Normal"/>
        <w:tabs>
          <w:tab w:val="clear" w:pos="720"/>
          <w:tab w:val="left" w:pos="1440" w:leader="none"/>
        </w:tabs>
        <w:ind w:start="1440" w:end="0"/>
        <w:jc w:val="both"/>
        <w:rPr>
          <w:sz w:val="24"/>
        </w:rPr>
      </w:pPr>
      <w:r>
        <w:rPr>
          <w:sz w:val="24"/>
        </w:rPr>
      </w:r>
    </w:p>
    <w:p>
      <w:pPr>
        <w:pStyle w:val="Heading1"/>
        <w:tabs>
          <w:tab w:val="clear" w:pos="720"/>
          <w:tab w:val="left" w:pos="1440" w:leader="none"/>
        </w:tabs>
        <w:ind w:hanging="1080" w:start="1440" w:end="0"/>
        <w:rPr/>
      </w:pPr>
      <w:r>
        <w:rPr/>
        <w:t>Remediation of soil</w:t>
      </w:r>
    </w:p>
    <w:p>
      <w:pPr>
        <w:pStyle w:val="Normal"/>
        <w:tabs>
          <w:tab w:val="clear" w:pos="720"/>
          <w:tab w:val="left" w:pos="1440" w:leader="none"/>
        </w:tabs>
        <w:ind w:start="1440" w:end="0"/>
        <w:jc w:val="both"/>
        <w:rPr>
          <w:sz w:val="24"/>
        </w:rPr>
      </w:pPr>
      <w:r>
        <w:rPr>
          <w:sz w:val="24"/>
        </w:rPr>
      </w:r>
    </w:p>
    <w:p>
      <w:pPr>
        <w:pStyle w:val="BodyText"/>
        <w:numPr>
          <w:ilvl w:val="0"/>
          <w:numId w:val="4"/>
        </w:numPr>
        <w:tabs>
          <w:tab w:val="clear" w:pos="720"/>
          <w:tab w:val="left" w:pos="1440" w:leader="none"/>
        </w:tabs>
        <w:rPr/>
      </w:pPr>
      <w:r>
        <w:rPr/>
        <w:t>If on-site bioremediation is chosen, the preferred method of achieving Commission goals as outlined in SWR 91 is mixing the contaminated soil with ambient or clean soil to achieve a uniform mixture that is no more than 18 inches in depth and that contains no more than 5.0% TPH by weight.</w:t>
      </w:r>
    </w:p>
    <w:p>
      <w:pPr>
        <w:pStyle w:val="BodyText"/>
        <w:tabs>
          <w:tab w:val="left" w:pos="720" w:leader="none"/>
          <w:tab w:val="left" w:pos="1440" w:leader="none"/>
        </w:tabs>
        <w:ind w:start="1440" w:end="0"/>
        <w:rPr/>
      </w:pPr>
      <w:r>
        <w:rPr/>
      </w:r>
    </w:p>
    <w:p>
      <w:pPr>
        <w:pStyle w:val="Normal"/>
        <w:numPr>
          <w:ilvl w:val="0"/>
          <w:numId w:val="4"/>
        </w:numPr>
        <w:tabs>
          <w:tab w:val="clear" w:pos="720"/>
          <w:tab w:val="left" w:pos="1440" w:leader="none"/>
        </w:tabs>
        <w:jc w:val="both"/>
        <w:rPr>
          <w:sz w:val="24"/>
        </w:rPr>
      </w:pPr>
      <w:r>
        <w:rPr>
          <w:sz w:val="24"/>
        </w:rPr>
        <w:t>A final cleanup level of 1.0% TPH by weight should be achieved as soon as it is technically feasible but no later than one year after the spill.</w:t>
      </w:r>
    </w:p>
    <w:p>
      <w:pPr>
        <w:pStyle w:val="Normal"/>
        <w:tabs>
          <w:tab w:val="left" w:pos="720" w:leader="none"/>
        </w:tabs>
        <w:ind w:firstLine="60" w:end="0"/>
        <w:jc w:val="both"/>
        <w:rPr>
          <w:sz w:val="24"/>
        </w:rPr>
      </w:pPr>
      <w:r>
        <w:rPr>
          <w:sz w:val="24"/>
        </w:rPr>
      </w:r>
    </w:p>
    <w:p>
      <w:pPr>
        <w:pStyle w:val="Normal"/>
        <w:numPr>
          <w:ilvl w:val="0"/>
          <w:numId w:val="4"/>
        </w:numPr>
        <w:tabs>
          <w:tab w:val="clear" w:pos="720"/>
          <w:tab w:val="left" w:pos="1440" w:leader="none"/>
        </w:tabs>
        <w:jc w:val="both"/>
        <w:rPr>
          <w:sz w:val="24"/>
        </w:rPr>
      </w:pPr>
      <w:r>
        <w:rPr>
          <w:sz w:val="24"/>
        </w:rPr>
        <w:t xml:space="preserve">In order to assure Commission goals expressed in SWR 91 are achieved, samples of remediated soil may be required at the rate of one sample for each 50 cubic yards of affected soil.  </w:t>
      </w:r>
    </w:p>
    <w:p>
      <w:pPr>
        <w:pStyle w:val="Normal"/>
        <w:jc w:val="both"/>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abstractNum w:abstractNumId="3">
    <w:lvl w:ilvl="0">
      <w:start w:val="1"/>
      <w:numFmt w:val="decimal"/>
      <w:lvlText w:val="%1."/>
      <w:lvlJc w:val="start"/>
      <w:pPr>
        <w:tabs>
          <w:tab w:val="num" w:pos="720"/>
        </w:tabs>
        <w:ind w:start="720" w:hanging="360"/>
      </w:pPr>
    </w:lvl>
  </w:abstractNum>
  <w:abstractNum w:abstractNumId="4">
    <w:lvl w:ilvl="0">
      <w:start w:val="1"/>
      <w:numFmt w:val="decimal"/>
      <w:lvlText w:val="%1."/>
      <w:lvlJc w:val="start"/>
      <w:pPr>
        <w:tabs>
          <w:tab w:val="num" w:pos="720"/>
        </w:tabs>
        <w:ind w:start="72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8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b/>
      <w:sz w:val="2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ind w:hanging="0" w:start="360" w:end="0"/>
      <w:jc w:val="both"/>
    </w:pPr>
    <w:rPr>
      <w:sz w:val="24"/>
    </w:rPr>
  </w:style>
  <w:style w:type="paragraph" w:styleId="BodyTextIndent">
    <w:name w:val="Body Text Indent"/>
    <w:basedOn w:val="Normal"/>
    <w:pPr>
      <w:ind w:hanging="0" w:start="360" w:end="0"/>
      <w:jc w:val="both"/>
    </w:pPr>
    <w:rPr>
      <w:sz w:val="24"/>
    </w:rPr>
  </w:style>
  <w:style w:type="paragraph" w:styleId="BodyText3">
    <w:name w:val="Body Text 3"/>
    <w:basedOn w:val="Normal"/>
    <w:qFormat/>
    <w:pPr>
      <w:jc w:val="center"/>
    </w:pPr>
    <w:rPr>
      <w:rFonts w:ascii="Arial" w:hAnsi="Arial" w:cs="Arial"/>
      <w:b/>
      <w:sz w:val="32"/>
      <w:u w:val="single"/>
    </w:rPr>
  </w:style>
  <w:style w:type="paragraph" w:styleId="BodyTextIndent2">
    <w:name w:val="Body Text Indent 2"/>
    <w:basedOn w:val="Normal"/>
    <w:qFormat/>
    <w:pPr>
      <w:ind w:hanging="0" w:start="360" w:end="0"/>
      <w:jc w:val="both"/>
    </w:pPr>
    <w:rPr>
      <w:b/>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2000-05-10T15:54:00Z</dcterms:created>
  <dc:creator>Railroad Commission of Texas</dc:creator>
  <dc:description/>
  <dc:language>en-CA</dc:language>
  <cp:lastModifiedBy>Railroad Commission of Texas</cp:lastModifiedBy>
  <cp:lastPrinted>2000-05-15T13:07:00Z</cp:lastPrinted>
  <dcterms:modified xsi:type="dcterms:W3CDTF">2000-05-30T16:49:00Z</dcterms:modified>
  <cp:revision>9</cp:revision>
  <dc:subject/>
  <dc:title>HYDROCARBON RELEASE ASSESSMENT GUIDELINES</dc:title>
</cp:coreProperties>
</file>