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Analysis of the Impact of Cross Guarantees among Raptors on LJM Equity</w:t>
      </w:r>
    </w:p>
    <w:p>
      <w:pPr>
        <w:pStyle w:val="Normal"/>
        <w:rPr>
          <w:sz w:val="24"/>
        </w:rPr>
      </w:pPr>
      <w:r>
        <w:rPr>
          <w:sz w:val="24"/>
        </w:rPr>
      </w:r>
    </w:p>
    <w:p>
      <w:pPr>
        <w:pStyle w:val="Normal"/>
        <w:rPr/>
      </w:pPr>
      <w:r>
        <w:rPr/>
      </w:r>
    </w:p>
    <w:p>
      <w:pPr>
        <w:pStyle w:val="Heading1"/>
        <w:ind w:hanging="0" w:start="0"/>
        <w:rPr/>
      </w:pPr>
      <w:r>
        <w:rPr/>
        <w:t>Assumptions for the first and second moments of asset returns</w:t>
      </w:r>
    </w:p>
    <w:p>
      <w:pPr>
        <w:pStyle w:val="Normal"/>
        <w:ind w:start="288" w:end="0"/>
        <w:rPr/>
      </w:pPr>
      <w:r>
        <w:rPr/>
      </w:r>
    </w:p>
    <w:p>
      <w:pPr>
        <w:pStyle w:val="Normal"/>
        <w:numPr>
          <w:ilvl w:val="0"/>
          <w:numId w:val="3"/>
        </w:numPr>
        <w:ind w:hanging="360" w:start="288" w:end="0"/>
        <w:rPr/>
      </w:pPr>
      <w:r>
        <w:rPr/>
        <w:t>Betas for the traded assets were computed using January, 1998-January 2001 data, if available.  For Brazilian assets, values were converted into US dollars before return computations.  The risk free rate and the expected market return were assumed to be 6% and 16%, respectively.  The base case drift is computed from the above figures.  Correlations were computed from the same data as above.</w:t>
      </w:r>
    </w:p>
    <w:p>
      <w:pPr>
        <w:pStyle w:val="Normal"/>
        <w:ind w:start="288" w:end="0"/>
        <w:rPr/>
      </w:pPr>
      <w:r>
        <w:rPr/>
      </w:r>
    </w:p>
    <w:p>
      <w:pPr>
        <w:pStyle w:val="Normal"/>
        <w:numPr>
          <w:ilvl w:val="0"/>
          <w:numId w:val="3"/>
        </w:numPr>
        <w:ind w:hanging="360" w:start="288" w:end="0"/>
        <w:rPr/>
      </w:pPr>
      <w:r>
        <w:rPr/>
        <w:t>Comgas was used as the proxy for the Brazilian exposure.</w:t>
      </w:r>
    </w:p>
    <w:p>
      <w:pPr>
        <w:pStyle w:val="Normal"/>
        <w:ind w:start="288" w:end="0"/>
        <w:rPr/>
      </w:pPr>
      <w:r>
        <w:rPr/>
      </w:r>
    </w:p>
    <w:p>
      <w:pPr>
        <w:pStyle w:val="Normal"/>
        <w:numPr>
          <w:ilvl w:val="0"/>
          <w:numId w:val="3"/>
        </w:numPr>
        <w:ind w:hanging="360" w:start="288" w:end="0"/>
        <w:rPr/>
      </w:pPr>
      <w:r>
        <w:rPr/>
        <w:t>Base case volatilities for the assets were computed from option prices.</w:t>
      </w:r>
    </w:p>
    <w:p>
      <w:pPr>
        <w:pStyle w:val="Normal"/>
        <w:ind w:start="288" w:end="0"/>
        <w:rPr/>
      </w:pPr>
      <w:r>
        <w:rPr/>
      </w:r>
    </w:p>
    <w:p>
      <w:pPr>
        <w:pStyle w:val="Normal"/>
        <w:numPr>
          <w:ilvl w:val="0"/>
          <w:numId w:val="3"/>
        </w:numPr>
        <w:ind w:hanging="360" w:start="288" w:end="0"/>
        <w:rPr/>
      </w:pPr>
      <w:r>
        <w:rPr/>
        <w:t>For privates, figures closely approximating the public company figures were substituted.</w:t>
      </w:r>
    </w:p>
    <w:p>
      <w:pPr>
        <w:pStyle w:val="Normal"/>
        <w:rPr/>
      </w:pPr>
      <w:r>
        <w:rPr/>
      </w:r>
    </w:p>
    <w:p>
      <w:pPr>
        <w:pStyle w:val="Normal"/>
        <w:rPr/>
      </w:pPr>
      <w:r>
        <w:rPr/>
      </w:r>
    </w:p>
    <w:p>
      <w:pPr>
        <w:pStyle w:val="Heading1"/>
        <w:ind w:hanging="0" w:start="0"/>
        <w:rPr/>
      </w:pPr>
      <w:r>
        <w:rPr/>
        <w:t>Sources and Interpretation of Accounting Information</w:t>
      </w:r>
    </w:p>
    <w:p>
      <w:pPr>
        <w:pStyle w:val="Normal"/>
        <w:rPr/>
      </w:pPr>
      <w:r>
        <w:rPr/>
      </w:r>
    </w:p>
    <w:p>
      <w:pPr>
        <w:pStyle w:val="Heading2"/>
        <w:ind w:hanging="0" w:start="288" w:end="0"/>
        <w:rPr/>
      </w:pPr>
      <w:r>
        <w:rPr/>
        <w:t>Raptor 1</w:t>
      </w:r>
    </w:p>
    <w:p>
      <w:pPr>
        <w:pStyle w:val="Normal"/>
        <w:ind w:start="288" w:end="0"/>
        <w:rPr/>
      </w:pPr>
      <w:r>
        <w:rPr/>
      </w:r>
    </w:p>
    <w:p>
      <w:pPr>
        <w:pStyle w:val="Normal"/>
        <w:ind w:start="288" w:end="0"/>
        <w:rPr/>
      </w:pPr>
      <w:r>
        <w:rPr/>
        <w:t>All data about the strike prices, notional values, and market values were obtained from the spreadsheet provided by Gordon McKillop for public and private assets.  Recent market prices were obtained for public assets.  We assigned Merlin a zero value in the light of the distressed state of the instruments in the derivative.</w:t>
      </w:r>
    </w:p>
    <w:p>
      <w:pPr>
        <w:pStyle w:val="Normal"/>
        <w:ind w:start="288" w:end="0"/>
        <w:rPr/>
      </w:pPr>
      <w:r>
        <w:rPr/>
      </w:r>
    </w:p>
    <w:p>
      <w:pPr>
        <w:pStyle w:val="Normal"/>
        <w:ind w:start="288" w:end="0"/>
        <w:rPr/>
      </w:pPr>
      <w:r>
        <w:rPr/>
        <w:t>A small portion of the privates is constituted of debt instruments, which was directly added to equity investments.  VENOCO has a convertibility clause, which was ignored for the lack of information.</w:t>
      </w:r>
    </w:p>
    <w:p>
      <w:pPr>
        <w:pStyle w:val="Normal"/>
        <w:ind w:start="288" w:end="0"/>
        <w:rPr/>
      </w:pPr>
      <w:r>
        <w:rPr/>
      </w:r>
    </w:p>
    <w:p>
      <w:pPr>
        <w:pStyle w:val="Heading2"/>
        <w:ind w:hanging="0" w:start="288" w:end="0"/>
        <w:rPr/>
      </w:pPr>
      <w:r>
        <w:rPr/>
        <w:t>Raptor 2</w:t>
      </w:r>
    </w:p>
    <w:p>
      <w:pPr>
        <w:pStyle w:val="Normal"/>
        <w:ind w:start="288" w:end="0"/>
        <w:rPr/>
      </w:pPr>
      <w:r>
        <w:rPr/>
      </w:r>
    </w:p>
    <w:p>
      <w:pPr>
        <w:pStyle w:val="BodyText"/>
        <w:ind w:start="288" w:end="0"/>
        <w:rPr>
          <w:sz w:val="20"/>
        </w:rPr>
      </w:pPr>
      <w:r>
        <w:rPr>
          <w:sz w:val="20"/>
        </w:rPr>
        <w:t>We use RAC figures (from Mark Bonney) for the Brazilian exposure except for the category "Others" where notional is used due to the unavailability of RAC figures.  RAC presents figures based on several proxies.  We chose numbers inferred from Comgas EBITDA whenever available.</w:t>
      </w:r>
    </w:p>
    <w:p>
      <w:pPr>
        <w:pStyle w:val="BodyText"/>
        <w:ind w:start="288" w:end="0"/>
        <w:rPr>
          <w:sz w:val="20"/>
        </w:rPr>
      </w:pPr>
      <w:r>
        <w:rPr>
          <w:sz w:val="20"/>
        </w:rPr>
      </w:r>
    </w:p>
    <w:p>
      <w:pPr>
        <w:pStyle w:val="BodyText"/>
        <w:ind w:start="288" w:end="0"/>
        <w:rPr>
          <w:sz w:val="20"/>
          <w:u w:val="single"/>
        </w:rPr>
      </w:pPr>
      <w:r>
        <w:rPr>
          <w:sz w:val="20"/>
          <w:u w:val="single"/>
        </w:rPr>
        <w:t>Raptor 3</w:t>
      </w:r>
    </w:p>
    <w:p>
      <w:pPr>
        <w:pStyle w:val="BodyText"/>
        <w:ind w:start="288" w:end="0"/>
        <w:rPr>
          <w:sz w:val="20"/>
          <w:u w:val="single"/>
        </w:rPr>
      </w:pPr>
      <w:r>
        <w:rPr>
          <w:sz w:val="20"/>
          <w:u w:val="single"/>
        </w:rPr>
      </w:r>
    </w:p>
    <w:p>
      <w:pPr>
        <w:pStyle w:val="Normal"/>
        <w:ind w:start="288" w:end="0"/>
        <w:rPr/>
      </w:pPr>
      <w:r>
        <w:rPr/>
        <w:t>All figures were obtained from Gordon McKillop except for NPW where market values were used.</w:t>
      </w:r>
    </w:p>
    <w:p>
      <w:pPr>
        <w:pStyle w:val="Normal"/>
        <w:ind w:start="288" w:end="0"/>
        <w:rPr/>
      </w:pPr>
      <w:r>
        <w:rPr/>
      </w:r>
    </w:p>
    <w:p>
      <w:pPr>
        <w:pStyle w:val="BodyText"/>
        <w:ind w:start="288" w:end="0"/>
        <w:rPr>
          <w:sz w:val="20"/>
          <w:u w:val="single"/>
        </w:rPr>
      </w:pPr>
      <w:r>
        <w:rPr>
          <w:sz w:val="20"/>
          <w:u w:val="single"/>
        </w:rPr>
        <w:t>Raptor 4</w:t>
      </w:r>
    </w:p>
    <w:p>
      <w:pPr>
        <w:pStyle w:val="BodyText"/>
        <w:ind w:start="288" w:end="0"/>
        <w:rPr>
          <w:sz w:val="20"/>
          <w:u w:val="single"/>
        </w:rPr>
      </w:pPr>
      <w:r>
        <w:rPr>
          <w:sz w:val="20"/>
          <w:u w:val="single"/>
        </w:rPr>
      </w:r>
    </w:p>
    <w:p>
      <w:pPr>
        <w:pStyle w:val="Normal"/>
        <w:ind w:start="288" w:end="0"/>
        <w:rPr/>
      </w:pPr>
      <w:r>
        <w:rPr/>
        <w:t>All figures were obtained from Gordon McKillop.</w:t>
      </w:r>
    </w:p>
    <w:p>
      <w:pPr>
        <w:pStyle w:val="Normal"/>
        <w:rPr/>
      </w:pPr>
      <w:r>
        <w:rPr/>
      </w:r>
    </w:p>
    <w:p>
      <w:pPr>
        <w:pStyle w:val="Heading1"/>
        <w:ind w:hanging="0" w:start="0"/>
        <w:rPr/>
      </w:pPr>
      <w:r>
        <w:rPr/>
        <w:t>Interpretation of Cross Guarantees</w:t>
      </w:r>
    </w:p>
    <w:p>
      <w:pPr>
        <w:pStyle w:val="Normal"/>
        <w:ind w:start="288" w:end="0"/>
        <w:rPr/>
      </w:pPr>
      <w:r>
        <w:rPr/>
      </w:r>
    </w:p>
    <w:p>
      <w:pPr>
        <w:pStyle w:val="Normal"/>
        <w:numPr>
          <w:ilvl w:val="0"/>
          <w:numId w:val="2"/>
        </w:numPr>
        <w:ind w:hanging="360" w:start="288" w:end="0"/>
        <w:rPr/>
      </w:pPr>
      <w:r>
        <w:rPr/>
        <w:t>We interpret the cross-guarantees in two different ways and present results for both.  The first interpretation is that the cross guarantees will pay all unpaid obligations – except for LJM equity – of a raptor if other raptors have aggregate fund surpluses.  The second interpretation is that cross-guarantees will also benefit LJM if there is money left, in aggregate, after satisfying other liabilities.</w:t>
      </w:r>
    </w:p>
    <w:p>
      <w:pPr>
        <w:pStyle w:val="Normal"/>
        <w:ind w:start="-72" w:end="0"/>
        <w:rPr/>
      </w:pPr>
      <w:r>
        <w:rPr/>
      </w:r>
    </w:p>
    <w:p>
      <w:pPr>
        <w:pStyle w:val="Normal"/>
        <w:numPr>
          <w:ilvl w:val="0"/>
          <w:numId w:val="2"/>
        </w:numPr>
        <w:ind w:hanging="360" w:start="288" w:end="0"/>
        <w:rPr/>
      </w:pPr>
      <w:r>
        <w:rPr/>
        <w:t>The $259 MM PIK Note in Raptor 3 is excluded from cross guarantees and is assumed to be subordinated to the $40 MM Note for the purpose of cross guarantees.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color w:val="000000"/>
      <w:sz w:val="16"/>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2001-02-08T14:36:00Z</dcterms:created>
  <dc:creator>rbharati</dc:creator>
  <dc:description/>
  <dc:language>en-CA</dc:language>
  <cp:lastModifiedBy>rbharati</cp:lastModifiedBy>
  <cp:lastPrinted>2001-02-08T15:32:00Z</cp:lastPrinted>
  <dcterms:modified xsi:type="dcterms:W3CDTF">2001-02-12T15:37:00Z</dcterms:modified>
  <cp:revision>3</cp:revision>
  <dc:subject/>
  <dc:title>Analysis of the Impact of Cross Guarantees among Raptors on LJM Equity</dc:title>
</cp:coreProperties>
</file>