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95680" cy="9899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9965"/>
                    </a:xfrm>
                    <a:prstGeom prst="rect">
                      <a:avLst/>
                    </a:prstGeom>
                    <a:noFill/>
                  </pic:spPr>
                </pic:pic>
              </a:graphicData>
            </a:graphic>
          </wp:inline>
        </w:drawing>
      </w:r>
    </w:p>
    <w:p>
      <w:pPr>
        <w:pStyle w:val="Heading"/>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495"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Roy Boston, Ricardo Charvel, Jeff Dasovich, Rob Hemstock, Kathleen Magruder, Steve Montavano</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216" w:hRule="exact"/>
        </w:trPr>
        <w:tc>
          <w:tcPr>
            <w:tcW w:w="708" w:type="dxa"/>
            <w:tcBorders/>
          </w:tcPr>
          <w:p>
            <w:pPr>
              <w:pStyle w:val="Normal"/>
              <w:ind w:start="-180" w:end="0"/>
              <w:jc w:val="end"/>
              <w:rPr>
                <w:sz w:val="18"/>
              </w:rPr>
            </w:pPr>
            <w:r>
              <w:rPr>
                <w:sz w:val="18"/>
              </w:rPr>
              <w:t>cc:</w:t>
            </w:r>
          </w:p>
        </w:tc>
        <w:tc>
          <w:tcPr>
            <w:tcW w:w="6045" w:type="dxa"/>
            <w:tcBorders/>
          </w:tcPr>
          <w:p>
            <w:pPr>
              <w:pStyle w:val="Subject"/>
              <w:tabs>
                <w:tab w:val="left" w:pos="540" w:leader="none"/>
              </w:tabs>
              <w:rPr/>
            </w:pPr>
            <w:r>
              <w:rPr/>
              <w:t>Richard Shapiro</w:t>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Aleck Dadson</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Government Affairs (Canada)</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270"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w:t>
            </w:r>
            <w:r>
              <w:rPr/>
              <w:t>Cross-Border Opportunties” Working Group</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t>January 13, 2000</w:t>
            </w:r>
          </w:p>
        </w:tc>
      </w:tr>
    </w:tbl>
    <w:p>
      <w:pPr>
        <w:pStyle w:val="Body"/>
        <w:rPr/>
      </w:pPr>
      <w:r>
        <w:rPr/>
      </w:r>
      <w:bookmarkStart w:id="1" w:name="StartOfMemo"/>
      <w:bookmarkStart w:id="2" w:name="StartOfMemo"/>
      <w:bookmarkEnd w:id="2"/>
    </w:p>
    <w:p>
      <w:pPr>
        <w:pStyle w:val="Body"/>
        <w:jc w:val="both"/>
        <w:rPr>
          <w:sz w:val="22"/>
        </w:rPr>
      </w:pPr>
      <w:r>
        <w:rPr>
          <w:sz w:val="22"/>
        </w:rPr>
        <w:t>Thank you for agreeing to participate in the “cross-border opportunities” group over the next several months.</w:t>
      </w:r>
    </w:p>
    <w:p>
      <w:pPr>
        <w:pStyle w:val="Body"/>
        <w:jc w:val="both"/>
        <w:rPr>
          <w:sz w:val="22"/>
        </w:rPr>
      </w:pPr>
      <w:r>
        <w:rPr>
          <w:sz w:val="22"/>
        </w:rPr>
      </w:r>
    </w:p>
    <w:p>
      <w:pPr>
        <w:pStyle w:val="Body"/>
        <w:jc w:val="both"/>
        <w:rPr>
          <w:sz w:val="22"/>
        </w:rPr>
      </w:pPr>
      <w:r>
        <w:rPr>
          <w:sz w:val="22"/>
        </w:rPr>
        <w:t>I want to set out my ideas about what the group might try to achieve and how it might function.   I should emphasize that the proposals set out below are preliminary and I would certainly appreciate whatever comments or suggestions which any of you may have.</w:t>
      </w:r>
    </w:p>
    <w:p>
      <w:pPr>
        <w:pStyle w:val="Body"/>
        <w:jc w:val="both"/>
        <w:rPr>
          <w:sz w:val="22"/>
        </w:rPr>
      </w:pPr>
      <w:r>
        <w:rPr>
          <w:sz w:val="22"/>
        </w:rPr>
      </w:r>
    </w:p>
    <w:p>
      <w:pPr>
        <w:pStyle w:val="Body"/>
        <w:jc w:val="both"/>
        <w:rPr>
          <w:b/>
          <w:i/>
          <w:i/>
          <w:sz w:val="24"/>
        </w:rPr>
      </w:pPr>
      <w:r>
        <w:rPr>
          <w:b/>
          <w:i/>
          <w:sz w:val="24"/>
        </w:rPr>
        <w:t>Proposed Objectives</w:t>
      </w:r>
    </w:p>
    <w:p>
      <w:pPr>
        <w:pStyle w:val="Body"/>
        <w:jc w:val="both"/>
        <w:rPr>
          <w:b/>
          <w:i/>
          <w:i/>
          <w:sz w:val="22"/>
        </w:rPr>
      </w:pPr>
      <w:r>
        <w:rPr>
          <w:b/>
          <w:i/>
          <w:sz w:val="22"/>
        </w:rPr>
      </w:r>
    </w:p>
    <w:p>
      <w:pPr>
        <w:pStyle w:val="Body"/>
        <w:jc w:val="both"/>
        <w:rPr>
          <w:sz w:val="22"/>
        </w:rPr>
      </w:pPr>
      <w:r>
        <w:rPr>
          <w:sz w:val="22"/>
        </w:rPr>
        <w:t>I propose, initially, that the group focus on two issues.  The are set out below:</w:t>
      </w:r>
    </w:p>
    <w:p>
      <w:pPr>
        <w:pStyle w:val="Body"/>
        <w:jc w:val="both"/>
        <w:rPr>
          <w:sz w:val="22"/>
        </w:rPr>
      </w:pPr>
      <w:r>
        <w:rPr>
          <w:sz w:val="22"/>
        </w:rPr>
      </w:r>
    </w:p>
    <w:p>
      <w:pPr>
        <w:pStyle w:val="Body"/>
        <w:ind w:start="0" w:end="0"/>
        <w:jc w:val="both"/>
        <w:rPr>
          <w:sz w:val="22"/>
        </w:rPr>
      </w:pPr>
      <w:r>
        <w:rPr>
          <w:sz w:val="22"/>
        </w:rPr>
        <w:t>a)</w:t>
        <w:tab/>
      </w:r>
      <w:r>
        <w:rPr>
          <w:sz w:val="22"/>
          <w:u w:val="single"/>
        </w:rPr>
        <w:t>Identification and Mitigation of Barriers to Cross-Border Trade</w:t>
      </w:r>
    </w:p>
    <w:p>
      <w:pPr>
        <w:pStyle w:val="Body"/>
        <w:jc w:val="both"/>
        <w:rPr>
          <w:sz w:val="22"/>
        </w:rPr>
      </w:pPr>
      <w:r>
        <w:rPr>
          <w:sz w:val="22"/>
        </w:rPr>
      </w:r>
    </w:p>
    <w:p>
      <w:pPr>
        <w:pStyle w:val="Body"/>
        <w:jc w:val="both"/>
        <w:rPr>
          <w:sz w:val="22"/>
        </w:rPr>
      </w:pPr>
      <w:r>
        <w:rPr>
          <w:sz w:val="22"/>
        </w:rPr>
        <w:t>We would endeavour to identify those U.S./Canada and U.S. Mexico rules, regulations, laws, etc. which impede cross-border trade in electricity.  (My initial view is that we should focus primarily on power but there may be particular circumstances when we want to look at gas issues as well).  After identifying those impediments, we would consider ways in which they can be mitigated or eliminated.  In that regard, I am hoping that our consideration of this issue could be fairly wide-ranging.  For instance, we might conclude that the value in addressing discrete rules or regulations is low (in terms of likely success) and that we are better off considering a “broader” attack on the impediments to cross-border trade.  For instance, at a government sponsored forum on RTOs in Ottawa last December, both Chairman Hoecker and U.S. Ambassador Giffin emphasized that electricity has the potential to quickly become a trade irritant (like soft wood lumber) between the U.S. and Canada.  Are there useful avenues to be explored here?</w:t>
      </w:r>
    </w:p>
    <w:p>
      <w:pPr>
        <w:pStyle w:val="Body"/>
        <w:jc w:val="both"/>
        <w:rPr>
          <w:sz w:val="22"/>
        </w:rPr>
      </w:pPr>
      <w:r>
        <w:rPr>
          <w:sz w:val="22"/>
        </w:rPr>
      </w:r>
    </w:p>
    <w:p>
      <w:pPr>
        <w:pStyle w:val="Body"/>
        <w:jc w:val="both"/>
        <w:rPr>
          <w:sz w:val="22"/>
        </w:rPr>
      </w:pPr>
      <w:r>
        <w:rPr>
          <w:sz w:val="22"/>
        </w:rPr>
        <w:t>b)</w:t>
        <w:tab/>
      </w:r>
      <w:r>
        <w:rPr>
          <w:sz w:val="22"/>
          <w:u w:val="single"/>
        </w:rPr>
        <w:t>Commercially Significant Interfaces</w:t>
      </w:r>
    </w:p>
    <w:p>
      <w:pPr>
        <w:pStyle w:val="Body"/>
        <w:jc w:val="both"/>
        <w:rPr>
          <w:sz w:val="22"/>
        </w:rPr>
      </w:pPr>
      <w:r>
        <w:rPr>
          <w:sz w:val="22"/>
        </w:rPr>
      </w:r>
    </w:p>
    <w:p>
      <w:pPr>
        <w:pStyle w:val="Body"/>
        <w:jc w:val="both"/>
        <w:rPr>
          <w:sz w:val="22"/>
        </w:rPr>
      </w:pPr>
      <w:r>
        <w:rPr>
          <w:sz w:val="22"/>
        </w:rPr>
        <w:t>At the same time that we are proceeding with a) above, I would suggest that we look at a number of those U.S./Canada and U.S./Mexico interfaces that have particular commercial significance or potential significance for Enron.  We would look at those interfaces with an eye to determining whether there are any tariff-related or other impediments to be corrected or whether there are opportunities that might be pursued.  There are two U.S./Canada interfaces that I would propose for initial consideration.  They are:  NY/Ontario/Michigan and BC/BPA.  We would identify and address comparable interfaces along the U.S./Mexico border.  An example of the type of “opportunity” that we might look for is offered by the generating facility that Enron Canada is proposing to build on the Canadian side of the St. Clair River which forms the border between Canada (Ontario) and the U.S. (Michigan).  It is proposed that the facility be connected, by radical lines, to both the Michigan and Ontario grids.  It would have the option of playing physically in either the Michigan or Ontario market and could, thereby, “bypass” the highly complex rules that would otherwise govern exports to Michigan via the Ontario grid/interties.</w:t>
      </w:r>
    </w:p>
    <w:p>
      <w:pPr>
        <w:pStyle w:val="Body"/>
        <w:jc w:val="both"/>
        <w:rPr>
          <w:sz w:val="22"/>
        </w:rPr>
      </w:pPr>
      <w:r>
        <w:rPr>
          <w:sz w:val="22"/>
        </w:rPr>
      </w:r>
    </w:p>
    <w:p>
      <w:pPr>
        <w:pStyle w:val="Body"/>
        <w:jc w:val="both"/>
        <w:rPr>
          <w:sz w:val="22"/>
        </w:rPr>
      </w:pPr>
      <w:r>
        <w:rPr>
          <w:sz w:val="22"/>
        </w:rPr>
      </w:r>
    </w:p>
    <w:p>
      <w:pPr>
        <w:pStyle w:val="Body"/>
        <w:jc w:val="both"/>
        <w:rPr>
          <w:b/>
          <w:i/>
          <w:i/>
          <w:sz w:val="24"/>
        </w:rPr>
      </w:pPr>
      <w:r>
        <w:rPr>
          <w:b/>
          <w:i/>
          <w:sz w:val="24"/>
        </w:rPr>
        <w:t>How We Would Work Together</w:t>
      </w:r>
    </w:p>
    <w:p>
      <w:pPr>
        <w:pStyle w:val="Body"/>
        <w:jc w:val="both"/>
        <w:rPr>
          <w:b/>
          <w:i/>
          <w:i/>
          <w:sz w:val="22"/>
        </w:rPr>
      </w:pPr>
      <w:r>
        <w:rPr>
          <w:b/>
          <w:i/>
          <w:sz w:val="22"/>
        </w:rPr>
      </w:r>
    </w:p>
    <w:p>
      <w:pPr>
        <w:pStyle w:val="Body"/>
        <w:jc w:val="both"/>
        <w:rPr>
          <w:sz w:val="22"/>
        </w:rPr>
      </w:pPr>
      <w:r>
        <w:rPr>
          <w:sz w:val="22"/>
        </w:rPr>
        <w:t>My hope is that the group can work together and get its job done with a minimum of face-to-face meetings.  I hope we can rely on email, conference calls, etc. and, thereby, avoid unecessary travel.  With that in mind, I would propose as follows:</w:t>
      </w:r>
    </w:p>
    <w:p>
      <w:pPr>
        <w:pStyle w:val="Body"/>
        <w:jc w:val="both"/>
        <w:rPr>
          <w:sz w:val="22"/>
        </w:rPr>
      </w:pPr>
      <w:r>
        <w:rPr>
          <w:sz w:val="22"/>
        </w:rPr>
      </w:r>
    </w:p>
    <w:p>
      <w:pPr>
        <w:pStyle w:val="Body"/>
        <w:numPr>
          <w:ilvl w:val="0"/>
          <w:numId w:val="2"/>
        </w:numPr>
        <w:tabs>
          <w:tab w:val="left" w:pos="432" w:leader="none"/>
        </w:tabs>
        <w:ind w:hanging="360" w:start="432" w:end="0"/>
        <w:jc w:val="both"/>
        <w:rPr>
          <w:sz w:val="22"/>
        </w:rPr>
      </w:pPr>
      <w:r>
        <w:rPr>
          <w:sz w:val="22"/>
        </w:rPr>
        <w:t>Each issue would be assigned to a particular individual or team (likely 2 people).  I would propose that each interface be handled by a team of 2 or 3 persons.  We would agree on those assignments in the conference call outlined in item 6 below.</w:t>
      </w:r>
    </w:p>
    <w:p>
      <w:pPr>
        <w:pStyle w:val="Body"/>
        <w:tabs>
          <w:tab w:val="left" w:pos="432" w:leader="none"/>
        </w:tabs>
        <w:ind w:start="432" w:end="0"/>
        <w:jc w:val="both"/>
        <w:rPr>
          <w:sz w:val="22"/>
        </w:rPr>
      </w:pPr>
      <w:r>
        <w:rPr>
          <w:sz w:val="22"/>
        </w:rPr>
      </w:r>
    </w:p>
    <w:p>
      <w:pPr>
        <w:pStyle w:val="Body"/>
        <w:numPr>
          <w:ilvl w:val="0"/>
          <w:numId w:val="2"/>
        </w:numPr>
        <w:tabs>
          <w:tab w:val="left" w:pos="432" w:leader="none"/>
        </w:tabs>
        <w:ind w:hanging="360" w:start="432" w:end="0"/>
        <w:jc w:val="both"/>
        <w:rPr>
          <w:sz w:val="22"/>
        </w:rPr>
      </w:pPr>
      <w:r>
        <w:rPr>
          <w:sz w:val="22"/>
        </w:rPr>
        <w:t>That individual or team would be responsible for examining the issue/topic assigned and preparing a note for circulation for review by the broader group.  Target dates would be set for the completion and circulation of those initial memoranda.</w:t>
      </w:r>
    </w:p>
    <w:p>
      <w:pPr>
        <w:pStyle w:val="Body"/>
        <w:ind w:start="0" w:end="0"/>
        <w:jc w:val="both"/>
        <w:rPr>
          <w:sz w:val="22"/>
        </w:rPr>
      </w:pPr>
      <w:r>
        <w:rPr>
          <w:sz w:val="22"/>
        </w:rPr>
      </w:r>
    </w:p>
    <w:p>
      <w:pPr>
        <w:pStyle w:val="Body"/>
        <w:numPr>
          <w:ilvl w:val="0"/>
          <w:numId w:val="2"/>
        </w:numPr>
        <w:tabs>
          <w:tab w:val="left" w:pos="432" w:leader="none"/>
        </w:tabs>
        <w:ind w:hanging="360" w:start="432" w:end="0"/>
        <w:jc w:val="both"/>
        <w:rPr>
          <w:sz w:val="22"/>
        </w:rPr>
      </w:pPr>
      <w:r>
        <w:rPr>
          <w:sz w:val="22"/>
        </w:rPr>
        <w:t>We can discuss the value of having periodic group conference calls between the initial assignment and the completion of the initial memoranda.  (In any even, whether or not we plan such conference calls, I think we should encourage everyone to seek comments/share ideas via email, etc. along the way).</w:t>
      </w:r>
    </w:p>
    <w:p>
      <w:pPr>
        <w:pStyle w:val="Body"/>
        <w:tabs>
          <w:tab w:val="left" w:pos="432" w:leader="none"/>
        </w:tabs>
        <w:ind w:start="432" w:end="0"/>
        <w:jc w:val="both"/>
        <w:rPr>
          <w:sz w:val="22"/>
        </w:rPr>
      </w:pPr>
      <w:r>
        <w:rPr>
          <w:sz w:val="22"/>
        </w:rPr>
      </w:r>
    </w:p>
    <w:p>
      <w:pPr>
        <w:pStyle w:val="Body"/>
        <w:numPr>
          <w:ilvl w:val="0"/>
          <w:numId w:val="2"/>
        </w:numPr>
        <w:tabs>
          <w:tab w:val="left" w:pos="432" w:leader="none"/>
        </w:tabs>
        <w:ind w:hanging="360" w:start="432" w:end="0"/>
        <w:jc w:val="both"/>
        <w:rPr>
          <w:sz w:val="22"/>
        </w:rPr>
      </w:pPr>
      <w:r>
        <w:rPr>
          <w:sz w:val="22"/>
        </w:rPr>
        <w:t>The memoranda would be reviewed and discussed by the full group and we would reach a consensus about how to move forward.  For instance, we may agree that further work on certain issues would not be fruitful, or that we need to devote more resources to certain issues.</w:t>
      </w:r>
    </w:p>
    <w:p>
      <w:pPr>
        <w:pStyle w:val="Body"/>
        <w:tabs>
          <w:tab w:val="left" w:pos="432" w:leader="none"/>
        </w:tabs>
        <w:ind w:start="432" w:end="0"/>
        <w:jc w:val="both"/>
        <w:rPr>
          <w:sz w:val="22"/>
        </w:rPr>
      </w:pPr>
      <w:r>
        <w:rPr>
          <w:sz w:val="22"/>
        </w:rPr>
      </w:r>
    </w:p>
    <w:p>
      <w:pPr>
        <w:pStyle w:val="Body"/>
        <w:numPr>
          <w:ilvl w:val="0"/>
          <w:numId w:val="2"/>
        </w:numPr>
        <w:tabs>
          <w:tab w:val="left" w:pos="432" w:leader="none"/>
        </w:tabs>
        <w:ind w:hanging="360" w:start="432" w:end="0"/>
        <w:jc w:val="both"/>
        <w:rPr>
          <w:sz w:val="22"/>
        </w:rPr>
      </w:pPr>
      <w:r>
        <w:rPr>
          <w:sz w:val="22"/>
        </w:rPr>
        <w:t>Our objective, as Rick indicated, should be to produce some type of final work product that we can share with the full Government Affairs Department by May 2000.  We may not be able to settle on the form that this work product should take until we review the prelimiary memoranda.</w:t>
      </w:r>
    </w:p>
    <w:p>
      <w:pPr>
        <w:pStyle w:val="Body"/>
        <w:ind w:start="0" w:end="0"/>
        <w:jc w:val="both"/>
        <w:rPr>
          <w:sz w:val="22"/>
        </w:rPr>
      </w:pPr>
      <w:r>
        <w:rPr>
          <w:sz w:val="22"/>
        </w:rPr>
      </w:r>
    </w:p>
    <w:p>
      <w:pPr>
        <w:pStyle w:val="Body"/>
        <w:numPr>
          <w:ilvl w:val="0"/>
          <w:numId w:val="2"/>
        </w:numPr>
        <w:tabs>
          <w:tab w:val="left" w:pos="432" w:leader="none"/>
        </w:tabs>
        <w:ind w:hanging="360" w:start="432" w:end="0"/>
        <w:jc w:val="both"/>
        <w:rPr>
          <w:sz w:val="22"/>
        </w:rPr>
      </w:pPr>
      <w:r>
        <w:rPr>
          <w:sz w:val="22"/>
        </w:rPr>
        <w:t>I would suggest that we schedule a conference call for January 21</w:t>
      </w:r>
      <w:r>
        <w:rPr>
          <w:sz w:val="22"/>
          <w:vertAlign w:val="superscript"/>
        </w:rPr>
        <w:t>st</w:t>
      </w:r>
      <w:r>
        <w:rPr>
          <w:sz w:val="22"/>
        </w:rPr>
        <w:t xml:space="preserve"> from 2-4 p.m. CST.  The agenda of the meeting will be to discuss and reach a consensus on the objectives/workplan set out above and to confirm the assignment of issues and topics.  </w:t>
      </w:r>
    </w:p>
    <w:p>
      <w:pPr>
        <w:pStyle w:val="Body"/>
        <w:ind w:start="0" w:end="0"/>
        <w:jc w:val="both"/>
        <w:rPr>
          <w:sz w:val="22"/>
        </w:rPr>
      </w:pPr>
      <w:r>
        <w:rPr>
          <w:sz w:val="22"/>
        </w:rPr>
      </w:r>
    </w:p>
    <w:p>
      <w:pPr>
        <w:pStyle w:val="Body"/>
        <w:ind w:start="450" w:end="0"/>
        <w:jc w:val="both"/>
        <w:rPr>
          <w:sz w:val="22"/>
        </w:rPr>
      </w:pPr>
      <w:r>
        <w:rPr>
          <w:sz w:val="22"/>
        </w:rPr>
        <w:t>Please confirm by email to Cindy Derecskey your availability for the proposed conference call.  In the meantime, I encourage you to circulate any comments you have on the proposed objectives/workplan.</w:t>
      </w:r>
    </w:p>
    <w:p>
      <w:pPr>
        <w:pStyle w:val="Body"/>
        <w:ind w:start="450" w:end="0"/>
        <w:jc w:val="both"/>
        <w:rPr>
          <w:sz w:val="22"/>
        </w:rPr>
      </w:pPr>
      <w:r>
        <w:rPr>
          <w:sz w:val="22"/>
        </w:rPr>
      </w:r>
    </w:p>
    <w:p>
      <w:pPr>
        <w:pStyle w:val="Body"/>
        <w:ind w:start="450" w:end="0"/>
        <w:jc w:val="both"/>
        <w:rPr>
          <w:sz w:val="22"/>
        </w:rPr>
      </w:pPr>
      <w:r>
        <w:rPr>
          <w:sz w:val="22"/>
        </w:rPr>
      </w:r>
    </w:p>
    <w:p>
      <w:pPr>
        <w:pStyle w:val="Body"/>
        <w:ind w:start="450" w:end="0"/>
        <w:jc w:val="both"/>
        <w:rPr>
          <w:sz w:val="22"/>
        </w:rPr>
      </w:pPr>
      <w:r>
        <w:rPr>
          <w:sz w:val="22"/>
        </w:rPr>
        <w:t>A.D.</w:t>
      </w:r>
    </w:p>
    <w:p>
      <w:pPr>
        <w:pStyle w:val="Body"/>
        <w:ind w:start="0" w:end="0"/>
        <w:jc w:val="both"/>
        <w:rPr>
          <w:sz w:val="22"/>
        </w:rPr>
      </w:pPr>
      <w:r>
        <w:rPr>
          <w:sz w:val="22"/>
        </w:rPr>
      </w:r>
    </w:p>
    <w:p>
      <w:pPr>
        <w:pStyle w:val="Body"/>
        <w:jc w:val="both"/>
        <w:rPr>
          <w:sz w:val="22"/>
        </w:rPr>
      </w:pPr>
      <w:r>
        <w:rPr>
          <w:sz w:val="22"/>
        </w:rPr>
      </w:r>
    </w:p>
    <w:p>
      <w:pPr>
        <w:pStyle w:val="Body"/>
        <w:jc w:val="both"/>
        <w:rPr>
          <w:sz w:val="22"/>
        </w:rPr>
      </w:pPr>
      <w:r>
        <w:rPr>
          <w:sz w:val="22"/>
        </w:rPr>
      </w:r>
    </w:p>
    <w:p>
      <w:pPr>
        <w:pStyle w:val="Body"/>
        <w:jc w:val="both"/>
        <w:rPr>
          <w:sz w:val="22"/>
        </w:rPr>
      </w:pPr>
      <w:r>
        <w:rPr>
          <w:sz w:val="22"/>
        </w:rPr>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r>
  </w:p>
  <w:p>
    <w:pPr>
      <w:pStyle w:val="Footer"/>
      <w:tabs>
        <w:tab w:val="clear" w:pos="4320"/>
        <w:tab w:val="left" w:pos="3780" w:leader="none"/>
        <w:tab w:val="center" w:pos="7560" w:leader="none"/>
        <w:tab w:val="right" w:pos="8640" w:leader="none"/>
      </w:tabs>
      <w:jc w:val="center"/>
      <w:rPr>
        <w:b/>
        <w:sz w:val="16"/>
      </w:rPr>
    </w:pPr>
    <w:r>
      <w:rPr>
        <w:b/>
        <w:sz w:val="16"/>
      </w:rPr>
    </w:r>
  </w:p>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2880" w:leader="none"/>
        <w:tab w:val="left" w:pos="5310" w:leader="none"/>
        <w:tab w:val="right" w:pos="7560" w:leader="none"/>
        <w:tab w:val="right" w:pos="10800" w:leader="none"/>
      </w:tabs>
      <w:rPr>
        <w:b/>
        <w:sz w:val="16"/>
      </w:rPr>
    </w:pPr>
    <w:r>
      <w:rPr>
        <w:b/>
        <w:sz w:val="16"/>
      </w:rPr>
    </w:r>
  </w:p>
  <w:p>
    <w:pPr>
      <w:pStyle w:val="Footer"/>
      <w:tabs>
        <w:tab w:val="clear" w:pos="4320"/>
        <w:tab w:val="clear" w:pos="8640"/>
        <w:tab w:val="left" w:pos="2880" w:leader="none"/>
        <w:tab w:val="left" w:pos="5310" w:leader="none"/>
        <w:tab w:val="right" w:pos="7560" w:leader="none"/>
        <w:tab w:val="right" w:pos="10800" w:leader="none"/>
      </w:tabs>
      <w:rPr>
        <w:b/>
        <w:sz w:val="16"/>
      </w:rPr>
    </w:pPr>
    <w:r>
      <w:rPr>
        <w:b/>
        <w:sz w:val="16"/>
      </w:rPr>
    </w:r>
  </w:p>
  <w:p>
    <w:pPr>
      <w:pStyle w:val="Footer"/>
      <w:tabs>
        <w:tab w:val="clear" w:pos="4320"/>
        <w:tab w:val="clear" w:pos="8640"/>
        <w:tab w:val="left" w:pos="2880" w:leader="none"/>
        <w:tab w:val="left" w:pos="5310" w:leader="none"/>
        <w:tab w:val="right" w:pos="7560" w:leader="none"/>
        <w:tab w:val="right" w:pos="10800" w:leader="none"/>
      </w:tabs>
      <w:rPr>
        <w:sz w:val="16"/>
      </w:rPr>
    </w:pPr>
    <w:r>
      <w:rPr>
        <w:b/>
        <w:sz w:val="16"/>
      </w:rPr>
      <w:t>Respect</w:t>
      <w:tab/>
      <w:t>Integrity</w:t>
      <w:tab/>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5400" w:leader="none"/>
        <w:tab w:val="right" w:pos="10800" w:leader="none"/>
      </w:tabs>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2</w:t>
    </w:r>
    <w:r>
      <w:rPr/>
      <w:fldChar w:fldCharType="end"/>
    </w:r>
  </w:p>
  <w:p>
    <w:pPr>
      <w:pStyle w:val="Header"/>
      <w:tabs>
        <w:tab w:val="clear" w:pos="4320"/>
        <w:tab w:val="clear" w:pos="8640"/>
        <w:tab w:val="center" w:pos="5400" w:leader="none"/>
        <w:tab w:val="right" w:pos="10800" w:leader="none"/>
      </w:tabs>
      <w:rPr/>
    </w:pPr>
    <w:r>
      <w:rPr/>
    </w:r>
  </w:p>
  <w:p>
    <w:pPr>
      <w:pStyle w:val="Header"/>
      <w:tabs>
        <w:tab w:val="clear" w:pos="4320"/>
        <w:tab w:val="clear" w:pos="8640"/>
        <w:tab w:val="center" w:pos="5400" w:leader="none"/>
        <w:tab w:val="right" w:pos="1080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704850"/>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704850"/>
                      </a:xfrm>
                      <a:prstGeom prst="rect"/>
                      <a:solidFill>
                        <a:srgbClr val="FFFFFF">
                          <a:alpha val="0"/>
                        </a:srgbClr>
                      </a:solidFill>
                    </wps:spPr>
                    <wps:txbx>
                      <w:txbxContent>
                        <w:p>
                          <w:pPr>
                            <w:pStyle w:val="Normal"/>
                            <w:ind w:start="3600" w:end="0"/>
                            <w:rPr>
                              <w:b/>
                              <w:sz w:val="32"/>
                            </w:rPr>
                          </w:pPr>
                          <w:r>
                            <w:rPr>
                              <w:b/>
                              <w:sz w:val="32"/>
                            </w:rPr>
                          </w:r>
                        </w:p>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5.5pt;mso-wrap-distance-left:9.35pt;mso-wrap-distance-right:9.35pt;mso-wrap-distance-top:0pt;mso-wrap-distance-bottom:0pt;margin-top:-28.45pt;mso-position-vertical-relative:text;margin-left:201.3pt;mso-position-horizontal-relative:page">
              <v:fill opacity="0f"/>
              <v:textbox inset="0in,0in,0in,0in">
                <w:txbxContent>
                  <w:p>
                    <w:pPr>
                      <w:pStyle w:val="Normal"/>
                      <w:ind w:start="3600" w:end="0"/>
                      <w:rPr>
                        <w:b/>
                        <w:sz w:val="32"/>
                      </w:rPr>
                    </w:pPr>
                    <w:r>
                      <w:rPr>
                        <w:b/>
                        <w:sz w:val="32"/>
                      </w:rPr>
                    </w:r>
                  </w:p>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tabs>
        <w:tab w:val="clear" w:pos="540"/>
      </w:tabs>
    </w:pPr>
    <w:rPr>
      <w:rFonts w:ascii="Times New Roman" w:hAnsi="Times New Roman" w:cs="Times New Roman"/>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BodyTextIndent">
    <w:name w:val="Body Text Indent"/>
    <w:basedOn w:val="Normal"/>
    <w:pPr>
      <w:tabs>
        <w:tab w:val="clear" w:pos="540"/>
      </w:tabs>
      <w:ind w:hanging="0" w:start="720" w:end="0"/>
      <w:jc w:val="both"/>
    </w:pPr>
    <w:rPr/>
  </w:style>
  <w:style w:type="paragraph" w:styleId="BodyTextIndent2">
    <w:name w:val="Body Text Indent 2"/>
    <w:basedOn w:val="Normal"/>
    <w:qFormat/>
    <w:pPr>
      <w:ind w:hanging="0" w:start="54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Ectmemo.dot</Template>
  <TotalTime>63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2000-01-11T20:12:00Z</dcterms:created>
  <dc:creator>ECT</dc:creator>
  <dc:description/>
  <dc:language>en-CA</dc:language>
  <cp:lastModifiedBy>cderecs</cp:lastModifiedBy>
  <cp:lastPrinted>2000-01-13T13:08:00Z</cp:lastPrinted>
  <dcterms:modified xsi:type="dcterms:W3CDTF">2000-01-13T18:26:00Z</dcterms:modified>
  <cp:revision>20</cp:revision>
  <dc:subject/>
  <dc:title>Eron Capital &amp; Trade Resources Memo</dc:title>
</cp:coreProperties>
</file>