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DRAFT: 10.05.01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w:t>
      </w:r>
      <w:r>
        <w:rPr>
          <w:b/>
          <w:i/>
          <w:sz w:val="22"/>
        </w:rPr>
        <w:t>[NB - implications for implementation by Protocol]</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pPr>
      <w:r>
        <w:rPr>
          <w:sz w:val="22"/>
        </w:rPr>
        <w:t>(c)</w:t>
        <w:tab/>
        <w:t>For purposes of this provision, if an Event of Default under [Section 5(a)(vii) of]</w:t>
      </w:r>
      <w:r>
        <w:rPr>
          <w:rStyle w:val="FootnoteCharacters"/>
          <w:rStyle w:val="FootnoteReference"/>
          <w:sz w:val="22"/>
        </w:rPr>
        <w:footnoteReference w:id="5"/>
      </w:r>
      <w:r>
        <w:rPr>
          <w:sz w:val="22"/>
        </w:rPr>
        <w:t xml:space="preserve"> this Agreement occurs, a Bridging Event will occur:</w:t>
      </w:r>
    </w:p>
    <w:p>
      <w:pPr>
        <w:pStyle w:val="Normal"/>
        <w:jc w:val="both"/>
        <w:rPr>
          <w:sz w:val="22"/>
        </w:rPr>
      </w:pPr>
      <w:r>
        <w:rPr>
          <w:sz w:val="22"/>
        </w:rPr>
      </w:r>
    </w:p>
    <w:p>
      <w:pPr>
        <w:pStyle w:val="Normal"/>
        <w:ind w:start="709" w:end="0"/>
        <w:jc w:val="both"/>
        <w:rPr>
          <w:sz w:val="22"/>
        </w:rPr>
      </w:pPr>
      <w:r>
        <w:rPr>
          <w:sz w:val="22"/>
        </w:rPr>
        <w:t>(i)</w:t>
        <w:tab/>
        <w:t>if there are one or more outstanding Transactions, immediately upon the designation (or deemed occurrence, if Automatic Early Termination applies) of an Early Termination Date as a result of the occurrence of that Event of Default;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sz w:val="22"/>
        </w:rPr>
      </w:pPr>
      <w:r>
        <w:rPr>
          <w:sz w:val="22"/>
        </w:rPr>
        <w:t>(x)</w:t>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 will be deemed to be an Early Termination Date for purposes of Section 6 of this Agreement.</w:t>
      </w:r>
    </w:p>
    <w:p>
      <w:pPr>
        <w:pStyle w:val="Normal"/>
        <w:jc w:val="both"/>
        <w:rPr>
          <w:sz w:val="22"/>
        </w:rPr>
      </w:pPr>
      <w:r>
        <w:rPr>
          <w:sz w:val="22"/>
        </w:rPr>
      </w:r>
    </w:p>
    <w:p>
      <w:pPr>
        <w:pStyle w:val="Normal"/>
        <w:jc w:val="both"/>
        <w:rPr>
          <w:sz w:val="22"/>
        </w:rPr>
      </w:pPr>
      <w:r>
        <w:rPr>
          <w:sz w:val="22"/>
        </w:rPr>
        <w:t>(d)</w:t>
        <w:tab/>
        <w:t>If a Bridging Event occurs, and unless the Non-defaulting Party gives notice to the Defaulting Party promptly upon the occurrence of the Bridging Event that these provisions will not apply:</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2001-05-22T17:18:00Z</dcterms:created>
  <dc:creator>Bankgesellschaft Berlin</dc:creator>
  <dc:description/>
  <dc:language>en-CA</dc:language>
  <cp:lastModifiedBy>Stacy Carey</cp:lastModifiedBy>
  <cp:lastPrinted>2001-05-10T12:20:00Z</cp:lastPrinted>
  <dcterms:modified xsi:type="dcterms:W3CDTF">2001-05-22T17:18:00Z</dcterms:modified>
  <cp:revision>2</cp:revision>
  <dc:subject/>
  <dc:title>Repo Agreements</dc:title>
</cp:coreProperties>
</file>