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r>
        <w:rPr>
          <w:b/>
          <w:sz w:val="22"/>
        </w:rPr>
        <w:t>DRAFT: 14.03.01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ind w:end="-480"/>
        <w:jc w:val="both"/>
        <w:rPr>
          <w:b/>
          <w:sz w:val="22"/>
        </w:rPr>
      </w:pPr>
      <w:r>
        <w:rPr>
          <w:b/>
          <w:sz w:val="22"/>
        </w:rPr>
      </w:r>
    </w:p>
    <w:p>
      <w:pPr>
        <w:pStyle w:val="Normal"/>
        <w:ind w:end="-480"/>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and in respect of which the confirmation or other confirming evidence supplements, forms part of or is subject to the terms of any Bridged Agreement (with the exception of any transactions entered into by a party as agent for a third person, whether as custodian or investment manager or otherwise) (each a "Bridged Transaction"), except when the parties expressly agree that this provision will not apply.</w:t>
      </w:r>
      <w:r>
        <w:rPr>
          <w:rStyle w:val="FootnoteCharacters"/>
          <w:rStyle w:val="FootnoteReference"/>
          <w:sz w:val="22"/>
        </w:rPr>
        <w:footnoteReference w:id="3"/>
      </w:r>
    </w:p>
    <w:p>
      <w:pPr>
        <w:pStyle w:val="Normal"/>
        <w:ind w:end="-480"/>
        <w:jc w:val="both"/>
        <w:rPr>
          <w:sz w:val="22"/>
        </w:rPr>
      </w:pPr>
      <w:r>
        <w:rPr>
          <w:sz w:val="22"/>
        </w:rPr>
      </w:r>
    </w:p>
    <w:p>
      <w:pPr>
        <w:pStyle w:val="BodyText"/>
        <w:rPr/>
      </w:pPr>
      <w:r>
        <w:rPr/>
        <w:t>(b)</w:t>
        <w:tab/>
        <w:t>For purposes of this provision, the following agreement[s] between the parties, as amended from time to time, or any restatement or replacement thereof, will constitute [a] Bridged Agreement[s]:</w:t>
      </w:r>
    </w:p>
    <w:p>
      <w:pPr>
        <w:pStyle w:val="Normal"/>
        <w:ind w:end="-480"/>
        <w:jc w:val="both"/>
        <w:rPr>
          <w:sz w:val="22"/>
        </w:rPr>
      </w:pPr>
      <w:r>
        <w:rPr>
          <w:sz w:val="22"/>
        </w:rPr>
      </w:r>
    </w:p>
    <w:p>
      <w:pPr>
        <w:pStyle w:val="Normal"/>
        <w:ind w:start="720" w:end="-480"/>
        <w:jc w:val="both"/>
        <w:rPr/>
      </w:pPr>
      <w:r>
        <w:rPr>
          <w:sz w:val="22"/>
        </w:rPr>
        <w:t>(i)</w:t>
        <w:tab/>
        <w:t>[</w:t>
      </w:r>
      <w:r>
        <w:rPr>
          <w:i/>
          <w:sz w:val="22"/>
        </w:rPr>
        <w:t>specify agreements, together with their effective date</w:t>
      </w:r>
      <w:r>
        <w:rPr>
          <w:sz w:val="22"/>
        </w:rPr>
        <w:t>]</w:t>
      </w:r>
      <w:r>
        <w:rPr>
          <w:b/>
          <w:i/>
          <w:sz w:val="22"/>
        </w:rPr>
        <w:t>[NB - implications for implementation by Protocol]</w:t>
      </w:r>
      <w:r>
        <w:rPr>
          <w:sz w:val="22"/>
        </w:rPr>
        <w:t>; and</w:t>
      </w:r>
    </w:p>
    <w:p>
      <w:pPr>
        <w:pStyle w:val="Normal"/>
        <w:ind w:start="720" w:end="-480"/>
        <w:jc w:val="both"/>
        <w:rPr>
          <w:sz w:val="22"/>
        </w:rPr>
      </w:pPr>
      <w:r>
        <w:rPr>
          <w:sz w:val="22"/>
        </w:rPr>
      </w:r>
    </w:p>
    <w:p>
      <w:pPr>
        <w:pStyle w:val="Normal"/>
        <w:ind w:start="720" w:end="-48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480"/>
        <w:jc w:val="both"/>
        <w:rPr>
          <w:sz w:val="22"/>
        </w:rPr>
      </w:pPr>
      <w:r>
        <w:rPr>
          <w:sz w:val="22"/>
        </w:rPr>
      </w:r>
    </w:p>
    <w:p>
      <w:pPr>
        <w:pStyle w:val="Normal"/>
        <w:ind w:end="-480"/>
        <w:jc w:val="both"/>
        <w:rPr/>
      </w:pPr>
      <w:r>
        <w:rPr>
          <w:sz w:val="22"/>
        </w:rPr>
        <w:t>(c)</w:t>
        <w:tab/>
        <w:t>For purposes of this provision, if an Event of Default under [Section 5(a)(vii)]</w:t>
      </w:r>
      <w:r>
        <w:rPr>
          <w:rStyle w:val="FootnoteCharacters"/>
          <w:rStyle w:val="FootnoteReference"/>
          <w:sz w:val="22"/>
        </w:rPr>
        <w:footnoteReference w:id="5"/>
      </w:r>
      <w:r>
        <w:rPr>
          <w:sz w:val="22"/>
        </w:rPr>
        <w:t xml:space="preserve"> of this Agreement occurs, a Bridging Event will occur:</w:t>
      </w:r>
    </w:p>
    <w:p>
      <w:pPr>
        <w:pStyle w:val="Normal"/>
        <w:ind w:end="-480"/>
        <w:jc w:val="both"/>
        <w:rPr>
          <w:sz w:val="22"/>
        </w:rPr>
      </w:pPr>
      <w:r>
        <w:rPr>
          <w:sz w:val="22"/>
        </w:rPr>
      </w:r>
    </w:p>
    <w:p>
      <w:pPr>
        <w:pStyle w:val="Normal"/>
        <w:ind w:start="709" w:end="-480"/>
        <w:jc w:val="both"/>
        <w:rPr>
          <w:sz w:val="22"/>
        </w:rPr>
      </w:pPr>
      <w:r>
        <w:rPr>
          <w:sz w:val="22"/>
        </w:rPr>
        <w:t>(i)</w:t>
        <w:tab/>
        <w:t>if there are one or more outstanding Transactions, immediately upon the designation (or deemed occurrence, if Automatic Early Termination applies) of an Early Termination Date as a result of the occurrence of that Event of Default; or</w:t>
      </w:r>
    </w:p>
    <w:p>
      <w:pPr>
        <w:pStyle w:val="Normal"/>
        <w:ind w:start="709" w:end="-480"/>
        <w:jc w:val="both"/>
        <w:rPr>
          <w:sz w:val="22"/>
        </w:rPr>
      </w:pPr>
      <w:r>
        <w:rPr>
          <w:sz w:val="22"/>
        </w:rPr>
      </w:r>
    </w:p>
    <w:p>
      <w:pPr>
        <w:pStyle w:val="Normal"/>
        <w:ind w:start="709" w:end="-480"/>
        <w:jc w:val="both"/>
        <w:rPr>
          <w:sz w:val="22"/>
        </w:rPr>
      </w:pPr>
      <w:r>
        <w:rPr>
          <w:sz w:val="22"/>
        </w:rPr>
        <w:t>(ii)</w:t>
        <w:tab/>
        <w:t>if there is not an outstanding Transaction:</w:t>
      </w:r>
    </w:p>
    <w:p>
      <w:pPr>
        <w:pStyle w:val="Normal"/>
        <w:ind w:start="709" w:end="-480"/>
        <w:jc w:val="both"/>
        <w:rPr>
          <w:sz w:val="22"/>
        </w:rPr>
      </w:pPr>
      <w:r>
        <w:rPr>
          <w:sz w:val="22"/>
        </w:rPr>
      </w:r>
    </w:p>
    <w:p>
      <w:pPr>
        <w:pStyle w:val="Normal"/>
        <w:ind w:firstLine="720" w:start="720" w:end="-480"/>
        <w:jc w:val="both"/>
        <w:rPr>
          <w:sz w:val="22"/>
        </w:rPr>
      </w:pPr>
      <w:r>
        <w:rPr>
          <w:sz w:val="22"/>
        </w:rPr>
        <w:t>(x)</w:t>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480"/>
        <w:jc w:val="both"/>
        <w:rPr>
          <w:sz w:val="22"/>
        </w:rPr>
      </w:pPr>
      <w:r>
        <w:rPr>
          <w:sz w:val="22"/>
        </w:rPr>
      </w:r>
    </w:p>
    <w:p>
      <w:pPr>
        <w:pStyle w:val="Normal"/>
        <w:ind w:firstLine="720" w:start="720" w:end="-48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480"/>
        <w:jc w:val="both"/>
        <w:rPr>
          <w:sz w:val="22"/>
        </w:rPr>
      </w:pPr>
      <w:r>
        <w:rPr>
          <w:sz w:val="22"/>
        </w:rPr>
      </w:r>
    </w:p>
    <w:p>
      <w:pPr>
        <w:pStyle w:val="Normal"/>
        <w:ind w:firstLine="720" w:start="720" w:end="-48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p>
    <w:p>
      <w:pPr>
        <w:pStyle w:val="Normal"/>
        <w:ind w:firstLine="720" w:start="720" w:end="-480"/>
        <w:jc w:val="both"/>
        <w:rPr>
          <w:sz w:val="22"/>
        </w:rPr>
      </w:pPr>
      <w:r>
        <w:rPr>
          <w:sz w:val="22"/>
        </w:rPr>
      </w:r>
    </w:p>
    <w:p>
      <w:pPr>
        <w:pStyle w:val="BlockText"/>
        <w:rPr/>
      </w:pPr>
      <w:r>
        <w:rPr/>
        <w:t>and the day designated (under subparagraph (x)) or on which the Bridging Event is deemed to occur (under subparagraph (y) or (z)), as appropriate, will be deemed to be an Early Termination Date for purposes of Section 6 of this Agreement.</w:t>
      </w:r>
    </w:p>
    <w:p>
      <w:pPr>
        <w:pStyle w:val="Normal"/>
        <w:ind w:end="-480"/>
        <w:jc w:val="both"/>
        <w:rPr>
          <w:sz w:val="22"/>
        </w:rPr>
      </w:pPr>
      <w:r>
        <w:rPr>
          <w:sz w:val="22"/>
        </w:rPr>
      </w:r>
    </w:p>
    <w:p>
      <w:pPr>
        <w:pStyle w:val="Normal"/>
        <w:ind w:end="-480"/>
        <w:jc w:val="both"/>
        <w:rPr>
          <w:sz w:val="22"/>
        </w:rPr>
      </w:pPr>
      <w:r>
        <w:rPr>
          <w:sz w:val="22"/>
        </w:rPr>
        <w:t>(d)</w:t>
        <w:tab/>
        <w:t>If a Bridging Event occurs:</w:t>
      </w:r>
    </w:p>
    <w:p>
      <w:pPr>
        <w:pStyle w:val="Normal"/>
        <w:ind w:end="-480"/>
        <w:jc w:val="both"/>
        <w:rPr>
          <w:sz w:val="22"/>
        </w:rPr>
      </w:pPr>
      <w:r>
        <w:rPr>
          <w:sz w:val="22"/>
        </w:rPr>
      </w:r>
    </w:p>
    <w:p>
      <w:pPr>
        <w:pStyle w:val="Normal"/>
        <w:ind w:firstLine="720" w:end="-48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480"/>
        <w:jc w:val="both"/>
        <w:rPr>
          <w:sz w:val="22"/>
        </w:rPr>
      </w:pPr>
      <w:r>
        <w:rPr>
          <w:sz w:val="22"/>
        </w:rPr>
      </w:r>
    </w:p>
    <w:p>
      <w:pPr>
        <w:pStyle w:val="Normal"/>
        <w:ind w:firstLine="720" w:end="-48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end="-480"/>
        <w:jc w:val="both"/>
        <w:rPr>
          <w:sz w:val="22"/>
        </w:rPr>
      </w:pPr>
      <w:r>
        <w:rPr>
          <w:sz w:val="22"/>
        </w:rPr>
      </w:r>
    </w:p>
    <w:p>
      <w:pPr>
        <w:pStyle w:val="Normal"/>
        <w:ind w:firstLine="720" w:end="-480"/>
        <w:jc w:val="both"/>
        <w:rPr>
          <w:sz w:val="22"/>
        </w:rPr>
      </w:pPr>
      <w:r>
        <w:rPr>
          <w:sz w:val="22"/>
        </w:rPr>
        <w:t>(iii)</w:t>
        <w:tab/>
        <w:t>each Bridged Agreement will be deemed to constitute a Terminated Transaction for purposes of this Agreement; and</w:t>
      </w:r>
    </w:p>
    <w:p>
      <w:pPr>
        <w:pStyle w:val="Normal"/>
        <w:ind w:end="-480"/>
        <w:jc w:val="both"/>
        <w:rPr>
          <w:sz w:val="22"/>
        </w:rPr>
      </w:pPr>
      <w:r>
        <w:rPr>
          <w:sz w:val="22"/>
        </w:rPr>
      </w:r>
    </w:p>
    <w:p>
      <w:pPr>
        <w:pStyle w:val="Normal"/>
        <w:ind w:end="-480"/>
        <w:jc w:val="both"/>
        <w:rPr>
          <w:sz w:val="22"/>
        </w:rPr>
      </w:pPr>
      <w:r>
        <w:rPr>
          <w:sz w:val="22"/>
        </w:rPr>
        <w:tab/>
        <w:t>(iv)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480"/>
        <w:jc w:val="both"/>
        <w:rPr>
          <w:sz w:val="22"/>
        </w:rPr>
      </w:pPr>
      <w:r>
        <w:rPr>
          <w:sz w:val="22"/>
        </w:rPr>
      </w:r>
    </w:p>
    <w:p>
      <w:pPr>
        <w:pStyle w:val="Normal"/>
        <w:ind w:end="-480"/>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p>
    <w:p>
      <w:pPr>
        <w:pStyle w:val="Normal"/>
        <w:ind w:end="-480"/>
        <w:jc w:val="both"/>
        <w:rPr>
          <w:sz w:val="22"/>
        </w:rPr>
      </w:pPr>
      <w:r>
        <w:rPr>
          <w:sz w:val="22"/>
        </w:rPr>
      </w:r>
    </w:p>
    <w:p>
      <w:pPr>
        <w:pStyle w:val="Normal"/>
        <w:ind w:end="-480"/>
        <w:jc w:val="both"/>
        <w:rPr>
          <w:sz w:val="22"/>
        </w:rPr>
      </w:pPr>
      <w:r>
        <w:rPr>
          <w:sz w:val="22"/>
        </w:rPr>
        <w:t>(f)</w:t>
        <w:tab/>
        <w:t>Where this provision is inconsistent with the terms of any Bridged Agreement, this provision will prevail.  In all other respects, the provisions of each Bridged Agreement will not be affected by this provision.</w:t>
      </w:r>
    </w:p>
    <w:p>
      <w:pPr>
        <w:pStyle w:val="Normal"/>
        <w:ind w:end="-480"/>
        <w:jc w:val="both"/>
        <w:rPr>
          <w:sz w:val="22"/>
        </w:rPr>
      </w:pPr>
      <w:r>
        <w:rPr>
          <w:sz w:val="22"/>
        </w:rPr>
      </w:r>
    </w:p>
    <w:p>
      <w:pPr>
        <w:pStyle w:val="Normal"/>
        <w:ind w:end="-480"/>
        <w:jc w:val="both"/>
        <w:rPr>
          <w:b/>
          <w:sz w:val="22"/>
        </w:rPr>
      </w:pPr>
      <w:r>
        <w:rPr>
          <w:b/>
          <w:sz w:val="22"/>
        </w:rPr>
        <w:t>(2)</w:t>
        <w:tab/>
        <w:t>Amendment to Definition of Unpaid Amounts</w:t>
      </w:r>
    </w:p>
    <w:p>
      <w:pPr>
        <w:pStyle w:val="Normal"/>
        <w:ind w:end="-480"/>
        <w:jc w:val="both"/>
        <w:rPr>
          <w:b/>
          <w:sz w:val="22"/>
        </w:rPr>
      </w:pPr>
      <w:r>
        <w:rPr>
          <w:b/>
          <w:sz w:val="22"/>
        </w:rPr>
      </w:r>
    </w:p>
    <w:p>
      <w:pPr>
        <w:pStyle w:val="Normal"/>
        <w:ind w:end="-480"/>
        <w:jc w:val="both"/>
        <w:rPr>
          <w:sz w:val="22"/>
        </w:rPr>
      </w:pPr>
      <w:r>
        <w:rPr>
          <w:sz w:val="22"/>
        </w:rPr>
        <w:t>The definition of "Unpaid Amounts" in Section 14 of this Agreement is amended:</w:t>
      </w:r>
    </w:p>
    <w:p>
      <w:pPr>
        <w:pStyle w:val="Normal"/>
        <w:ind w:end="-480"/>
        <w:jc w:val="both"/>
        <w:rPr>
          <w:sz w:val="22"/>
        </w:rPr>
      </w:pPr>
      <w:r>
        <w:rPr>
          <w:sz w:val="22"/>
        </w:rPr>
      </w:r>
    </w:p>
    <w:p>
      <w:pPr>
        <w:pStyle w:val="Normal"/>
        <w:ind w:end="-480"/>
        <w:jc w:val="both"/>
        <w:rPr>
          <w:sz w:val="22"/>
        </w:rPr>
      </w:pPr>
      <w:r>
        <w:rPr>
          <w:sz w:val="22"/>
        </w:rPr>
        <w:t>(a)</w:t>
        <w:tab/>
        <w:t>by the deletion of the word "and" where it appears for the second time in the fourth line and its replacement with ","; and</w:t>
      </w:r>
    </w:p>
    <w:p>
      <w:pPr>
        <w:pStyle w:val="Normal"/>
        <w:ind w:end="-480"/>
        <w:jc w:val="both"/>
        <w:rPr>
          <w:sz w:val="22"/>
        </w:rPr>
      </w:pPr>
      <w:r>
        <w:rPr>
          <w:sz w:val="22"/>
        </w:rPr>
      </w:r>
    </w:p>
    <w:p>
      <w:pPr>
        <w:pStyle w:val="Normal"/>
        <w:ind w:end="-480"/>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p>
      <w:pPr>
        <w:pStyle w:val="Normal"/>
        <w:ind w:end="-480"/>
        <w:jc w:val="both"/>
        <w:rPr>
          <w:sz w:val="22"/>
        </w:rPr>
      </w:pPr>
      <w:r>
        <w:rPr>
          <w:sz w:val="22"/>
        </w:rPr>
      </w:r>
    </w:p>
    <w:p>
      <w:pPr>
        <w:pStyle w:val="Normal"/>
        <w:ind w:end="-480"/>
        <w:jc w:val="both"/>
        <w:rPr>
          <w:sz w:val="22"/>
        </w:rPr>
      </w:pPr>
      <w:r>
        <w:rPr>
          <w:sz w:val="22"/>
        </w:rPr>
      </w:r>
    </w:p>
    <w:p>
      <w:pPr>
        <w:pStyle w:val="Normal"/>
        <w:ind w:end="-480"/>
        <w:jc w:val="both"/>
        <w:rPr>
          <w:sz w:val="22"/>
        </w:rPr>
      </w:pPr>
      <w:r>
        <w:rPr>
          <w:sz w:val="22"/>
        </w:rPr>
      </w:r>
      <w:r>
        <w:br w:type="page"/>
      </w:r>
    </w:p>
    <w:p>
      <w:pPr>
        <w:pStyle w:val="Normal"/>
        <w:ind w:end="-480"/>
        <w:jc w:val="center"/>
        <w:rPr>
          <w:b/>
          <w:sz w:val="22"/>
        </w:rPr>
      </w:pPr>
      <w:r>
        <w:rPr>
          <w:b/>
          <w:sz w:val="22"/>
        </w:rPr>
        <w:t>Possible additional provisions:</w:t>
      </w:r>
    </w:p>
    <w:p>
      <w:pPr>
        <w:pStyle w:val="Normal"/>
        <w:ind w:end="-480"/>
        <w:jc w:val="both"/>
        <w:rPr>
          <w:b/>
          <w:sz w:val="22"/>
        </w:rPr>
      </w:pPr>
      <w:r>
        <w:rPr>
          <w:b/>
          <w:sz w:val="22"/>
        </w:rPr>
      </w:r>
    </w:p>
    <w:p>
      <w:pPr>
        <w:pStyle w:val="Normal"/>
        <w:ind w:end="-480"/>
        <w:jc w:val="both"/>
        <w:rPr/>
      </w:pPr>
      <w:r>
        <w:rPr/>
      </w:r>
    </w:p>
    <w:p>
      <w:pPr>
        <w:pStyle w:val="Normal"/>
        <w:ind w:end="-480"/>
        <w:jc w:val="both"/>
        <w:rPr/>
      </w:pPr>
      <w:r>
        <w:rPr>
          <w:sz w:val="22"/>
        </w:rPr>
        <w:t>[(●)</w:t>
        <w:tab/>
        <w:t>If:</w:t>
      </w:r>
    </w:p>
    <w:p>
      <w:pPr>
        <w:pStyle w:val="Normal"/>
        <w:ind w:end="-480"/>
        <w:jc w:val="both"/>
        <w:rPr>
          <w:sz w:val="22"/>
        </w:rPr>
      </w:pPr>
      <w:r>
        <w:rPr>
          <w:sz w:val="22"/>
        </w:rPr>
      </w:r>
    </w:p>
    <w:p>
      <w:pPr>
        <w:pStyle w:val="Normal"/>
        <w:numPr>
          <w:ilvl w:val="0"/>
          <w:numId w:val="2"/>
        </w:numPr>
        <w:tabs>
          <w:tab w:val="clear" w:pos="720"/>
        </w:tabs>
        <w:ind w:firstLine="720" w:start="0" w:end="-480"/>
        <w:jc w:val="both"/>
        <w:rPr>
          <w:sz w:val="22"/>
        </w:rPr>
      </w:pPr>
      <w:r>
        <w:rPr>
          <w:sz w:val="22"/>
        </w:rPr>
        <w:t>an Event of Default occurs that does not constitute a Bridging Event; and</w:t>
      </w:r>
    </w:p>
    <w:p>
      <w:pPr>
        <w:pStyle w:val="Normal"/>
        <w:ind w:start="720" w:end="-480"/>
        <w:jc w:val="both"/>
        <w:rPr>
          <w:sz w:val="22"/>
        </w:rPr>
      </w:pPr>
      <w:r>
        <w:rPr>
          <w:sz w:val="22"/>
        </w:rPr>
      </w:r>
    </w:p>
    <w:p>
      <w:pPr>
        <w:pStyle w:val="Normal"/>
        <w:numPr>
          <w:ilvl w:val="0"/>
          <w:numId w:val="2"/>
        </w:numPr>
        <w:tabs>
          <w:tab w:val="clear" w:pos="720"/>
        </w:tabs>
        <w:ind w:firstLine="720" w:start="0" w:end="-480"/>
        <w:jc w:val="both"/>
        <w:rPr>
          <w:sz w:val="22"/>
        </w:rPr>
      </w:pPr>
      <w:r>
        <w:rPr>
          <w:sz w:val="22"/>
        </w:rPr>
        <w:t>an Early Termination Date is designated; and</w:t>
      </w:r>
    </w:p>
    <w:p>
      <w:pPr>
        <w:pStyle w:val="Normal"/>
        <w:ind w:end="-480"/>
        <w:jc w:val="both"/>
        <w:rPr>
          <w:sz w:val="22"/>
        </w:rPr>
      </w:pPr>
      <w:r>
        <w:rPr>
          <w:sz w:val="22"/>
        </w:rPr>
      </w:r>
    </w:p>
    <w:p>
      <w:pPr>
        <w:pStyle w:val="Normal"/>
        <w:numPr>
          <w:ilvl w:val="0"/>
          <w:numId w:val="2"/>
        </w:numPr>
        <w:tabs>
          <w:tab w:val="clear" w:pos="720"/>
        </w:tabs>
        <w:ind w:hanging="0" w:start="720" w:end="-482"/>
        <w:jc w:val="both"/>
        <w:rPr>
          <w:sz w:val="22"/>
        </w:rPr>
      </w:pPr>
      <w:r>
        <w:rPr>
          <w:sz w:val="22"/>
        </w:rPr>
        <w:t>subsequently, but before the occurrence of the Early Termination Date, an Event of Default under Section 5(a)[(vii)]</w:t>
      </w:r>
      <w:r>
        <w:rPr>
          <w:rStyle w:val="FootnoteCharacters"/>
          <w:rStyle w:val="FootnoteReference"/>
          <w:sz w:val="22"/>
        </w:rPr>
        <w:footnoteReference w:id="6"/>
      </w:r>
      <w:r>
        <w:rPr>
          <w:sz w:val="22"/>
        </w:rPr>
        <w:t xml:space="preserve"> occurs with respect to the party that is the Defaulting Party under this Agreement,</w:t>
      </w:r>
    </w:p>
    <w:p>
      <w:pPr>
        <w:pStyle w:val="Normal"/>
        <w:ind w:end="-480"/>
        <w:jc w:val="both"/>
        <w:rPr>
          <w:sz w:val="22"/>
        </w:rPr>
      </w:pPr>
      <w:r>
        <w:rPr>
          <w:sz w:val="22"/>
        </w:rPr>
      </w:r>
    </w:p>
    <w:p>
      <w:pPr>
        <w:pStyle w:val="Normal"/>
        <w:ind w:end="-480"/>
        <w:jc w:val="both"/>
        <w:rPr>
          <w:sz w:val="22"/>
        </w:rPr>
      </w:pPr>
      <w:r>
        <w:rPr>
          <w:sz w:val="22"/>
        </w:rPr>
        <w:t>a Bridging Event will be deemed to have occurred, and these provisions will apply to any outstanding Bridged Transactions so that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so that the acceleration, termination or cancellation will occur on the Early Termination Date.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end="-480"/>
        <w:jc w:val="both"/>
        <w:rPr>
          <w:sz w:val="22"/>
        </w:rPr>
      </w:pPr>
      <w:r>
        <w:rPr>
          <w:sz w:val="22"/>
        </w:rPr>
      </w:r>
    </w:p>
    <w:p>
      <w:pPr>
        <w:pStyle w:val="Normal"/>
        <w:ind w:end="-480"/>
        <w:jc w:val="both"/>
        <w:rPr>
          <w:sz w:val="22"/>
        </w:rPr>
      </w:pPr>
      <w:r>
        <w:rPr>
          <w:sz w:val="22"/>
        </w:rPr>
      </w:r>
    </w:p>
    <w:p>
      <w:pPr>
        <w:pStyle w:val="Normal"/>
        <w:ind w:end="-480"/>
        <w:jc w:val="both"/>
        <w:rPr/>
      </w:pPr>
      <w:r>
        <w:rPr>
          <w:sz w:val="22"/>
        </w:rPr>
        <w:t>[(●)</w:t>
        <w:tab/>
        <w:t>If:</w:t>
      </w:r>
    </w:p>
    <w:p>
      <w:pPr>
        <w:pStyle w:val="Normal"/>
        <w:ind w:end="-480"/>
        <w:jc w:val="both"/>
        <w:rPr>
          <w:sz w:val="22"/>
        </w:rPr>
      </w:pPr>
      <w:r>
        <w:rPr>
          <w:sz w:val="22"/>
        </w:rPr>
      </w:r>
    </w:p>
    <w:p>
      <w:pPr>
        <w:pStyle w:val="Normal"/>
        <w:ind w:start="720" w:end="-482"/>
        <w:jc w:val="both"/>
        <w:rPr>
          <w:sz w:val="22"/>
        </w:rPr>
      </w:pPr>
      <w:r>
        <w:rPr>
          <w:sz w:val="22"/>
        </w:rPr>
        <w:t>(i)</w:t>
        <w:tab/>
        <w:t>under a Bridged Agreement, an Event of Default (as defined in the relevant Bridged Agreement) (including any equivalent event giving a party the right to accelerate, terminate or cancel transactions) occurs; and</w:t>
      </w:r>
    </w:p>
    <w:p>
      <w:pPr>
        <w:pStyle w:val="Normal"/>
        <w:ind w:start="720" w:end="-480"/>
        <w:jc w:val="both"/>
        <w:rPr>
          <w:sz w:val="22"/>
        </w:rPr>
      </w:pPr>
      <w:r>
        <w:rPr>
          <w:sz w:val="22"/>
        </w:rPr>
      </w:r>
    </w:p>
    <w:p>
      <w:pPr>
        <w:pStyle w:val="Normal"/>
        <w:ind w:start="720" w:end="-482"/>
        <w:jc w:val="both"/>
        <w:rPr/>
      </w:pPr>
      <w:r>
        <w:rPr>
          <w:sz w:val="22"/>
        </w:rPr>
        <w:t>(ii)</w:t>
        <w:tab/>
        <w:t>a day is designated under the relevant Bridged Agreement as a day on which the parties' delivery and payment obligations (and any other obligations they have under the relevant Bridged Agreement) in respect of any Bridged Transactions will be accelerated, terminated or cancelled, as the case may be; and</w:t>
      </w:r>
    </w:p>
    <w:p>
      <w:pPr>
        <w:pStyle w:val="Normal"/>
        <w:ind w:start="720" w:end="-480"/>
        <w:jc w:val="both"/>
        <w:rPr>
          <w:sz w:val="22"/>
        </w:rPr>
      </w:pPr>
      <w:r>
        <w:rPr>
          <w:sz w:val="22"/>
        </w:rPr>
      </w:r>
    </w:p>
    <w:p>
      <w:pPr>
        <w:pStyle w:val="Normal"/>
        <w:ind w:start="720" w:end="-482"/>
        <w:jc w:val="both"/>
        <w:rPr>
          <w:sz w:val="22"/>
        </w:rPr>
      </w:pPr>
      <w:r>
        <w:rPr>
          <w:sz w:val="22"/>
        </w:rPr>
        <w:t>(iii)</w:t>
        <w:tab/>
        <w:t>subsequently, but before that day, a Bridging Event occurs with respect to the party that is not the party with the right to accelerate, terminate or cancel transactions under the Bridged Agreement,</w:t>
      </w:r>
    </w:p>
    <w:p>
      <w:pPr>
        <w:pStyle w:val="Normal"/>
        <w:ind w:end="-480"/>
        <w:jc w:val="both"/>
        <w:rPr>
          <w:sz w:val="22"/>
        </w:rPr>
      </w:pPr>
      <w:r>
        <w:rPr>
          <w:sz w:val="22"/>
        </w:rPr>
      </w:r>
    </w:p>
    <w:p>
      <w:pPr>
        <w:pStyle w:val="Normal"/>
        <w:ind w:end="-480"/>
        <w:jc w:val="both"/>
        <w:rPr>
          <w:sz w:val="22"/>
        </w:rPr>
      </w:pPr>
      <w:r>
        <w:rPr>
          <w:sz w:val="22"/>
        </w:rPr>
        <w:t>these provisions will apply to any outstanding Bridged Transactions as if the Event of Default under the relevant Bridged Agreement had not occurred.]</w:t>
      </w:r>
    </w:p>
    <w:p>
      <w:pPr>
        <w:pStyle w:val="Normal"/>
        <w:ind w:end="-480"/>
        <w:jc w:val="both"/>
        <w:rPr>
          <w:sz w:val="22"/>
        </w:rPr>
      </w:pPr>
      <w:r>
        <w:rPr>
          <w:sz w:val="22"/>
        </w:rPr>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ICM:449652.1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Specify "Section 5(a)(vii)" if the only Bridging Event is to be the occurrence of a Bankruptcy Event of Default.  If the parties wish to include other Events of Default as Bridging Events, they should amend this reference.</w:t>
      </w:r>
    </w:p>
  </w:footnote>
  <w:footnote w:id="6">
    <w:p>
      <w:pPr>
        <w:pStyle w:val="FootnoteText"/>
        <w:rPr/>
      </w:pPr>
      <w:r>
        <w:rPr>
          <w:rStyle w:val="FootnoteCharacters"/>
        </w:rPr>
        <w:footnoteRef/>
      </w:r>
      <w:r>
        <w:rPr/>
        <w:t xml:space="preserve"> </w:t>
      </w:r>
      <w:r>
        <w:rPr/>
        <w:tab/>
        <w:t>Specify Event(s) of Default listed in the first line of paragraph (c).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2001-03-16T11:47:00Z</dcterms:created>
  <dc:creator>Bankgesellschaft Berlin</dc:creator>
  <dc:description/>
  <dc:language>en-CA</dc:language>
  <cp:lastModifiedBy>apapesch</cp:lastModifiedBy>
  <cp:lastPrinted>2001-03-16T14:16:00Z</cp:lastPrinted>
  <dcterms:modified xsi:type="dcterms:W3CDTF">2001-03-16T11:53:00Z</dcterms:modified>
  <cp:revision>4</cp:revision>
  <dc:subject/>
  <dc:title>Repo Agreements</dc:title>
</cp:coreProperties>
</file>