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r>
    </w:p>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pPr>
            <w:r>
              <w:rPr/>
              <w:t>Energy and Developing Products Committee</w:t>
            </w:r>
          </w:p>
        </w:tc>
      </w:tr>
      <w:tr>
        <w:trPr/>
        <w:tc>
          <w:tcPr>
            <w:tcW w:w="1440" w:type="dxa"/>
            <w:tcBorders/>
          </w:tcPr>
          <w:p>
            <w:pPr>
              <w:pStyle w:val="Normal"/>
              <w:spacing w:before="240" w:after="240"/>
              <w:rPr>
                <w:b/>
                <w:caps/>
              </w:rPr>
            </w:pPr>
            <w:r>
              <w:rPr>
                <w:b/>
                <w:caps/>
              </w:rPr>
              <w:t>From:</w:t>
            </w:r>
          </w:p>
        </w:tc>
        <w:tc>
          <w:tcPr>
            <w:tcW w:w="8028" w:type="dxa"/>
            <w:tcBorders/>
          </w:tcPr>
          <w:p>
            <w:pPr>
              <w:pStyle w:val="Header"/>
              <w:tabs>
                <w:tab w:val="clear" w:pos="4320"/>
                <w:tab w:val="clear" w:pos="8640"/>
              </w:tabs>
              <w:spacing w:before="240" w:after="0"/>
              <w:rPr/>
            </w:pPr>
            <w:r>
              <w:rPr/>
              <w:t>John Berry</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10th May, 2001</w:t>
            </w:r>
          </w:p>
        </w:tc>
      </w:tr>
      <w:tr>
        <w:trPr/>
        <w:tc>
          <w:tcPr>
            <w:tcW w:w="1440" w:type="dxa"/>
            <w:tcBorders/>
          </w:tcPr>
          <w:p>
            <w:pPr>
              <w:pStyle w:val="Normal"/>
              <w:spacing w:before="240" w:after="240"/>
              <w:rPr>
                <w:b/>
                <w:caps/>
              </w:rPr>
            </w:pPr>
            <w:r>
              <w:rPr>
                <w:b/>
                <w:caps/>
              </w:rPr>
              <w:t>Re:</w:t>
            </w:r>
          </w:p>
        </w:tc>
        <w:tc>
          <w:tcPr>
            <w:tcW w:w="8028" w:type="dxa"/>
            <w:tcBorders/>
          </w:tcPr>
          <w:p>
            <w:pPr>
              <w:pStyle w:val="Normal"/>
              <w:spacing w:before="240" w:after="0"/>
              <w:rPr>
                <w:b/>
              </w:rPr>
            </w:pPr>
            <w:r>
              <w:rPr>
                <w:b/>
              </w:rPr>
              <w:t>ISDA Bridge Provisions</w:t>
            </w:r>
          </w:p>
        </w:tc>
      </w:tr>
    </w:tbl>
    <w:p>
      <w:pPr>
        <w:pStyle w:val="Normal"/>
        <w:rPr/>
      </w:pPr>
      <w:r>
        <w:rPr/>
      </w:r>
    </w:p>
    <w:p>
      <w:pPr>
        <w:pStyle w:val="Header"/>
        <w:tabs>
          <w:tab w:val="clear" w:pos="4320"/>
          <w:tab w:val="clear" w:pos="8640"/>
        </w:tabs>
        <w:rPr>
          <w:lang w:val="en-CA"/>
        </w:rPr>
      </w:pPr>
      <w:r>
        <w:rPr>
          <w:lang w:val="en-CA"/>
        </w:rPr>
        <mc:AlternateContent>
          <mc:Choice Requires="wps">
            <w:drawing>
              <wp:anchor behindDoc="0" distT="0" distB="0" distL="114935" distR="114935" simplePos="0" locked="0" layoutInCell="0" allowOverlap="1" relativeHeight="3">
                <wp:simplePos x="0" y="0"/>
                <wp:positionH relativeFrom="column">
                  <wp:posOffset>-91440</wp:posOffset>
                </wp:positionH>
                <wp:positionV relativeFrom="paragraph">
                  <wp:posOffset>24130</wp:posOffset>
                </wp:positionV>
                <wp:extent cx="6035040" cy="0"/>
                <wp:effectExtent l="0" t="9525" r="0" b="9525"/>
                <wp:wrapTopAndBottom/>
                <wp:docPr id="1" name=""/>
                <a:graphic xmlns:a="http://schemas.openxmlformats.org/drawingml/2006/main">
                  <a:graphicData uri="http://schemas.microsoft.com/office/word/2010/wordprocessingShape">
                    <wps:wsp>
                      <wps:cNvSpPr/>
                      <wps:spPr>
                        <a:xfrm>
                          <a:off x="0" y="0"/>
                          <a:ext cx="60350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9pt" to="467.95pt,1.9pt" stroked="t" o:allowincell="f" style="position:absolute">
                <v:stroke color="black" weight="19080" joinstyle="miter" endcap="flat"/>
                <v:fill o:detectmouseclick="t" on="false"/>
                <w10:wrap type="topAndBottom"/>
              </v:line>
            </w:pict>
          </mc:Fallback>
        </mc:AlternateContent>
      </w:r>
    </w:p>
    <w:p>
      <w:pPr>
        <w:pStyle w:val="Normal"/>
        <w:rPr>
          <w:sz w:val="22"/>
          <w:lang w:val="en-CA"/>
        </w:rPr>
      </w:pPr>
      <w:r>
        <w:rPr>
          <w:sz w:val="22"/>
          <w:lang w:val="en-CA"/>
        </w:rPr>
      </w:r>
    </w:p>
    <w:p>
      <w:pPr>
        <w:pStyle w:val="Normal"/>
        <w:jc w:val="both"/>
        <w:rPr>
          <w:sz w:val="22"/>
        </w:rPr>
      </w:pPr>
      <w:r>
        <w:rPr>
          <w:sz w:val="22"/>
        </w:rPr>
        <w:t>These notes refer to, and are intended to assist in the discussion of, the draft ISDA Cross-Agreement Bridge (the "Bridge") dated 10th May, 2001.  The aim of the Bridge is to enable parties to incorporate transactions entered into under other industry-standard agreements within the close-out netting provisions of their ISDA Master Agreements.</w:t>
      </w:r>
    </w:p>
    <w:p>
      <w:pPr>
        <w:pStyle w:val="Normal"/>
        <w:jc w:val="both"/>
        <w:rPr>
          <w:sz w:val="22"/>
        </w:rPr>
      </w:pPr>
      <w:r>
        <w:rPr>
          <w:sz w:val="22"/>
        </w:rPr>
      </w:r>
    </w:p>
    <w:p>
      <w:pPr>
        <w:pStyle w:val="Heading3"/>
        <w:ind w:hanging="0" w:start="0"/>
        <w:rPr/>
      </w:pPr>
      <w:r>
        <w:rPr/>
        <w:t>Background</w:t>
      </w:r>
    </w:p>
    <w:p>
      <w:pPr>
        <w:pStyle w:val="Normal"/>
        <w:jc w:val="both"/>
        <w:rPr>
          <w:sz w:val="22"/>
        </w:rPr>
      </w:pPr>
      <w:r>
        <w:rPr>
          <w:sz w:val="22"/>
        </w:rPr>
      </w:r>
    </w:p>
    <w:p>
      <w:pPr>
        <w:pStyle w:val="Normal"/>
        <w:jc w:val="both"/>
        <w:rPr>
          <w:sz w:val="22"/>
        </w:rPr>
      </w:pPr>
      <w:r>
        <w:rPr>
          <w:sz w:val="22"/>
        </w:rPr>
        <w:t xml:space="preserve">The draft Bridge is the work product of one of the four working groups participating in ISDA's Strategic Documentation Review: the Master Agreement Structural Issues Working Group (the "Working Group").  </w:t>
      </w:r>
    </w:p>
    <w:p>
      <w:pPr>
        <w:pStyle w:val="Normal"/>
        <w:jc w:val="both"/>
        <w:rPr>
          <w:sz w:val="22"/>
        </w:rPr>
      </w:pPr>
      <w:r>
        <w:rPr>
          <w:sz w:val="22"/>
        </w:rPr>
      </w:r>
    </w:p>
    <w:p>
      <w:pPr>
        <w:pStyle w:val="Normal"/>
        <w:jc w:val="both"/>
        <w:rPr>
          <w:sz w:val="22"/>
        </w:rPr>
      </w:pPr>
      <w:r>
        <w:rPr>
          <w:sz w:val="22"/>
        </w:rPr>
        <w:t>The principal aim of the Working Group has been to look at ways of achieving cross-product netting.  For example, at an early stage the Working Group reviewed and commented on The Bond Market Association's Cross-Product Master Agreement (see "Comparison with Cross-Product Master Agreement" below).  However, more recently the Working Group has been looking at developing a way of using the ISDA Master Agreement to try to achieve a form of cross-product netting (by including, in an ISDA Master Agreement, "bridging provisions" of the type contained in the draft Bridge).</w:t>
      </w:r>
    </w:p>
    <w:p>
      <w:pPr>
        <w:pStyle w:val="Normal"/>
        <w:jc w:val="both"/>
        <w:rPr>
          <w:sz w:val="22"/>
        </w:rPr>
      </w:pPr>
      <w:r>
        <w:rPr>
          <w:sz w:val="22"/>
        </w:rPr>
      </w:r>
    </w:p>
    <w:p>
      <w:pPr>
        <w:pStyle w:val="Heading4"/>
        <w:ind w:hanging="0" w:start="0"/>
        <w:jc w:val="both"/>
        <w:rPr>
          <w:b w:val="false"/>
        </w:rPr>
      </w:pPr>
      <w:r>
        <w:rPr>
          <w:b w:val="false"/>
        </w:rPr>
        <w:t xml:space="preserve">In preparing the draft Bridge, the Working Group has so far reviewed, in detail, both the 1995 PSA/ISMA Global Master Repurchase Agreement (the "GMRA") and the Overseas Securities Lender's Agreement (the "OSLA"), although it is intended that the provisions will be capable of covering a much wider range of industry-standard master agreements. </w:t>
      </w:r>
    </w:p>
    <w:p>
      <w:pPr>
        <w:pStyle w:val="Normal"/>
        <w:rPr>
          <w:b/>
        </w:rPr>
      </w:pPr>
      <w:r>
        <w:rPr>
          <w:b/>
        </w:rPr>
      </w:r>
    </w:p>
    <w:p>
      <w:pPr>
        <w:pStyle w:val="Normal"/>
        <w:jc w:val="both"/>
        <w:rPr>
          <w:sz w:val="22"/>
        </w:rPr>
      </w:pPr>
      <w:r>
        <w:rPr>
          <w:sz w:val="22"/>
        </w:rPr>
        <w:t>In the Working Group a broad consensus formed in favour of developing, at least initially, bridging provisions that follow an "agreement" approach.  Under this approach, the termination values for transactions documented under other agreements covered by the bridging provisions are only brought within the close-out netting provisions of the ISDA Master Agreement if an Event of Default under the ISDA Master Agreement occurs.  This approach maintains (at least) the relevant operational structures (as to payment, delivery, etc.) under the other agreements covered by the bridging provisions.</w:t>
      </w:r>
    </w:p>
    <w:p>
      <w:pPr>
        <w:pStyle w:val="Normal"/>
        <w:jc w:val="both"/>
        <w:rPr>
          <w:sz w:val="22"/>
        </w:rPr>
      </w:pPr>
      <w:r>
        <w:rPr>
          <w:sz w:val="22"/>
        </w:rPr>
      </w:r>
    </w:p>
    <w:p>
      <w:pPr>
        <w:pStyle w:val="Normal"/>
        <w:jc w:val="both"/>
        <w:rPr>
          <w:sz w:val="22"/>
        </w:rPr>
      </w:pPr>
      <w:r>
        <w:rPr>
          <w:sz w:val="22"/>
        </w:rPr>
        <w:t>The Working Group also considered a broader "transaction" approach (where individual transactions documented under other agreements would be deemed to be Transactions for the purposes of the ISDA Master Agreement, even without the occurrence of an Event of Default).  This approach presented the Working Group with many obstacles, and the sentiment was that initial efforts should focus on pursuing the agreement approach.  (See, further, "Benefits of Agreement Approach" below.)</w:t>
      </w:r>
    </w:p>
    <w:p>
      <w:pPr>
        <w:pStyle w:val="Normal"/>
        <w:jc w:val="both"/>
        <w:rPr>
          <w:sz w:val="22"/>
        </w:rPr>
      </w:pPr>
      <w:r>
        <w:rPr>
          <w:sz w:val="22"/>
        </w:rPr>
      </w:r>
    </w:p>
    <w:p>
      <w:pPr>
        <w:pStyle w:val="Heading3"/>
        <w:ind w:hanging="0" w:start="0"/>
        <w:rPr/>
      </w:pPr>
      <w:r>
        <w:rPr/>
        <w:t>Operation of Draft Bridge</w:t>
      </w:r>
    </w:p>
    <w:p>
      <w:pPr>
        <w:pStyle w:val="Normal"/>
        <w:jc w:val="both"/>
        <w:rPr>
          <w:sz w:val="22"/>
        </w:rPr>
      </w:pPr>
      <w:r>
        <w:rPr>
          <w:sz w:val="22"/>
        </w:rPr>
      </w:r>
    </w:p>
    <w:p>
      <w:pPr>
        <w:pStyle w:val="BodyText"/>
        <w:spacing w:lineRule="auto" w:line="240" w:before="0" w:after="0"/>
        <w:rPr/>
      </w:pPr>
      <w:r>
        <w:rPr>
          <w:rFonts w:cs="Times New Roman" w:ascii="Times New Roman" w:hAnsi="Times New Roman"/>
          <w:lang w:val="en-US"/>
        </w:rPr>
        <w:t>As currently drafted, the provisions of the Bridge operate upon the occurrence of a "Bridging Event" (see "Occurrence of Bridging Event" below).  If the Bridge is included in an ISDA Master Agreement, and if a Bridging Event occurs, that Bridging Event will be deemed to constitute an Event of Default under each of the agreements specified in the Bridge as "Bridged Agreements", and all transactions outstanding under the Bridged Agreements may be closed out in accordance with the provisions of each relevant Bridged Agreement.</w:t>
      </w:r>
      <w:r>
        <w:rPr>
          <w:rStyle w:val="FootnoteCharacters"/>
          <w:rStyle w:val="FootnoteReference"/>
          <w:rFonts w:cs="Times New Roman" w:ascii="Times New Roman" w:hAnsi="Times New Roman"/>
          <w:lang w:val="en-US"/>
        </w:rPr>
        <w:footnoteReference w:id="2"/>
      </w:r>
      <w:r>
        <w:rPr>
          <w:rFonts w:cs="Times New Roman" w:ascii="Times New Roman" w:hAnsi="Times New Roman"/>
          <w:lang w:val="en-US"/>
        </w:rPr>
        <w:t xml:space="preserve">  The net close-out amounts that are payable in respect of the various Bridged Agreements are then brought into the Section 6 close-out mechanics of the ISDA Master Agreement, and the resulting Settlement Amount payable under the ISDA Master Agreement is the only sum that is payable between the parties.</w:t>
      </w:r>
    </w:p>
    <w:p>
      <w:pPr>
        <w:pStyle w:val="Normal"/>
        <w:jc w:val="both"/>
        <w:rPr>
          <w:rFonts w:ascii="Times New Roman" w:hAnsi="Times New Roman" w:cs="Times New Roman"/>
          <w:sz w:val="22"/>
          <w:lang w:val="en-US"/>
        </w:rPr>
      </w:pPr>
      <w:r>
        <w:rPr>
          <w:rFonts w:cs="Times New Roman"/>
          <w:sz w:val="22"/>
          <w:lang w:val="en-US"/>
        </w:rPr>
      </w:r>
    </w:p>
    <w:p>
      <w:pPr>
        <w:pStyle w:val="Normal"/>
        <w:jc w:val="both"/>
        <w:rPr>
          <w:sz w:val="22"/>
        </w:rPr>
      </w:pPr>
      <w:r>
        <w:rPr>
          <w:b/>
          <w:i/>
          <w:sz w:val="22"/>
        </w:rPr>
        <w:t>1.</w:t>
        <w:tab/>
        <w:t>Occurrence of Bridging Event</w:t>
      </w:r>
    </w:p>
    <w:p>
      <w:pPr>
        <w:pStyle w:val="Normal"/>
        <w:jc w:val="both"/>
        <w:rPr>
          <w:sz w:val="22"/>
        </w:rPr>
      </w:pPr>
      <w:r>
        <w:rPr>
          <w:sz w:val="22"/>
        </w:rPr>
      </w:r>
    </w:p>
    <w:p>
      <w:pPr>
        <w:pStyle w:val="Normal"/>
        <w:jc w:val="both"/>
        <w:rPr/>
      </w:pPr>
      <w:r>
        <w:rPr>
          <w:sz w:val="22"/>
        </w:rPr>
        <w:t>If there are transactions outstanding under the ISDA Master Agreement, and if a relevant Event of Default under the ISDA Master Agreement occurs</w:t>
      </w:r>
      <w:r>
        <w:rPr>
          <w:rStyle w:val="FootnoteCharacters"/>
          <w:rStyle w:val="FootnoteReference"/>
          <w:sz w:val="22"/>
        </w:rPr>
        <w:footnoteReference w:id="3"/>
      </w:r>
      <w:r>
        <w:rPr>
          <w:sz w:val="22"/>
        </w:rPr>
        <w:t>, a Bridging Event will occur immediately upon the designation (or deemed occurrence, if Automatic Early Termination applies) of an Early Termination Date.</w:t>
      </w:r>
    </w:p>
    <w:p>
      <w:pPr>
        <w:pStyle w:val="Normal"/>
        <w:jc w:val="both"/>
        <w:rPr>
          <w:sz w:val="22"/>
        </w:rPr>
      </w:pPr>
      <w:r>
        <w:rPr>
          <w:sz w:val="22"/>
        </w:rPr>
      </w:r>
    </w:p>
    <w:p>
      <w:pPr>
        <w:pStyle w:val="BodyText3"/>
        <w:ind w:end="0"/>
        <w:rPr/>
      </w:pPr>
      <w:r>
        <w:rPr/>
        <w:t>If, however, there are no transactions outstanding under the ISDA Master Agreement (although there may be transactions outstanding under one or more Bridged Agreements), it follows that the Non-defaulting Party will not be able to designate an Early Termination Date.  So, in these circumstances, the Bridge provides that a Bridging Event will occur, in general terms, either:</w:t>
      </w:r>
    </w:p>
    <w:p>
      <w:pPr>
        <w:pStyle w:val="BodyText3"/>
        <w:ind w:end="0"/>
        <w:rPr/>
      </w:pPr>
      <w:r>
        <w:rPr/>
      </w:r>
    </w:p>
    <w:p>
      <w:pPr>
        <w:pStyle w:val="BodyText3"/>
        <w:ind w:hanging="720" w:start="720" w:end="0"/>
        <w:rPr/>
      </w:pPr>
      <w:r>
        <w:rPr/>
        <w:t>(a)</w:t>
        <w:tab/>
        <w:t>immediately upon the Non-defaulting Party designating a day as a day on which, pursuant to the provisions of the Bridge, transactions outstanding under any Bridged Agreements will be closed out; or</w:t>
      </w:r>
    </w:p>
    <w:p>
      <w:pPr>
        <w:pStyle w:val="BodyText3"/>
        <w:ind w:end="0"/>
        <w:rPr/>
      </w:pPr>
      <w:r>
        <w:rPr/>
      </w:r>
    </w:p>
    <w:p>
      <w:pPr>
        <w:pStyle w:val="BodyText"/>
        <w:spacing w:lineRule="auto" w:line="240" w:before="0" w:after="0"/>
        <w:ind w:hanging="720" w:start="720" w:end="0"/>
        <w:rPr>
          <w:rFonts w:ascii="Times New Roman" w:hAnsi="Times New Roman" w:cs="Times New Roman"/>
          <w:lang w:val="en-US"/>
        </w:rPr>
      </w:pPr>
      <w:r>
        <w:rPr>
          <w:rFonts w:cs="Times New Roman" w:ascii="Times New Roman" w:hAnsi="Times New Roman"/>
          <w:lang w:val="en-US"/>
        </w:rPr>
        <w:t>(b)</w:t>
        <w:tab/>
        <w:t>immediately upon the occurrence of the Event of Default (or, as the case may be, immediately preceding the institution of the relevant proceeding or the presentation of the relevant petition) if "Automatic Early Termination" applies and the relevant Event of Default is specified in certain parts of Section 5(a)(vii).</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rPr>
      </w:pPr>
      <w:r>
        <w:rPr>
          <w:rFonts w:cs="Times New Roman" w:ascii="Times New Roman" w:hAnsi="Times New Roman"/>
        </w:rPr>
        <w:t>The Bridge also provides that the day so designated or the day on which the Bridging Event is deemed to occur, as appropriate, will be deemed to be an Early Termination Date for purposes of Section 6 of the ISDA Master Agreement.</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t>2.</w:t>
        <w:tab/>
        <w:t>Close-out of transactions outstanding under Bridged Agreements</w:t>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t>If a Bridging Event occurs, and unless the Non-defaulting Party promptly notifies the Defaulting Party that the provisions of the Bridge will not apply, an event of default (or similar event) will be deemed to have occurred with respect to the party that is the Defaulting Party and in respect of all transactions outstanding under any Bridged Agreement.</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pPr>
      <w:r>
        <w:rPr>
          <w:rFonts w:cs="Times New Roman" w:ascii="Times New Roman" w:hAnsi="Times New Roman"/>
          <w:lang w:val="en-US"/>
        </w:rPr>
        <w:t>All such transactions will then be closed out in accordance with the provisions of each relevant Bridged Agreement,</w:t>
      </w:r>
      <w:r>
        <w:rPr>
          <w:rStyle w:val="FootnoteCharacters"/>
          <w:rStyle w:val="FootnoteReference"/>
          <w:rFonts w:cs="Times New Roman" w:ascii="Times New Roman" w:hAnsi="Times New Roman"/>
          <w:lang w:val="en-US"/>
        </w:rPr>
        <w:footnoteReference w:id="4"/>
      </w:r>
      <w:r>
        <w:rPr>
          <w:rFonts w:cs="Times New Roman" w:ascii="Times New Roman" w:hAnsi="Times New Roman"/>
          <w:lang w:val="en-US"/>
        </w:rPr>
        <w:t xml:space="preserve"> but, notwithstanding the provisions of any relevant Bridged Agreement, so that the transactions will be closed out on the Early Termination Date (or the deemed Early Termination Date).  Further, notwithstanding the provisions of any relevant Bridged Agreement, any amounts due or which become due as a result of the close-out of transactions under a Bridged Agreement will be payable on the day that the notice given under Section 6(d) of the ISDA Master Agreement is effective.  These provisions are intended to ensure that transactions between the parties, whether documented under the ISDA Master Agreement or any Bridged Agreement, are all closed out on the same day, and to ensure that the close-out amounts payable in respect of those transactions are payable on the same day.</w:t>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r>
    </w:p>
    <w:p>
      <w:pPr>
        <w:pStyle w:val="BodyText"/>
        <w:spacing w:lineRule="auto" w:line="240" w:before="0" w:after="0"/>
        <w:rPr>
          <w:rFonts w:ascii="Times New Roman" w:hAnsi="Times New Roman" w:cs="Times New Roman"/>
          <w:b/>
          <w:i/>
          <w:i/>
          <w:lang w:val="en-US"/>
        </w:rPr>
      </w:pPr>
      <w:r>
        <w:rPr>
          <w:rFonts w:cs="Times New Roman" w:ascii="Times New Roman" w:hAnsi="Times New Roman"/>
          <w:b/>
          <w:i/>
          <w:lang w:val="en-US"/>
        </w:rPr>
        <w:t>3.</w:t>
        <w:tab/>
        <w:t xml:space="preserve">Including, in the close-out calculations under the ISDA Master Agreement, the close-out amounts due in respect of transactions under Bridged Agreements </w:t>
      </w:r>
    </w:p>
    <w:p>
      <w:pPr>
        <w:pStyle w:val="Normal"/>
        <w:jc w:val="both"/>
        <w:rPr>
          <w:rFonts w:ascii="Times New Roman" w:hAnsi="Times New Roman" w:cs="Times New Roman"/>
          <w:b/>
          <w:i/>
          <w:i/>
          <w:sz w:val="22"/>
          <w:lang w:val="en-US"/>
        </w:rPr>
      </w:pPr>
      <w:r>
        <w:rPr>
          <w:rFonts w:cs="Times New Roman"/>
          <w:b/>
          <w:i/>
          <w:sz w:val="22"/>
          <w:lang w:val="en-US"/>
        </w:rPr>
      </w:r>
    </w:p>
    <w:p>
      <w:pPr>
        <w:pStyle w:val="BodyText"/>
        <w:spacing w:lineRule="auto" w:line="240" w:before="0" w:after="0"/>
        <w:rPr>
          <w:rFonts w:ascii="Times New Roman" w:hAnsi="Times New Roman" w:cs="Times New Roman"/>
        </w:rPr>
      </w:pPr>
      <w:r>
        <w:rPr>
          <w:rFonts w:cs="Times New Roman" w:ascii="Times New Roman" w:hAnsi="Times New Roman"/>
        </w:rPr>
        <w:t>The way in which the draft Bridge provides for the inclusion, in the close-out calculations under the ISDA Master Agreement, of the close-out amounts due in respect of transactions under Bridged Agreements is by amending the definition of "Unpaid Amounts" to include those close-out amounts.  Just like any other Unpaid Amounts, those net close-out amounts will be included in the calculations under Section 6(e).</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Normal"/>
        <w:jc w:val="both"/>
        <w:rPr>
          <w:b/>
          <w:i/>
          <w:i/>
          <w:sz w:val="22"/>
        </w:rPr>
      </w:pPr>
      <w:r>
        <w:rPr>
          <w:b/>
          <w:i/>
          <w:sz w:val="22"/>
        </w:rPr>
        <w:t>4.</w:t>
        <w:tab/>
        <w:t>Other points to note</w:t>
      </w:r>
    </w:p>
    <w:p>
      <w:pPr>
        <w:pStyle w:val="Normal"/>
        <w:jc w:val="both"/>
        <w:rPr>
          <w:b/>
          <w:i/>
          <w:i/>
          <w:sz w:val="22"/>
        </w:rPr>
      </w:pPr>
      <w:r>
        <w:rPr>
          <w:b/>
          <w:i/>
          <w:sz w:val="22"/>
        </w:rPr>
      </w:r>
    </w:p>
    <w:p>
      <w:pPr>
        <w:pStyle w:val="Normal"/>
        <w:jc w:val="both"/>
        <w:rPr>
          <w:sz w:val="22"/>
        </w:rPr>
      </w:pPr>
      <w:r>
        <w:rPr>
          <w:sz w:val="22"/>
        </w:rPr>
        <w:t>When reading the bridge, it is useful to bear in mind the following:</w:t>
      </w:r>
    </w:p>
    <w:p>
      <w:pPr>
        <w:pStyle w:val="Normal"/>
        <w:jc w:val="both"/>
        <w:rPr>
          <w:sz w:val="22"/>
        </w:rPr>
      </w:pPr>
      <w:r>
        <w:rPr>
          <w:sz w:val="22"/>
        </w:rPr>
      </w:r>
    </w:p>
    <w:p>
      <w:pPr>
        <w:pStyle w:val="Normal"/>
        <w:ind w:hanging="720" w:start="720" w:end="0"/>
        <w:jc w:val="both"/>
        <w:rPr>
          <w:sz w:val="22"/>
        </w:rPr>
      </w:pPr>
      <w:r>
        <w:rPr>
          <w:sz w:val="22"/>
        </w:rPr>
        <w:t>(a)</w:t>
        <w:tab/>
        <w:t>There is a distinction between the occurrence of a Bridging Event (i.e., the day you "cross the bridge") and the actual termination of the Bridged Transactions.</w:t>
      </w:r>
    </w:p>
    <w:p>
      <w:pPr>
        <w:pStyle w:val="Normal"/>
        <w:tabs>
          <w:tab w:val="clear" w:pos="720"/>
          <w:tab w:val="left" w:pos="567" w:leader="none"/>
        </w:tabs>
        <w:ind w:hanging="720" w:start="720" w:end="0"/>
        <w:jc w:val="both"/>
        <w:rPr>
          <w:sz w:val="22"/>
        </w:rPr>
      </w:pPr>
      <w:r>
        <w:rPr>
          <w:sz w:val="22"/>
        </w:rPr>
      </w:r>
    </w:p>
    <w:p>
      <w:pPr>
        <w:pStyle w:val="Normal"/>
        <w:ind w:hanging="720" w:start="720" w:end="0"/>
        <w:jc w:val="both"/>
        <w:rPr>
          <w:sz w:val="22"/>
        </w:rPr>
      </w:pPr>
      <w:r>
        <w:rPr>
          <w:sz w:val="22"/>
        </w:rPr>
        <w:t>(b)</w:t>
        <w:tab/>
        <w:t>The draft contemplates that the Non-defaulting Party can choose not to apply the provisions of the Bridge.  Where an event has occurred that constitutes both an Event of Default under the ISDA Master Agreement and an event of default under a Bridged Agreement, this effectively gives a Non-defaulting Party the choice of terminating transactions under the Bridged Agreement either pursuant to the terms of the Bridge, or pursuant to the terms of the Bridged Agreement itself (in which case the resulting net sum would be payable without reference to the ISDA Master Agreement between the parties).</w:t>
      </w:r>
    </w:p>
    <w:p>
      <w:pPr>
        <w:pStyle w:val="Normal"/>
        <w:ind w:hanging="720" w:start="720" w:end="0"/>
        <w:jc w:val="both"/>
        <w:rPr>
          <w:sz w:val="22"/>
        </w:rPr>
      </w:pPr>
      <w:r>
        <w:rPr>
          <w:sz w:val="22"/>
        </w:rPr>
      </w:r>
    </w:p>
    <w:p>
      <w:pPr>
        <w:pStyle w:val="Normal"/>
        <w:ind w:hanging="720" w:start="720" w:end="0"/>
        <w:jc w:val="both"/>
        <w:rPr>
          <w:sz w:val="22"/>
        </w:rPr>
      </w:pPr>
      <w:r>
        <w:rPr>
          <w:sz w:val="22"/>
        </w:rPr>
        <w:t>(c)</w:t>
        <w:tab/>
        <w:t>However, the Non-defaulting Party is not free to choose to terminate some only (as opposed to all) transactions under the Bridged Agreement pursuant to the terms of the Bridge.  This is to avoid the potential for conflict that could arise if some transactions under the Bridged Agreement are purportedly terminated pursuant to the terms of the Bridge, while others (and perhaps even the same transactions) are purportedly terminated pursuant to the terms of the Bridged Agreement.</w:t>
      </w:r>
    </w:p>
    <w:p>
      <w:pPr>
        <w:pStyle w:val="Normal"/>
        <w:jc w:val="both"/>
        <w:rPr>
          <w:sz w:val="22"/>
        </w:rPr>
      </w:pPr>
      <w:r>
        <w:rPr>
          <w:sz w:val="22"/>
        </w:rPr>
      </w:r>
    </w:p>
    <w:p>
      <w:pPr>
        <w:pStyle w:val="Heading5"/>
        <w:ind w:hanging="0" w:start="0"/>
        <w:rPr>
          <w:i w:val="false"/>
          <w:i w:val="false"/>
        </w:rPr>
      </w:pPr>
      <w:r>
        <w:rPr>
          <w:i w:val="false"/>
        </w:rPr>
        <w:t>Benefits of Agreement Approach</w:t>
      </w:r>
    </w:p>
    <w:p>
      <w:pPr>
        <w:pStyle w:val="Normal"/>
        <w:ind w:start="720" w:end="0"/>
        <w:rPr>
          <w:b/>
          <w:i/>
          <w:i/>
          <w:sz w:val="22"/>
        </w:rPr>
      </w:pPr>
      <w:r>
        <w:rPr>
          <w:b/>
          <w:i/>
          <w:sz w:val="22"/>
        </w:rPr>
      </w:r>
    </w:p>
    <w:p>
      <w:pPr>
        <w:pStyle w:val="Normal"/>
        <w:jc w:val="both"/>
        <w:rPr>
          <w:sz w:val="22"/>
        </w:rPr>
      </w:pPr>
      <w:r>
        <w:rPr>
          <w:sz w:val="22"/>
        </w:rPr>
        <w:t>The approach taken by the draft Bridge (the agreement approach) has the advantage of not significantly interfering with the provisions and procedures of a Bridged Agreement, which, by definition, are widely known and accepted in the relevant market.  The Bridge should, therefore, be more readily accepted in that market.</w:t>
      </w:r>
    </w:p>
    <w:p>
      <w:pPr>
        <w:pStyle w:val="Normal"/>
        <w:jc w:val="both"/>
        <w:rPr>
          <w:sz w:val="22"/>
        </w:rPr>
      </w:pPr>
      <w:r>
        <w:rPr>
          <w:sz w:val="22"/>
        </w:rPr>
      </w:r>
    </w:p>
    <w:p>
      <w:pPr>
        <w:pStyle w:val="Normal"/>
        <w:jc w:val="both"/>
        <w:rPr>
          <w:sz w:val="22"/>
        </w:rPr>
      </w:pPr>
      <w:r>
        <w:rPr>
          <w:sz w:val="22"/>
        </w:rPr>
        <w:t>By keeping the agreements essentially separate, and simply placing the ISDA Master Agreement close-out netting mechanics "on top" of a Bridged Agreement, the insolvency, regulatory or tax implications are likely, in most jurisdictions, to be minimised.</w:t>
      </w:r>
    </w:p>
    <w:p>
      <w:pPr>
        <w:pStyle w:val="Normal"/>
        <w:jc w:val="both"/>
        <w:rPr>
          <w:sz w:val="22"/>
        </w:rPr>
      </w:pPr>
      <w:r>
        <w:rPr>
          <w:sz w:val="22"/>
        </w:rPr>
      </w:r>
    </w:p>
    <w:p>
      <w:pPr>
        <w:pStyle w:val="BodyText2"/>
        <w:jc w:val="both"/>
        <w:rPr/>
      </w:pPr>
      <w:r>
        <w:rPr/>
        <w:t>The approach also simplifies the drafting process, as detailed consideration of how conflicting provisions can be made to sit easily with one another is not required.  For example, in reviewing the GMRA and the OSLA, the Working Group became aware of several areas where the approaches of industry standard master agreements may differ.  The different approaches may include:</w:t>
      </w:r>
    </w:p>
    <w:p>
      <w:pPr>
        <w:pStyle w:val="Normal"/>
        <w:rPr>
          <w:sz w:val="22"/>
        </w:rPr>
      </w:pPr>
      <w:r>
        <w:rPr>
          <w:sz w:val="22"/>
        </w:rPr>
      </w:r>
    </w:p>
    <w:p>
      <w:pPr>
        <w:pStyle w:val="Normal"/>
        <w:rPr>
          <w:sz w:val="22"/>
        </w:rPr>
      </w:pPr>
      <w:r>
        <w:rPr>
          <w:sz w:val="22"/>
        </w:rPr>
        <w:t>(a)</w:t>
        <w:tab/>
        <w:t>mismatch of events of default/termination events;</w:t>
      </w:r>
    </w:p>
    <w:p>
      <w:pPr>
        <w:pStyle w:val="Normal"/>
        <w:rPr>
          <w:sz w:val="22"/>
        </w:rPr>
      </w:pPr>
      <w:r>
        <w:rPr>
          <w:sz w:val="22"/>
        </w:rPr>
      </w:r>
    </w:p>
    <w:p>
      <w:pPr>
        <w:pStyle w:val="Normal"/>
        <w:rPr>
          <w:sz w:val="22"/>
        </w:rPr>
      </w:pPr>
      <w:r>
        <w:rPr>
          <w:sz w:val="22"/>
        </w:rPr>
        <w:t>(b)</w:t>
        <w:tab/>
        <w:t>different approaches to grace periods;</w:t>
      </w:r>
    </w:p>
    <w:p>
      <w:pPr>
        <w:pStyle w:val="Normal"/>
        <w:rPr>
          <w:sz w:val="22"/>
        </w:rPr>
      </w:pPr>
      <w:r>
        <w:rPr>
          <w:sz w:val="22"/>
        </w:rPr>
      </w:r>
    </w:p>
    <w:p>
      <w:pPr>
        <w:pStyle w:val="Normal"/>
        <w:ind w:hanging="720" w:start="720" w:end="0"/>
        <w:rPr>
          <w:sz w:val="22"/>
        </w:rPr>
      </w:pPr>
      <w:r>
        <w:rPr>
          <w:sz w:val="22"/>
        </w:rPr>
        <w:t>(c)</w:t>
        <w:tab/>
        <w:t>ability to close-out an individual transaction (only) in respect of which there has been an event of default;</w:t>
      </w:r>
    </w:p>
    <w:p>
      <w:pPr>
        <w:pStyle w:val="Normal"/>
        <w:ind w:hanging="720" w:start="720" w:end="0"/>
        <w:rPr>
          <w:sz w:val="22"/>
        </w:rPr>
      </w:pPr>
      <w:r>
        <w:rPr>
          <w:sz w:val="22"/>
        </w:rPr>
      </w:r>
    </w:p>
    <w:p>
      <w:pPr>
        <w:pStyle w:val="Normal"/>
        <w:ind w:hanging="720" w:start="720" w:end="0"/>
        <w:rPr>
          <w:sz w:val="22"/>
        </w:rPr>
      </w:pPr>
      <w:r>
        <w:rPr>
          <w:sz w:val="22"/>
        </w:rPr>
        <w:t>(d)</w:t>
        <w:tab/>
        <w:t>different approach to the provision of margin;</w:t>
      </w:r>
    </w:p>
    <w:p>
      <w:pPr>
        <w:pStyle w:val="Normal"/>
        <w:rPr>
          <w:sz w:val="22"/>
        </w:rPr>
      </w:pPr>
      <w:r>
        <w:rPr>
          <w:sz w:val="22"/>
        </w:rPr>
      </w:r>
    </w:p>
    <w:p>
      <w:pPr>
        <w:pStyle w:val="Normal"/>
        <w:rPr>
          <w:sz w:val="22"/>
        </w:rPr>
      </w:pPr>
      <w:r>
        <w:rPr>
          <w:sz w:val="22"/>
        </w:rPr>
        <w:t>(e)</w:t>
        <w:tab/>
        <w:t>different approaches to tax; and</w:t>
      </w:r>
    </w:p>
    <w:p>
      <w:pPr>
        <w:pStyle w:val="Normal"/>
        <w:rPr>
          <w:sz w:val="22"/>
        </w:rPr>
      </w:pPr>
      <w:r>
        <w:rPr>
          <w:sz w:val="22"/>
        </w:rPr>
      </w:r>
    </w:p>
    <w:p>
      <w:pPr>
        <w:pStyle w:val="Normal"/>
        <w:rPr>
          <w:sz w:val="22"/>
        </w:rPr>
      </w:pPr>
      <w:r>
        <w:rPr>
          <w:sz w:val="22"/>
        </w:rPr>
        <w:t>(f)</w:t>
        <w:tab/>
        <w:t>different approaches to dispute resolution, such as mandatory referral to arbitration.</w:t>
      </w:r>
    </w:p>
    <w:p>
      <w:pPr>
        <w:pStyle w:val="Normal"/>
        <w:rPr>
          <w:b/>
          <w:sz w:val="22"/>
        </w:rPr>
      </w:pPr>
      <w:r>
        <w:rPr>
          <w:b/>
          <w:sz w:val="22"/>
        </w:rPr>
      </w:r>
    </w:p>
    <w:p>
      <w:pPr>
        <w:pStyle w:val="BodyText"/>
        <w:spacing w:lineRule="auto" w:line="240" w:before="0" w:after="0"/>
        <w:rPr>
          <w:rFonts w:ascii="Times New Roman" w:hAnsi="Times New Roman" w:cs="Times New Roman"/>
          <w:lang w:val="en-US"/>
        </w:rPr>
      </w:pPr>
      <w:r>
        <w:rPr>
          <w:rFonts w:cs="Times New Roman" w:ascii="Times New Roman" w:hAnsi="Times New Roman"/>
          <w:lang w:val="en-US"/>
        </w:rPr>
        <w:t>Parties should, in any event, be aware of these different approaches, but they raise particular difficulties for the development of bridging provisions that attempt to follow a "transaction" approach.</w:t>
      </w:r>
    </w:p>
    <w:p>
      <w:pPr>
        <w:pStyle w:val="Normal"/>
        <w:rPr>
          <w:rFonts w:ascii="Times New Roman" w:hAnsi="Times New Roman" w:cs="Times New Roman"/>
          <w:b/>
          <w:sz w:val="22"/>
          <w:lang w:val="en-US"/>
        </w:rPr>
      </w:pPr>
      <w:r>
        <w:rPr>
          <w:rFonts w:cs="Times New Roman"/>
          <w:b/>
          <w:sz w:val="22"/>
          <w:lang w:val="en-US"/>
        </w:rPr>
      </w:r>
    </w:p>
    <w:p>
      <w:pPr>
        <w:pStyle w:val="Normal"/>
        <w:rPr>
          <w:b/>
          <w:sz w:val="22"/>
        </w:rPr>
      </w:pPr>
      <w:r>
        <w:rPr>
          <w:b/>
          <w:sz w:val="22"/>
        </w:rPr>
        <w:t>Comparison with Cross-Product Master Agreement</w:t>
      </w:r>
    </w:p>
    <w:p>
      <w:pPr>
        <w:pStyle w:val="Normal"/>
        <w:rPr>
          <w:b/>
          <w:sz w:val="22"/>
        </w:rPr>
      </w:pPr>
      <w:r>
        <w:rPr>
          <w:b/>
          <w:sz w:val="22"/>
        </w:rPr>
      </w:r>
    </w:p>
    <w:p>
      <w:pPr>
        <w:pStyle w:val="BodyText"/>
        <w:spacing w:lineRule="auto" w:line="240" w:before="0" w:after="0"/>
        <w:rPr>
          <w:rFonts w:ascii="Times New Roman" w:hAnsi="Times New Roman" w:cs="Times New Roman"/>
        </w:rPr>
      </w:pPr>
      <w:r>
        <w:rPr>
          <w:rFonts w:cs="Times New Roman" w:ascii="Times New Roman" w:hAnsi="Times New Roman"/>
        </w:rPr>
        <w:t>The Cross-Product Master Agreement has been called a "master master" agreement, in that it is designed to sit on top of a range of underlying industry-standard master agreements, and to bring all those underlying agreements within the same ultimate close-out mechanics.</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t>ISDA has acknowledged that the Cross-Product Master Agreement provides parties with one possible way of trying to achieve a form of cross-product netting (or, more accurately, cross-product set-off), but ISDA believes that providing parties with "bridging provisions" that could be included in an ISDA Master Agreement would offer many parties a preferable alternative.  Some of the reasons for this belief include:</w:t>
      </w:r>
    </w:p>
    <w:p>
      <w:pPr>
        <w:pStyle w:val="Normal"/>
        <w:jc w:val="both"/>
        <w:rPr>
          <w:sz w:val="22"/>
        </w:rPr>
      </w:pPr>
      <w:r>
        <w:rPr>
          <w:sz w:val="22"/>
        </w:rPr>
      </w:r>
    </w:p>
    <w:p>
      <w:pPr>
        <w:pStyle w:val="Normal"/>
        <w:numPr>
          <w:ilvl w:val="0"/>
          <w:numId w:val="2"/>
        </w:numPr>
        <w:tabs>
          <w:tab w:val="clear" w:pos="720"/>
        </w:tabs>
        <w:ind w:hanging="540" w:start="540" w:end="0"/>
        <w:jc w:val="both"/>
        <w:rPr>
          <w:sz w:val="22"/>
        </w:rPr>
      </w:pPr>
      <w:r>
        <w:rPr>
          <w:sz w:val="22"/>
        </w:rPr>
        <w:t>Including the Bridge in an ISDA Master Agreement effectively turns the ISDA Master Agreement itself into a "master master" agreement.</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Using the ISDA Master Agreement as a master master agreement makes use of the ISDA Master Agreement's proven and highly regarded close-out netting provisions.</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Using the Bridge in an existing ISDA Master Agreement may offer, in many jurisdictions, a more robust way of achieving a form of cross-product netting than by using a separate master master agreement.</w:t>
      </w:r>
    </w:p>
    <w:p>
      <w:pPr>
        <w:pStyle w:val="Normal"/>
        <w:jc w:val="both"/>
        <w:rPr>
          <w:sz w:val="22"/>
        </w:rPr>
      </w:pPr>
      <w:r>
        <w:rPr>
          <w:sz w:val="22"/>
        </w:rPr>
      </w:r>
    </w:p>
    <w:p>
      <w:pPr>
        <w:pStyle w:val="Normal"/>
        <w:numPr>
          <w:ilvl w:val="0"/>
          <w:numId w:val="2"/>
        </w:numPr>
        <w:tabs>
          <w:tab w:val="clear" w:pos="720"/>
        </w:tabs>
        <w:ind w:hanging="540" w:start="540" w:end="0"/>
        <w:jc w:val="both"/>
        <w:rPr>
          <w:sz w:val="22"/>
        </w:rPr>
      </w:pPr>
      <w:r>
        <w:rPr>
          <w:sz w:val="22"/>
        </w:rPr>
        <w:t>ISDA's library of netting opinions is extensive and well respected.  ISDA expects that its netting opinions will be updated to consider whether including the Bridge in an ISDA Master Agreement would affect the conclusions expressed in those netting opinions (ISDA has already received preliminary advice from local counsel, and that advice is, for the most part, positive).</w:t>
      </w:r>
    </w:p>
    <w:p>
      <w:pPr>
        <w:pStyle w:val="Normal"/>
        <w:ind w:hanging="540" w:start="540" w:end="0"/>
        <w:jc w:val="both"/>
        <w:rPr>
          <w:sz w:val="22"/>
        </w:rPr>
      </w:pPr>
      <w:r>
        <w:rPr>
          <w:sz w:val="22"/>
        </w:rPr>
      </w:r>
    </w:p>
    <w:p>
      <w:pPr>
        <w:pStyle w:val="Normal"/>
        <w:numPr>
          <w:ilvl w:val="0"/>
          <w:numId w:val="2"/>
        </w:numPr>
        <w:tabs>
          <w:tab w:val="clear" w:pos="720"/>
        </w:tabs>
        <w:ind w:hanging="540" w:start="540" w:end="0"/>
        <w:jc w:val="both"/>
        <w:rPr>
          <w:sz w:val="22"/>
        </w:rPr>
      </w:pPr>
      <w:r>
        <w:rPr>
          <w:sz w:val="22"/>
        </w:rPr>
        <w:t>There is no need for parties to enter into a new agreement.</w:t>
      </w:r>
    </w:p>
    <w:p>
      <w:pPr>
        <w:pStyle w:val="Normal"/>
        <w:ind w:hanging="540" w:start="540" w:end="0"/>
        <w:jc w:val="both"/>
        <w:rPr>
          <w:sz w:val="22"/>
        </w:rPr>
      </w:pPr>
      <w:r>
        <w:rPr>
          <w:sz w:val="22"/>
        </w:rPr>
      </w:r>
    </w:p>
    <w:p>
      <w:pPr>
        <w:pStyle w:val="BodyText"/>
        <w:numPr>
          <w:ilvl w:val="0"/>
          <w:numId w:val="3"/>
        </w:numPr>
        <w:tabs>
          <w:tab w:val="clear" w:pos="720"/>
        </w:tabs>
        <w:spacing w:lineRule="auto" w:line="240" w:before="0" w:after="0"/>
        <w:ind w:hanging="540" w:start="540" w:end="0"/>
        <w:rPr>
          <w:rFonts w:ascii="Times New Roman" w:hAnsi="Times New Roman" w:cs="Times New Roman"/>
          <w:lang w:eastAsia="en-US"/>
        </w:rPr>
      </w:pPr>
      <w:r>
        <w:rPr>
          <w:rFonts w:cs="Times New Roman" w:ascii="Times New Roman" w:hAnsi="Times New Roman"/>
        </w:rPr>
        <w:t>The Bridge effectively achieves its purpose in just a few pages of drafting.</w:t>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r>
    </w:p>
    <w:p>
      <w:pPr>
        <w:pStyle w:val="BodyText"/>
        <w:spacing w:lineRule="auto" w:line="240" w:before="0" w:after="0"/>
        <w:rPr>
          <w:rFonts w:ascii="Times New Roman" w:hAnsi="Times New Roman" w:cs="Times New Roman"/>
          <w:b/>
        </w:rPr>
      </w:pPr>
      <w:r>
        <w:rPr>
          <w:rFonts w:cs="Times New Roman" w:ascii="Times New Roman" w:hAnsi="Times New Roman"/>
          <w:b/>
        </w:rPr>
        <w:t>Conclusion</w:t>
      </w:r>
    </w:p>
    <w:p>
      <w:pPr>
        <w:pStyle w:val="BodyText"/>
        <w:spacing w:lineRule="auto" w:line="240" w:before="0" w:after="0"/>
        <w:rPr>
          <w:rFonts w:ascii="Times New Roman" w:hAnsi="Times New Roman" w:cs="Times New Roman"/>
          <w:b/>
        </w:rPr>
      </w:pPr>
      <w:r>
        <w:rPr>
          <w:rFonts w:cs="Times New Roman" w:ascii="Times New Roman" w:hAnsi="Times New Roman"/>
          <w:b/>
        </w:rPr>
      </w:r>
    </w:p>
    <w:p>
      <w:pPr>
        <w:pStyle w:val="BodyText"/>
        <w:spacing w:lineRule="auto" w:line="240" w:before="0" w:after="0"/>
        <w:rPr>
          <w:rFonts w:ascii="Times New Roman" w:hAnsi="Times New Roman" w:cs="Times New Roman"/>
        </w:rPr>
      </w:pPr>
      <w:r>
        <w:rPr>
          <w:rFonts w:cs="Times New Roman" w:ascii="Times New Roman" w:hAnsi="Times New Roman"/>
        </w:rPr>
        <w:t>ISDA is providing the latest draft Bridge and these accompanying notes to the Energy and Developing Products Committee for purposes of discussion.  We look forward to hearing your views on whether this type of provision may be useful in the energy markets, and to hearing discussion of any particular issues that you feel may be relevant in the energy markets.</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pPr>
      <w:r>
        <w:rPr>
          <w:rFonts w:cs="Times New Roman" w:ascii="Times New Roman" w:hAnsi="Times New Roman"/>
        </w:rPr>
        <w:t xml:space="preserve">In the meantime, if you have any questions about the operation of the proposed Bridge, please contact me at </w:t>
      </w:r>
      <w:hyperlink r:id="rId2">
        <w:r>
          <w:rPr>
            <w:rStyle w:val="Hyperlink"/>
            <w:rFonts w:cs="Times New Roman" w:ascii="Times New Roman" w:hAnsi="Times New Roman"/>
          </w:rPr>
          <w:t>jberry@isda-eur.org</w:t>
        </w:r>
      </w:hyperlink>
      <w:r>
        <w:rPr>
          <w:rFonts w:cs="Times New Roman" w:ascii="Times New Roman" w:hAnsi="Times New Roman"/>
        </w:rPr>
        <w:t xml:space="preserve"> or Peter Werner at </w:t>
      </w:r>
      <w:hyperlink r:id="rId3">
        <w:r>
          <w:rPr>
            <w:rStyle w:val="Hyperlink"/>
            <w:rFonts w:cs="Times New Roman" w:ascii="Times New Roman" w:hAnsi="Times New Roman"/>
          </w:rPr>
          <w:t>pwerner@isda-eur.org</w:t>
        </w:r>
      </w:hyperlink>
      <w:r>
        <w:rPr>
          <w:rFonts w:cs="Times New Roman" w:ascii="Times New Roman" w:hAnsi="Times New Roman"/>
        </w:rPr>
        <w:t>.</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r>
    </w:p>
    <w:sectPr>
      <w:headerReference w:type="default" r:id="rId4"/>
      <w:headerReference w:type="first" r:id="rId5"/>
      <w:footnotePr>
        <w:numFmt w:val="decimal"/>
      </w:footnotePr>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The definition of "Bridged Agreements" also includes any agreement that the parties agree will be subject to the provisions of the Bridge.</w:t>
      </w:r>
    </w:p>
  </w:footnote>
  <w:footnote w:id="3">
    <w:p>
      <w:pPr>
        <w:pStyle w:val="FootnoteText"/>
        <w:jc w:val="both"/>
        <w:rPr/>
      </w:pPr>
      <w:r>
        <w:rPr>
          <w:rStyle w:val="FootnoteCharacters"/>
        </w:rPr>
        <w:footnoteRef/>
      </w:r>
      <w:r>
        <w:rPr/>
        <w:t xml:space="preserve"> </w:t>
      </w:r>
      <w:r>
        <w:rPr/>
        <w:t>The current draft presumes that the occurrence of any Event of Default under the ISDA Master Agreement will constitute a Bridging Event, although the parties may prefer to require the occurrence of a Bankruptcy Event of Default under Section 5(a)(vii).</w:t>
      </w:r>
    </w:p>
  </w:footnote>
  <w:footnote w:id="4">
    <w:p>
      <w:pPr>
        <w:pStyle w:val="FootnoteText"/>
        <w:jc w:val="both"/>
        <w:rPr/>
      </w:pPr>
      <w:r>
        <w:rPr>
          <w:rStyle w:val="FootnoteCharacters"/>
        </w:rPr>
        <w:footnoteRef/>
      </w:r>
      <w:r>
        <w:rPr/>
        <w:t xml:space="preserve"> </w:t>
      </w:r>
      <w:r>
        <w:rPr/>
        <w:t>It is expected that amounts provided or due as margin in respect of transactions under a Bridged Agreement will be included in the calculation of the net close-out amount due in respect of those transactions.  Whether this is correct will depend on the precise nature of the margin arrangements.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96"/>
      </w:rPr>
    </w:pPr>
    <w:r>
      <w:rPr>
        <w:b/>
        <w:sz w:val="96"/>
      </w:rPr>
      <w:t>ISDA</w:t>
    </w:r>
  </w:p>
  <w:p>
    <w:pPr>
      <w:pStyle w:val="Header"/>
      <w:tabs>
        <w:tab w:val="clear" w:pos="8640"/>
        <w:tab w:val="center" w:pos="4320" w:leader="none"/>
        <w:tab w:val="right" w:pos="9360" w:leader="none"/>
      </w:tabs>
      <w:rPr>
        <w:sz w:val="20"/>
      </w:rPr>
    </w:pPr>
    <w:r>
      <w:rPr>
        <w:sz w:val="20"/>
      </w:rPr>
      <w:t>International Swaps and Derivatives Association, Inc.</w:t>
      <w:tab/>
      <w:tab/>
      <w:t>London</w:t>
    </w:r>
  </w:p>
  <w:p>
    <w:pPr>
      <w:pStyle w:val="Header"/>
      <w:tabs>
        <w:tab w:val="clear" w:pos="8640"/>
        <w:tab w:val="center" w:pos="4320" w:leader="none"/>
        <w:tab w:val="right" w:pos="9360" w:leader="none"/>
      </w:tabs>
      <w:rPr>
        <w:sz w:val="20"/>
      </w:rPr>
    </w:pPr>
    <w:r>
      <w:rPr>
        <w:sz w:val="20"/>
      </w:rPr>
      <w:t xml:space="preserve">One New Change </w:t>
      <w:tab/>
      <w:tab/>
      <w:t>Telephone: 44 (20) 7330-3550</w:t>
    </w:r>
  </w:p>
  <w:p>
    <w:pPr>
      <w:pStyle w:val="Header"/>
      <w:tabs>
        <w:tab w:val="clear" w:pos="8640"/>
        <w:tab w:val="center" w:pos="4320" w:leader="none"/>
        <w:tab w:val="right" w:pos="9360" w:leader="none"/>
      </w:tabs>
      <w:rPr>
        <w:sz w:val="20"/>
      </w:rPr>
    </w:pPr>
    <w:r>
      <w:rPr>
        <w:sz w:val="20"/>
      </w:rPr>
      <w:t xml:space="preserve">London, EC4M 9QQ </w:t>
      <w:tab/>
      <w:tab/>
      <w:t>Facsimile: 44 (20) 7330-3555</w:t>
    </w:r>
  </w:p>
  <w:p>
    <w:pPr>
      <w:pStyle w:val="Header"/>
      <w:tabs>
        <w:tab w:val="clear" w:pos="8640"/>
        <w:tab w:val="center" w:pos="4320" w:leader="none"/>
        <w:tab w:val="right" w:pos="9360" w:leader="none"/>
      </w:tabs>
      <w:rPr>
        <w:sz w:val="20"/>
      </w:rPr>
    </w:pPr>
    <w:r>
      <w:rPr>
        <w:sz w:val="20"/>
      </w:rPr>
      <w:t xml:space="preserve">United Kingdom </w:t>
    </w:r>
  </w:p>
  <w:p>
    <w:pPr>
      <w:pStyle w:val="Header"/>
      <w:tabs>
        <w:tab w:val="clear" w:pos="8640"/>
        <w:tab w:val="center" w:pos="4320" w:leader="none"/>
        <w:tab w:val="right" w:pos="9360" w:leader="none"/>
      </w:tabs>
      <w:rPr>
        <w:sz w:val="20"/>
      </w:rPr>
    </w:pPr>
    <w:r>
      <w:rPr>
        <w:sz w:val="20"/>
      </w:rPr>
      <w:tab/>
      <w:tab/>
      <w:t>Singapore</w:t>
    </w:r>
  </w:p>
  <w:p>
    <w:pPr>
      <w:pStyle w:val="Header"/>
      <w:tabs>
        <w:tab w:val="clear" w:pos="8640"/>
        <w:tab w:val="center" w:pos="4320" w:leader="none"/>
        <w:tab w:val="right" w:pos="9360" w:leader="none"/>
      </w:tabs>
      <w:rPr>
        <w:sz w:val="20"/>
      </w:rPr>
    </w:pPr>
    <w:r>
      <w:rPr>
        <w:sz w:val="20"/>
      </w:rPr>
      <w:t>Telephone: 44 (20) 7330 3550</w:t>
      <w:tab/>
      <w:tab/>
      <w:t xml:space="preserve">Telephone: </w:t>
    </w:r>
    <w:r>
      <w:rPr>
        <w:caps/>
        <w:sz w:val="20"/>
      </w:rPr>
      <w:t>(65) 538-3879</w:t>
    </w:r>
  </w:p>
  <w:p>
    <w:pPr>
      <w:pStyle w:val="Header"/>
      <w:tabs>
        <w:tab w:val="clear" w:pos="8640"/>
        <w:tab w:val="center" w:pos="4320" w:leader="none"/>
        <w:tab w:val="right" w:pos="9360" w:leader="none"/>
      </w:tabs>
      <w:rPr/>
    </w:pPr>
    <w:r>
      <w:rPr>
        <w:sz w:val="20"/>
      </w:rPr>
      <w:t>Facsimile: 44 (20) 7330 3555</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rPr>
        <w:sz w:val="20"/>
      </w:rPr>
    </w:pPr>
    <w:r>
      <w:rPr>
        <w:sz w:val="20"/>
      </w:rPr>
      <w:t>email: isda@isda-eur.org</w:t>
    </w:r>
  </w:p>
  <w:p>
    <w:pPr>
      <w:pStyle w:val="Header"/>
      <w:tabs>
        <w:tab w:val="clear" w:pos="8640"/>
        <w:tab w:val="center" w:pos="4320" w:leader="none"/>
        <w:tab w:val="right" w:pos="9360" w:leader="none"/>
      </w:tabs>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rPr>
    </w:pPr>
    <w:r>
      <w:rPr>
        <w:sz w:val="20"/>
        <w:lang w:val="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131445</wp:posOffset>
              </wp:positionV>
              <wp:extent cx="5943600" cy="0"/>
              <wp:effectExtent l="0" t="9525" r="0" b="9525"/>
              <wp:wrapNone/>
              <wp:docPr id="2"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0.35pt" to="467.95pt,10.35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jc w:val="both"/>
      <w:outlineLvl w:val="4"/>
    </w:pPr>
    <w:rPr>
      <w:b/>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spacing w:lineRule="auto" w:line="288" w:before="0" w:after="200"/>
      <w:jc w:val="both"/>
    </w:pPr>
    <w:rPr>
      <w:rFonts w:ascii="CG Times" w:hAnsi="CG Times" w:cs="CG Times"/>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FootnoteText">
    <w:name w:val="footnote text"/>
    <w:basedOn w:val="Normal"/>
    <w:pPr/>
    <w:rPr>
      <w:sz w:val="20"/>
    </w:rPr>
  </w:style>
  <w:style w:type="paragraph" w:styleId="BodyText3">
    <w:name w:val="Body Text 3"/>
    <w:basedOn w:val="Normal"/>
    <w:qFormat/>
    <w:pPr>
      <w:ind w:hanging="0" w:start="0" w:end="-480"/>
      <w:jc w:val="both"/>
    </w:pPr>
    <w:rPr>
      <w:sz w:val="22"/>
    </w:rPr>
  </w:style>
  <w:style w:type="paragraph" w:styleId="BlockText">
    <w:name w:val="Block Text"/>
    <w:basedOn w:val="Normal"/>
    <w:qFormat/>
    <w:pPr>
      <w:ind w:hanging="0" w:start="720" w:end="-482"/>
      <w:jc w:val="both"/>
    </w:pPr>
    <w:rPr>
      <w:sz w:val="22"/>
      <w:lang w:val="en-GB"/>
    </w:rPr>
  </w:style>
  <w:style w:type="paragraph" w:styleId="BodyTextIndent">
    <w:name w:val="Body Text Indent"/>
    <w:basedOn w:val="Normal"/>
    <w:pPr>
      <w:ind w:hanging="0" w:start="7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berry@isda-eur.org" TargetMode="External"/><Relationship Id="rId3" Type="http://schemas.openxmlformats.org/officeDocument/2006/relationships/hyperlink" Target="mailto:pwerner@isda-eur.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Bridge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2001-05-22T17:18:00Z</dcterms:created>
  <dc:creator>Allen &amp; Overy</dc:creator>
  <dc:description/>
  <dc:language>en-CA</dc:language>
  <cp:lastModifiedBy>Stacy Carey</cp:lastModifiedBy>
  <cp:lastPrinted>2001-05-22T15:47:00Z</cp:lastPrinted>
  <dcterms:modified xsi:type="dcterms:W3CDTF">2001-05-22T17:18:00Z</dcterms:modified>
  <cp:revision>2</cp:revision>
  <dc:subject/>
  <dc:title>MEMORANDUM</dc:title>
</cp:coreProperties>
</file>