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1088" w:type="dxa"/>
        <w:jc w:val="start"/>
        <w:tblInd w:w="0" w:type="dxa"/>
        <w:tblLayout w:type="fixed"/>
        <w:tblCellMar>
          <w:top w:w="0" w:type="dxa"/>
          <w:start w:w="108" w:type="dxa"/>
          <w:bottom w:w="0" w:type="dxa"/>
          <w:end w:w="108" w:type="dxa"/>
        </w:tblCellMar>
      </w:tblPr>
      <w:tblGrid>
        <w:gridCol w:w="200"/>
        <w:gridCol w:w="708"/>
        <w:gridCol w:w="1360"/>
        <w:gridCol w:w="2430"/>
        <w:gridCol w:w="2255"/>
        <w:gridCol w:w="990"/>
        <w:gridCol w:w="3145"/>
      </w:tblGrid>
      <w:tr>
        <w:trPr/>
        <w:tc>
          <w:tcPr>
            <w:tcW w:w="2268" w:type="dxa"/>
            <w:gridSpan w:val="3"/>
            <w:tcBorders/>
          </w:tcPr>
          <w:p>
            <w:pPr>
              <w:pStyle w:val="Subject"/>
              <w:tabs>
                <w:tab w:val="left" w:pos="540" w:leader="none"/>
              </w:tabs>
              <w:rPr/>
            </w:pPr>
            <w:bookmarkStart w:id="0" w:name="StartOfMemo"/>
            <w:bookmarkEnd w:id="0"/>
            <w:r>
              <w:rPr/>
              <w:drawing>
                <wp:inline distT="0" distB="0" distL="0" distR="0">
                  <wp:extent cx="1130935" cy="111506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130935" cy="1115060"/>
                          </a:xfrm>
                          <a:prstGeom prst="rect">
                            <a:avLst/>
                          </a:prstGeom>
                          <a:noFill/>
                        </pic:spPr>
                      </pic:pic>
                    </a:graphicData>
                  </a:graphic>
                </wp:inline>
              </w:drawing>
            </w:r>
          </w:p>
          <w:p>
            <w:pPr>
              <w:pStyle w:val="Normal"/>
              <w:rPr/>
            </w:pPr>
            <w:r>
              <w:rPr/>
            </w:r>
          </w:p>
        </w:tc>
        <w:tc>
          <w:tcPr>
            <w:tcW w:w="2430" w:type="dxa"/>
            <w:tcBorders/>
          </w:tcPr>
          <w:p>
            <w:pPr>
              <w:pStyle w:val="Normal"/>
              <w:snapToGrid w:val="false"/>
              <w:rPr/>
            </w:pPr>
            <w:r>
              <w:rPr/>
            </w:r>
          </w:p>
        </w:tc>
        <w:tc>
          <w:tcPr>
            <w:tcW w:w="6390" w:type="dxa"/>
            <w:gridSpan w:val="3"/>
            <w:tcBorders/>
          </w:tcPr>
          <w:p>
            <w:pPr>
              <w:pStyle w:val="Heading7"/>
              <w:ind w:hanging="0" w:start="0"/>
              <w:rPr>
                <w:vanish/>
              </w:rPr>
            </w:pPr>
            <w:r>
              <w:rPr>
                <w:vanish/>
              </w:rPr>
              <w:t>Confidential Communications</w:t>
            </w:r>
          </w:p>
          <w:p>
            <w:pPr>
              <w:pStyle w:val="Normal"/>
              <w:jc w:val="end"/>
              <w:rPr>
                <w:b/>
                <w:vanish/>
                <w:sz w:val="28"/>
              </w:rPr>
            </w:pPr>
            <w:r>
              <w:rPr>
                <w:b/>
                <w:vanish/>
                <w:sz w:val="28"/>
              </w:rPr>
              <w:t>Attorney-Client Privilege</w:t>
            </w:r>
          </w:p>
          <w:p>
            <w:pPr>
              <w:pStyle w:val="Heading7"/>
              <w:ind w:hanging="0" w:start="0"/>
              <w:rPr>
                <w:b w:val="false"/>
                <w:vanish/>
                <w:sz w:val="28"/>
              </w:rPr>
            </w:pPr>
            <w:r>
              <w:rPr>
                <w:b w:val="false"/>
                <w:vanish/>
                <w:sz w:val="28"/>
              </w:rPr>
            </w:r>
          </w:p>
          <w:p>
            <w:pPr>
              <w:pStyle w:val="Normal"/>
              <w:rPr>
                <w:b/>
                <w:vanish/>
                <w:sz w:val="28"/>
              </w:rPr>
            </w:pPr>
            <w:r>
              <w:rPr>
                <w:b/>
                <w:vanish/>
                <w:sz w:val="28"/>
              </w:rPr>
            </w:r>
          </w:p>
        </w:tc>
      </w:tr>
      <w:tr>
        <w:trPr>
          <w:trHeight w:val="300" w:hRule="exact"/>
        </w:trPr>
        <w:tc>
          <w:tcPr>
            <w:tcW w:w="200" w:type="dxa"/>
            <w:tcBorders/>
            <w:tcMar>
              <w:start w:w="0" w:type="dxa"/>
              <w:end w:w="0" w:type="dxa"/>
            </w:tcMar>
          </w:tcPr>
          <w:p>
            <w:pPr>
              <w:pStyle w:val="Normal"/>
              <w:rPr>
                <w:b/>
                <w:vanish/>
                <w:sz w:val="28"/>
              </w:rPr>
            </w:pPr>
            <w:r>
              <w:rPr>
                <w:b/>
                <w:vanish/>
                <w:sz w:val="28"/>
              </w:rPr>
            </w:r>
          </w:p>
        </w:tc>
        <w:tc>
          <w:tcPr>
            <w:tcW w:w="708" w:type="dxa"/>
            <w:tcBorders/>
          </w:tcPr>
          <w:p>
            <w:pPr>
              <w:pStyle w:val="Normal"/>
              <w:ind w:start="-180" w:end="0"/>
              <w:jc w:val="end"/>
              <w:rPr>
                <w:sz w:val="16"/>
              </w:rPr>
            </w:pPr>
            <w:r>
              <w:rPr>
                <w:sz w:val="16"/>
              </w:rPr>
              <w:t>To:</w:t>
            </w:r>
          </w:p>
        </w:tc>
        <w:tc>
          <w:tcPr>
            <w:tcW w:w="6045" w:type="dxa"/>
            <w:gridSpan w:val="3"/>
            <w:tcBorders/>
          </w:tcPr>
          <w:p>
            <w:pPr>
              <w:pStyle w:val="To"/>
              <w:rPr>
                <w:sz w:val="22"/>
              </w:rPr>
            </w:pPr>
            <w:r>
              <w:rPr>
                <w:sz w:val="22"/>
              </w:rPr>
              <w:t>Distribution</w:t>
            </w:r>
          </w:p>
        </w:tc>
        <w:tc>
          <w:tcPr>
            <w:tcW w:w="990" w:type="dxa"/>
            <w:tcBorders/>
          </w:tcPr>
          <w:p>
            <w:pPr>
              <w:pStyle w:val="Normal"/>
              <w:snapToGrid w:val="false"/>
              <w:ind w:start="-180" w:end="0"/>
              <w:rPr>
                <w:sz w:val="22"/>
              </w:rPr>
            </w:pPr>
            <w:r>
              <w:rPr>
                <w:sz w:val="22"/>
              </w:rPr>
            </w:r>
          </w:p>
        </w:tc>
        <w:tc>
          <w:tcPr>
            <w:tcW w:w="3145" w:type="dxa"/>
            <w:tcBorders/>
            <w:tcMar>
              <w:start w:w="0" w:type="dxa"/>
              <w:end w:w="0" w:type="dxa"/>
            </w:tcMar>
          </w:tcPr>
          <w:p>
            <w:pPr>
              <w:pStyle w:val="Normal"/>
              <w:snapToGrid w:val="false"/>
              <w:rPr>
                <w:sz w:val="22"/>
              </w:rPr>
            </w:pPr>
            <w:r>
              <w:rPr>
                <w:sz w:val="22"/>
              </w:rPr>
            </w:r>
          </w:p>
        </w:tc>
      </w:tr>
      <w:tr>
        <w:trPr>
          <w:trHeight w:val="441" w:hRule="exact"/>
        </w:trPr>
        <w:tc>
          <w:tcPr>
            <w:tcW w:w="200" w:type="dxa"/>
            <w:tcBorders/>
            <w:tcMar>
              <w:start w:w="0" w:type="dxa"/>
              <w:end w:w="0" w:type="dxa"/>
            </w:tcMar>
          </w:tcPr>
          <w:p>
            <w:pPr>
              <w:pStyle w:val="TableContents"/>
              <w:rPr>
                <w:sz w:val="22"/>
              </w:rPr>
            </w:pPr>
            <w:r>
              <w:rPr>
                <w:sz w:val="22"/>
              </w:rPr>
            </w:r>
          </w:p>
        </w:tc>
        <w:tc>
          <w:tcPr>
            <w:tcW w:w="708" w:type="dxa"/>
            <w:tcBorders/>
          </w:tcPr>
          <w:p>
            <w:pPr>
              <w:pStyle w:val="Normal"/>
              <w:snapToGrid w:val="false"/>
              <w:ind w:start="-180" w:end="0"/>
              <w:jc w:val="end"/>
              <w:rPr>
                <w:sz w:val="18"/>
              </w:rPr>
            </w:pPr>
            <w:r>
              <w:rPr>
                <w:sz w:val="18"/>
              </w:rPr>
            </w:r>
          </w:p>
        </w:tc>
        <w:tc>
          <w:tcPr>
            <w:tcW w:w="6045" w:type="dxa"/>
            <w:gridSpan w:val="3"/>
            <w:tcBorders/>
          </w:tcPr>
          <w:p>
            <w:pPr>
              <w:pStyle w:val="Normal"/>
              <w:snapToGrid w:val="false"/>
              <w:rPr>
                <w:sz w:val="22"/>
              </w:rPr>
            </w:pPr>
            <w:r>
              <w:rPr>
                <w:sz w:val="22"/>
              </w:rPr>
            </w:r>
          </w:p>
        </w:tc>
        <w:tc>
          <w:tcPr>
            <w:tcW w:w="990" w:type="dxa"/>
            <w:tcBorders/>
          </w:tcPr>
          <w:p>
            <w:pPr>
              <w:pStyle w:val="Normal"/>
              <w:snapToGrid w:val="false"/>
              <w:ind w:start="-180" w:end="0"/>
              <w:rPr>
                <w:sz w:val="18"/>
              </w:rPr>
            </w:pPr>
            <w:r>
              <w:rPr>
                <w:sz w:val="18"/>
              </w:rPr>
            </w:r>
          </w:p>
        </w:tc>
        <w:tc>
          <w:tcPr>
            <w:tcW w:w="3145" w:type="dxa"/>
            <w:tcBorders/>
            <w:tcMar>
              <w:start w:w="0" w:type="dxa"/>
              <w:end w:w="0" w:type="dxa"/>
            </w:tcMar>
          </w:tcPr>
          <w:p>
            <w:pPr>
              <w:pStyle w:val="Normal"/>
              <w:snapToGrid w:val="false"/>
              <w:rPr>
                <w:sz w:val="22"/>
              </w:rPr>
            </w:pPr>
            <w:r>
              <w:rPr>
                <w:sz w:val="22"/>
              </w:rPr>
            </w:r>
          </w:p>
        </w:tc>
      </w:tr>
      <w:tr>
        <w:trPr>
          <w:trHeight w:val="300" w:hRule="exact"/>
        </w:trPr>
        <w:tc>
          <w:tcPr>
            <w:tcW w:w="200" w:type="dxa"/>
            <w:tcBorders/>
            <w:tcMar>
              <w:start w:w="0" w:type="dxa"/>
              <w:end w:w="0" w:type="dxa"/>
            </w:tcMar>
          </w:tcPr>
          <w:p>
            <w:pPr>
              <w:pStyle w:val="TableContents"/>
              <w:rPr>
                <w:sz w:val="22"/>
              </w:rPr>
            </w:pPr>
            <w:r>
              <w:rPr>
                <w:sz w:val="22"/>
              </w:rPr>
            </w:r>
          </w:p>
        </w:tc>
        <w:tc>
          <w:tcPr>
            <w:tcW w:w="708" w:type="dxa"/>
            <w:tcBorders/>
          </w:tcPr>
          <w:p>
            <w:pPr>
              <w:pStyle w:val="Normal"/>
              <w:ind w:start="-180" w:end="0"/>
              <w:jc w:val="end"/>
              <w:rPr>
                <w:sz w:val="16"/>
              </w:rPr>
            </w:pPr>
            <w:r>
              <w:rPr>
                <w:sz w:val="16"/>
              </w:rPr>
              <w:t>From:</w:t>
            </w:r>
          </w:p>
        </w:tc>
        <w:tc>
          <w:tcPr>
            <w:tcW w:w="6045" w:type="dxa"/>
            <w:gridSpan w:val="3"/>
            <w:tcBorders/>
          </w:tcPr>
          <w:p>
            <w:pPr>
              <w:pStyle w:val="From"/>
              <w:rPr>
                <w:sz w:val="22"/>
              </w:rPr>
            </w:pPr>
            <w:r>
              <w:rPr>
                <w:sz w:val="22"/>
              </w:rPr>
              <w:t>Jordan Mintz</w:t>
            </w:r>
          </w:p>
        </w:tc>
        <w:tc>
          <w:tcPr>
            <w:tcW w:w="990" w:type="dxa"/>
            <w:tcBorders/>
          </w:tcPr>
          <w:p>
            <w:pPr>
              <w:pStyle w:val="Normal"/>
              <w:ind w:start="-180" w:end="0"/>
              <w:jc w:val="end"/>
              <w:rPr>
                <w:sz w:val="16"/>
              </w:rPr>
            </w:pPr>
            <w:r>
              <w:rPr>
                <w:sz w:val="16"/>
              </w:rPr>
              <w:t>Department:</w:t>
            </w:r>
          </w:p>
        </w:tc>
        <w:tc>
          <w:tcPr>
            <w:tcW w:w="3145" w:type="dxa"/>
            <w:tcBorders/>
          </w:tcPr>
          <w:p>
            <w:pPr>
              <w:pStyle w:val="Department"/>
              <w:rPr>
                <w:sz w:val="22"/>
              </w:rPr>
            </w:pPr>
            <w:r>
              <w:rPr>
                <w:sz w:val="22"/>
              </w:rPr>
              <w:t>Enron Global Finance - Legal</w:t>
            </w:r>
          </w:p>
        </w:tc>
      </w:tr>
      <w:tr>
        <w:trPr>
          <w:trHeight w:val="283" w:hRule="exact"/>
        </w:trPr>
        <w:tc>
          <w:tcPr>
            <w:tcW w:w="200" w:type="dxa"/>
            <w:tcBorders/>
            <w:tcMar>
              <w:start w:w="0" w:type="dxa"/>
              <w:end w:w="0" w:type="dxa"/>
            </w:tcMar>
          </w:tcPr>
          <w:p>
            <w:pPr>
              <w:pStyle w:val="Normal"/>
              <w:rPr>
                <w:sz w:val="22"/>
              </w:rPr>
            </w:pPr>
            <w:r>
              <w:rPr>
                <w:sz w:val="22"/>
              </w:rPr>
            </w:r>
            <w:bookmarkStart w:id="1" w:name="From"/>
            <w:bookmarkStart w:id="2" w:name="From"/>
            <w:bookmarkEnd w:id="2"/>
          </w:p>
        </w:tc>
        <w:tc>
          <w:tcPr>
            <w:tcW w:w="708" w:type="dxa"/>
            <w:tcBorders/>
          </w:tcPr>
          <w:p>
            <w:pPr>
              <w:pStyle w:val="Normal"/>
              <w:snapToGrid w:val="false"/>
              <w:ind w:start="-180" w:end="0"/>
              <w:jc w:val="end"/>
              <w:rPr>
                <w:sz w:val="18"/>
              </w:rPr>
            </w:pPr>
            <w:r>
              <w:rPr>
                <w:sz w:val="18"/>
              </w:rPr>
            </w:r>
          </w:p>
        </w:tc>
        <w:tc>
          <w:tcPr>
            <w:tcW w:w="6045" w:type="dxa"/>
            <w:gridSpan w:val="3"/>
            <w:tcBorders/>
          </w:tcPr>
          <w:p>
            <w:pPr>
              <w:pStyle w:val="Normal"/>
              <w:snapToGrid w:val="false"/>
              <w:rPr>
                <w:sz w:val="22"/>
              </w:rPr>
            </w:pPr>
            <w:r>
              <w:rPr>
                <w:sz w:val="22"/>
              </w:rPr>
            </w:r>
          </w:p>
        </w:tc>
        <w:tc>
          <w:tcPr>
            <w:tcW w:w="990" w:type="dxa"/>
            <w:tcBorders/>
          </w:tcPr>
          <w:p>
            <w:pPr>
              <w:pStyle w:val="Normal"/>
              <w:snapToGrid w:val="false"/>
              <w:ind w:start="-180" w:end="0"/>
              <w:rPr>
                <w:sz w:val="18"/>
              </w:rPr>
            </w:pPr>
            <w:r>
              <w:rPr>
                <w:sz w:val="18"/>
              </w:rPr>
            </w:r>
          </w:p>
        </w:tc>
        <w:tc>
          <w:tcPr>
            <w:tcW w:w="3145" w:type="dxa"/>
            <w:tcBorders/>
          </w:tcPr>
          <w:p>
            <w:pPr>
              <w:pStyle w:val="Normal"/>
              <w:snapToGrid w:val="false"/>
              <w:rPr>
                <w:sz w:val="22"/>
              </w:rPr>
            </w:pPr>
            <w:r>
              <w:rPr>
                <w:sz w:val="22"/>
              </w:rPr>
            </w:r>
          </w:p>
        </w:tc>
      </w:tr>
      <w:tr>
        <w:trPr>
          <w:trHeight w:val="288" w:hRule="exact"/>
        </w:trPr>
        <w:tc>
          <w:tcPr>
            <w:tcW w:w="200" w:type="dxa"/>
            <w:tcBorders/>
            <w:tcMar>
              <w:start w:w="0" w:type="dxa"/>
              <w:end w:w="0" w:type="dxa"/>
            </w:tcMar>
          </w:tcPr>
          <w:p>
            <w:pPr>
              <w:pStyle w:val="Normal"/>
              <w:rPr>
                <w:sz w:val="22"/>
              </w:rPr>
            </w:pPr>
            <w:r>
              <w:rPr>
                <w:sz w:val="22"/>
              </w:rPr>
            </w:r>
          </w:p>
        </w:tc>
        <w:tc>
          <w:tcPr>
            <w:tcW w:w="708" w:type="dxa"/>
            <w:tcBorders/>
          </w:tcPr>
          <w:p>
            <w:pPr>
              <w:pStyle w:val="Normal"/>
              <w:ind w:start="-180" w:end="0"/>
              <w:jc w:val="end"/>
              <w:rPr>
                <w:sz w:val="16"/>
              </w:rPr>
            </w:pPr>
            <w:r>
              <w:rPr>
                <w:sz w:val="16"/>
              </w:rPr>
              <w:t>Subject:</w:t>
            </w:r>
          </w:p>
        </w:tc>
        <w:tc>
          <w:tcPr>
            <w:tcW w:w="6045" w:type="dxa"/>
            <w:gridSpan w:val="3"/>
            <w:tcBorders/>
          </w:tcPr>
          <w:p>
            <w:pPr>
              <w:pStyle w:val="Subject"/>
              <w:rPr>
                <w:b/>
                <w:sz w:val="22"/>
              </w:rPr>
            </w:pPr>
            <w:r>
              <w:rPr>
                <w:b/>
                <w:sz w:val="22"/>
              </w:rPr>
              <w:t>Global Finance Support for 2001</w:t>
            </w:r>
          </w:p>
        </w:tc>
        <w:tc>
          <w:tcPr>
            <w:tcW w:w="990" w:type="dxa"/>
            <w:tcBorders/>
          </w:tcPr>
          <w:p>
            <w:pPr>
              <w:pStyle w:val="Normal"/>
              <w:ind w:start="-180" w:end="0"/>
              <w:jc w:val="end"/>
              <w:rPr>
                <w:sz w:val="16"/>
              </w:rPr>
            </w:pPr>
            <w:r>
              <w:rPr>
                <w:sz w:val="16"/>
              </w:rPr>
              <w:t>Date:</w:t>
            </w:r>
          </w:p>
        </w:tc>
        <w:tc>
          <w:tcPr>
            <w:tcW w:w="3145" w:type="dxa"/>
            <w:tcBorders/>
          </w:tcPr>
          <w:p>
            <w:pPr>
              <w:pStyle w:val="Date"/>
              <w:rPr>
                <w:sz w:val="22"/>
              </w:rPr>
            </w:pPr>
            <w:r>
              <w:rPr>
                <w:sz w:val="22"/>
              </w:rPr>
              <w:fldChar w:fldCharType="begin"/>
            </w:r>
            <w:r>
              <w:rPr>
                <w:sz w:val="22"/>
              </w:rPr>
              <w:instrText xml:space="preserve"> DATE \@"MMMM\ d', 'yyyy" </w:instrText>
            </w:r>
            <w:r>
              <w:rPr>
                <w:sz w:val="22"/>
              </w:rPr>
              <w:fldChar w:fldCharType="separate"/>
            </w:r>
            <w:r>
              <w:rPr>
                <w:sz w:val="22"/>
              </w:rPr>
              <w:t>September 28, 2025</w:t>
            </w:r>
            <w:r>
              <w:rPr>
                <w:sz w:val="22"/>
              </w:rPr>
              <w:fldChar w:fldCharType="end"/>
            </w:r>
          </w:p>
        </w:tc>
      </w:tr>
      <w:tr>
        <w:trPr>
          <w:trHeight w:val="342" w:hRule="exact"/>
        </w:trPr>
        <w:tc>
          <w:tcPr>
            <w:tcW w:w="200" w:type="dxa"/>
            <w:tcBorders/>
            <w:tcMar>
              <w:start w:w="0" w:type="dxa"/>
              <w:end w:w="0" w:type="dxa"/>
            </w:tcMar>
          </w:tcPr>
          <w:p>
            <w:pPr>
              <w:pStyle w:val="Normal"/>
              <w:rPr>
                <w:sz w:val="22"/>
              </w:rPr>
            </w:pPr>
            <w:r>
              <w:rPr>
                <w:sz w:val="22"/>
              </w:rPr>
            </w:r>
          </w:p>
        </w:tc>
        <w:tc>
          <w:tcPr>
            <w:tcW w:w="708" w:type="dxa"/>
            <w:tcBorders>
              <w:bottom w:val="single" w:sz="12" w:space="0" w:color="000000"/>
            </w:tcBorders>
          </w:tcPr>
          <w:p>
            <w:pPr>
              <w:pStyle w:val="Normal"/>
              <w:snapToGrid w:val="false"/>
              <w:ind w:start="-180" w:end="0"/>
              <w:jc w:val="end"/>
              <w:rPr>
                <w:sz w:val="16"/>
              </w:rPr>
            </w:pPr>
            <w:r>
              <w:rPr>
                <w:sz w:val="16"/>
              </w:rPr>
            </w:r>
          </w:p>
        </w:tc>
        <w:tc>
          <w:tcPr>
            <w:tcW w:w="6045" w:type="dxa"/>
            <w:gridSpan w:val="3"/>
            <w:tcBorders>
              <w:bottom w:val="single" w:sz="12" w:space="0" w:color="000000"/>
            </w:tcBorders>
          </w:tcPr>
          <w:p>
            <w:pPr>
              <w:pStyle w:val="Subject"/>
              <w:rPr>
                <w:b/>
                <w:sz w:val="22"/>
              </w:rPr>
            </w:pPr>
            <w:r>
              <w:rPr>
                <w:rFonts w:eastAsia="Arial"/>
                <w:b/>
                <w:sz w:val="22"/>
              </w:rPr>
              <w:t xml:space="preserve"> </w:t>
            </w:r>
            <w:r>
              <w:rPr>
                <w:b/>
                <w:sz w:val="22"/>
              </w:rPr>
              <w:t>-- Cross-Charge Expenses</w:t>
            </w:r>
          </w:p>
        </w:tc>
        <w:tc>
          <w:tcPr>
            <w:tcW w:w="4135" w:type="dxa"/>
            <w:gridSpan w:val="2"/>
            <w:tcBorders>
              <w:bottom w:val="single" w:sz="12" w:space="0" w:color="000000"/>
            </w:tcBorders>
          </w:tcPr>
          <w:p>
            <w:pPr>
              <w:pStyle w:val="Normal"/>
              <w:snapToGrid w:val="false"/>
              <w:ind w:start="-180" w:end="0"/>
              <w:jc w:val="end"/>
              <w:rPr>
                <w:b/>
                <w:sz w:val="16"/>
              </w:rPr>
            </w:pPr>
            <w:r>
              <w:rPr>
                <w:b/>
                <w:sz w:val="16"/>
              </w:rPr>
            </w:r>
          </w:p>
        </w:tc>
      </w:tr>
    </w:tbl>
    <w:p>
      <w:pPr>
        <w:pStyle w:val="Normal"/>
        <w:tabs>
          <w:tab w:val="clear" w:pos="540"/>
        </w:tabs>
        <w:autoSpaceDE w:val="false"/>
        <w:rPr>
          <w:rFonts w:cs="Arial"/>
        </w:rPr>
      </w:pPr>
      <w:r>
        <w:rPr>
          <w:rFonts w:cs="Arial"/>
        </w:rPr>
      </w:r>
    </w:p>
    <w:p>
      <w:pPr>
        <w:pStyle w:val="Normal"/>
        <w:tabs>
          <w:tab w:val="clear" w:pos="540"/>
        </w:tabs>
        <w:autoSpaceDE w:val="false"/>
        <w:rPr>
          <w:rFonts w:cs="Arial"/>
        </w:rPr>
      </w:pPr>
      <w:r>
        <w:rPr>
          <w:rFonts w:cs="Arial"/>
        </w:rPr>
        <w:t>As you may recall, the legal support for the Company's financings (both international and domestic) has been "centralized" in the Global Finance Legal Group in Houston since September 1999.  In conducting our practice we often "team" with attorneys from the various business units.  (In fact, given the talented and well-staffed Legal Group in London, we will typically adopt a support role with respect to the financings originated out of Europe.)  I believe the coordination of the (often) dual efforts has improved over the last half year and will continue to do so.</w:t>
      </w:r>
    </w:p>
    <w:p>
      <w:pPr>
        <w:pStyle w:val="Normal"/>
        <w:tabs>
          <w:tab w:val="clear" w:pos="540"/>
        </w:tabs>
        <w:autoSpaceDE w:val="false"/>
        <w:rPr>
          <w:rFonts w:cs="Arial"/>
        </w:rPr>
      </w:pPr>
      <w:r>
        <w:rPr>
          <w:rFonts w:cs="Arial"/>
        </w:rPr>
      </w:r>
    </w:p>
    <w:p>
      <w:pPr>
        <w:pStyle w:val="Normal"/>
        <w:tabs>
          <w:tab w:val="clear" w:pos="540"/>
        </w:tabs>
        <w:autoSpaceDE w:val="false"/>
        <w:rPr>
          <w:rFonts w:cs="Arial"/>
        </w:rPr>
      </w:pPr>
      <w:r>
        <w:rPr>
          <w:rFonts w:cs="Arial"/>
        </w:rPr>
        <w:t>Given the "dealflow-type" culture at Enron, we continue to rely heavily upon the expertise and support from our outside counsel and other vendors.  In many (if not the overwhelming majority) of the transactions we support from a legal perspective, we also --indirectly-- engage counsel for our financial institutions and directly pay their fees.  The legal fees incurred by EGF-Legal are substantial.  We have worked hard over the last few months to ensure we know: what we are paying; reviewing the nature and attendant time spent on the work being performed by outside counsel; and that such legal bills are being processed in a responsible and efficient manner.</w:t>
      </w:r>
    </w:p>
    <w:p>
      <w:pPr>
        <w:pStyle w:val="Normal"/>
        <w:tabs>
          <w:tab w:val="clear" w:pos="540"/>
        </w:tabs>
        <w:autoSpaceDE w:val="false"/>
        <w:rPr>
          <w:rFonts w:cs="Arial"/>
        </w:rPr>
      </w:pPr>
      <w:r>
        <w:rPr>
          <w:rFonts w:cs="Arial"/>
        </w:rPr>
      </w:r>
    </w:p>
    <w:p>
      <w:pPr>
        <w:pStyle w:val="Normal"/>
        <w:tabs>
          <w:tab w:val="clear" w:pos="540"/>
        </w:tabs>
        <w:autoSpaceDE w:val="false"/>
        <w:rPr>
          <w:rFonts w:cs="Arial"/>
        </w:rPr>
      </w:pPr>
      <w:r>
        <w:rPr>
          <w:rFonts w:cs="Arial"/>
        </w:rPr>
        <w:t xml:space="preserve">As part of this effort, we have also looked at what would be most appropriate as to whom ultimately bears these costs.  In making this determination, I have consulted with Ben Glisan and Joe Deffner.  Based on these discussions, we have proposed that the legal fees incurred by EGF-Legal be allocated/cross-charged to those business units that ultimately receive the benefit inuring from the transaction--whether it be earnings, funds flow, or balance sheet treatment.  I do not think that we have been vigilante in ensuring that these cross-charges are being made, but intend to do so for the 2001 year and forward.  </w:t>
      </w:r>
    </w:p>
    <w:p>
      <w:pPr>
        <w:pStyle w:val="Normal"/>
        <w:tabs>
          <w:tab w:val="clear" w:pos="540"/>
        </w:tabs>
        <w:autoSpaceDE w:val="false"/>
        <w:rPr>
          <w:rFonts w:cs="Arial"/>
        </w:rPr>
      </w:pPr>
      <w:r>
        <w:rPr>
          <w:rFonts w:cs="Arial"/>
        </w:rPr>
      </w:r>
    </w:p>
    <w:p>
      <w:pPr>
        <w:pStyle w:val="Normal"/>
        <w:tabs>
          <w:tab w:val="clear" w:pos="540"/>
        </w:tabs>
        <w:autoSpaceDE w:val="false"/>
        <w:rPr>
          <w:rFonts w:cs="Arial"/>
        </w:rPr>
      </w:pPr>
      <w:r>
        <w:rPr>
          <w:rFonts w:cs="Arial"/>
        </w:rPr>
        <w:t>Briefly stated, the approach would be as follows:</w:t>
      </w:r>
    </w:p>
    <w:p>
      <w:pPr>
        <w:pStyle w:val="Normal"/>
        <w:tabs>
          <w:tab w:val="clear" w:pos="540"/>
        </w:tabs>
        <w:autoSpaceDE w:val="false"/>
        <w:rPr>
          <w:rFonts w:cs="Arial"/>
        </w:rPr>
      </w:pPr>
      <w:r>
        <w:rPr>
          <w:rFonts w:cs="Arial"/>
        </w:rPr>
        <w:tab/>
      </w:r>
    </w:p>
    <w:p>
      <w:pPr>
        <w:pStyle w:val="Normal"/>
        <w:numPr>
          <w:ilvl w:val="0"/>
          <w:numId w:val="2"/>
        </w:numPr>
        <w:tabs>
          <w:tab w:val="clear" w:pos="540"/>
        </w:tabs>
        <w:autoSpaceDE w:val="false"/>
        <w:rPr>
          <w:rFonts w:cs="Arial"/>
        </w:rPr>
      </w:pPr>
      <w:r>
        <w:rPr>
          <w:rFonts w:cs="Arial"/>
        </w:rPr>
        <w:t xml:space="preserve">Financings that originate from a business unit that utilize a new – one-off-type -- structure, </w:t>
      </w:r>
      <w:r>
        <w:rPr>
          <w:rFonts w:cs="Arial"/>
          <w:u w:val="single"/>
        </w:rPr>
        <w:t>e.g.</w:t>
      </w:r>
      <w:r>
        <w:rPr>
          <w:rFonts w:cs="Arial"/>
        </w:rPr>
        <w:t xml:space="preserve"> Turbo Park, will be charged back to such business unit; and</w:t>
      </w:r>
    </w:p>
    <w:p>
      <w:pPr>
        <w:pStyle w:val="Normal"/>
        <w:numPr>
          <w:ilvl w:val="0"/>
          <w:numId w:val="2"/>
        </w:numPr>
        <w:tabs>
          <w:tab w:val="clear" w:pos="540"/>
        </w:tabs>
        <w:autoSpaceDE w:val="false"/>
        <w:rPr>
          <w:rFonts w:cs="Arial"/>
        </w:rPr>
      </w:pPr>
      <w:r>
        <w:rPr>
          <w:rFonts w:cs="Arial"/>
        </w:rPr>
        <w:t xml:space="preserve">Financings that originate from a business unit that utilize an existing Global Finance vehicle – such as Hawaii, Whitewing, Raptor, JEDI II, etc., will have those legal fees allocated semi-annually based on an overall usage, </w:t>
      </w:r>
      <w:r>
        <w:rPr>
          <w:rFonts w:cs="Arial"/>
          <w:u w:val="single"/>
        </w:rPr>
        <w:t>i.e.</w:t>
      </w:r>
      <w:r>
        <w:rPr>
          <w:rFonts w:cs="Arial"/>
        </w:rPr>
        <w:t xml:space="preserve"> numerator reflects notional dollar amount of transactions engaged in by business unit over total notional amount of transactions conducted through such vehicle times legal fees incurred associated with such vehicle.</w:t>
      </w:r>
    </w:p>
    <w:p>
      <w:pPr>
        <w:pStyle w:val="Normal"/>
        <w:tabs>
          <w:tab w:val="clear" w:pos="540"/>
        </w:tabs>
        <w:autoSpaceDE w:val="false"/>
        <w:rPr>
          <w:rFonts w:cs="Arial"/>
        </w:rPr>
      </w:pPr>
      <w:r>
        <w:rPr>
          <w:rFonts w:cs="Arial"/>
        </w:rPr>
      </w:r>
    </w:p>
    <w:p>
      <w:pPr>
        <w:pStyle w:val="Normal"/>
        <w:tabs>
          <w:tab w:val="clear" w:pos="540"/>
        </w:tabs>
        <w:autoSpaceDE w:val="false"/>
        <w:rPr>
          <w:rFonts w:cs="Arial"/>
        </w:rPr>
      </w:pPr>
      <w:r>
        <w:rPr>
          <w:rFonts w:cs="Arial"/>
        </w:rPr>
      </w:r>
    </w:p>
    <w:p>
      <w:pPr>
        <w:pStyle w:val="Normal"/>
        <w:tabs>
          <w:tab w:val="clear" w:pos="540"/>
        </w:tabs>
        <w:autoSpaceDE w:val="false"/>
        <w:rPr>
          <w:rFonts w:cs="Arial"/>
        </w:rPr>
      </w:pPr>
      <w:r>
        <w:rPr>
          <w:rFonts w:cs="Arial"/>
        </w:rPr>
        <w:t>For example, Asset Sales of $200MM are made into Whitewing during the 2001 year.  Of these assets, $150MM are from ENA, $25MM are from EES, and $25MM are from EBS.  During 2001, legal fees of $7MM are incurred relating to Whitewing relating to asset sales, amendments to credit facilities, and related cash incentive items.  Based on “notional utilization”, ENA would be charged $5.25MM and EES and EBS each $875K relating to legal fees for the utilization of Whitewing during the 2001 year.</w:t>
      </w:r>
    </w:p>
    <w:p>
      <w:pPr>
        <w:pStyle w:val="Normal"/>
        <w:tabs>
          <w:tab w:val="clear" w:pos="540"/>
        </w:tabs>
        <w:autoSpaceDE w:val="false"/>
        <w:rPr>
          <w:rFonts w:cs="Arial"/>
        </w:rPr>
      </w:pPr>
      <w:r>
        <w:rPr>
          <w:rFonts w:cs="Arial"/>
        </w:rPr>
      </w:r>
    </w:p>
    <w:p>
      <w:pPr>
        <w:pStyle w:val="Normal"/>
        <w:tabs>
          <w:tab w:val="clear" w:pos="540"/>
        </w:tabs>
        <w:autoSpaceDE w:val="false"/>
        <w:rPr>
          <w:rFonts w:cs="Arial"/>
        </w:rPr>
      </w:pPr>
      <w:r>
        <w:rPr>
          <w:rFonts w:cs="Arial"/>
        </w:rPr>
        <w:t>This approach appears to be the most equitable of those considered; however, if you have any additional thoughts or suggestions, please feel free to pass them onto me at x 37897.</w:t>
      </w:r>
    </w:p>
    <w:p>
      <w:pPr>
        <w:pStyle w:val="Normal"/>
        <w:tabs>
          <w:tab w:val="clear" w:pos="540"/>
        </w:tabs>
        <w:autoSpaceDE w:val="false"/>
        <w:rPr>
          <w:rFonts w:cs="Arial"/>
        </w:rPr>
      </w:pPr>
      <w:r>
        <w:rPr>
          <w:rFonts w:cs="Arial"/>
        </w:rPr>
      </w:r>
    </w:p>
    <w:p>
      <w:pPr>
        <w:pStyle w:val="Normal"/>
        <w:tabs>
          <w:tab w:val="clear" w:pos="540"/>
        </w:tabs>
        <w:autoSpaceDE w:val="false"/>
        <w:rPr>
          <w:rFonts w:cs="Arial"/>
        </w:rPr>
      </w:pPr>
      <w:r>
        <w:rPr>
          <w:rFonts w:cs="Arial"/>
        </w:rPr>
      </w:r>
    </w:p>
    <w:p>
      <w:pPr>
        <w:pStyle w:val="Normal"/>
        <w:tabs>
          <w:tab w:val="clear" w:pos="540"/>
        </w:tabs>
        <w:autoSpaceDE w:val="false"/>
        <w:rPr>
          <w:rFonts w:cs="Arial"/>
        </w:rPr>
      </w:pPr>
      <w:r>
        <w:rPr>
          <w:rFonts w:cs="Arial"/>
        </w:rPr>
        <w:t>Distribution:</w:t>
        <w:tab/>
        <w:t>Business Unit CFOs and Global Finance</w:t>
      </w:r>
    </w:p>
    <w:p>
      <w:pPr>
        <w:pStyle w:val="Normal"/>
        <w:tabs>
          <w:tab w:val="clear" w:pos="540"/>
        </w:tabs>
        <w:autoSpaceDE w:val="false"/>
        <w:rPr>
          <w:rFonts w:cs="Arial"/>
        </w:rPr>
      </w:pPr>
      <w:r>
        <w:rPr>
          <w:rFonts w:cs="Arial"/>
        </w:rPr>
        <w:tab/>
        <w:t>Anderson, Michael – Azurix</w:t>
      </w:r>
    </w:p>
    <w:p>
      <w:pPr>
        <w:pStyle w:val="Normal"/>
        <w:tabs>
          <w:tab w:val="clear" w:pos="540"/>
        </w:tabs>
        <w:autoSpaceDE w:val="false"/>
        <w:rPr>
          <w:rFonts w:cs="Arial"/>
        </w:rPr>
      </w:pPr>
      <w:r>
        <w:rPr>
          <w:rFonts w:cs="Arial"/>
        </w:rPr>
        <w:tab/>
        <w:t xml:space="preserve">Boyle, Dan – EGF </w:t>
      </w:r>
    </w:p>
    <w:p>
      <w:pPr>
        <w:pStyle w:val="Normal"/>
        <w:tabs>
          <w:tab w:val="clear" w:pos="540"/>
        </w:tabs>
        <w:autoSpaceDE w:val="false"/>
        <w:rPr>
          <w:rFonts w:cs="Arial"/>
        </w:rPr>
      </w:pPr>
      <w:r>
        <w:rPr>
          <w:rFonts w:cs="Arial"/>
        </w:rPr>
        <w:tab/>
        <w:t>Chivers, Paul – Enron Europe</w:t>
      </w:r>
    </w:p>
    <w:p>
      <w:pPr>
        <w:pStyle w:val="Normal"/>
        <w:tabs>
          <w:tab w:val="clear" w:pos="540"/>
        </w:tabs>
        <w:autoSpaceDE w:val="false"/>
        <w:rPr>
          <w:rFonts w:cs="Arial"/>
        </w:rPr>
      </w:pPr>
      <w:r>
        <w:rPr>
          <w:rFonts w:cs="Arial"/>
        </w:rPr>
        <w:tab/>
        <w:t>Deffner, Joe – Americas</w:t>
      </w:r>
    </w:p>
    <w:p>
      <w:pPr>
        <w:pStyle w:val="Normal"/>
        <w:tabs>
          <w:tab w:val="clear" w:pos="540"/>
        </w:tabs>
        <w:autoSpaceDE w:val="false"/>
        <w:rPr>
          <w:rFonts w:cs="Arial"/>
        </w:rPr>
      </w:pPr>
      <w:r>
        <w:rPr>
          <w:rFonts w:cs="Arial"/>
        </w:rPr>
        <w:tab/>
        <w:t>De Lacey, Charles - EGF</w:t>
      </w:r>
    </w:p>
    <w:p>
      <w:pPr>
        <w:pStyle w:val="Normal"/>
        <w:tabs>
          <w:tab w:val="clear" w:pos="540"/>
        </w:tabs>
        <w:autoSpaceDE w:val="false"/>
        <w:rPr>
          <w:rFonts w:cs="Arial"/>
        </w:rPr>
      </w:pPr>
      <w:r>
        <w:rPr>
          <w:rFonts w:cs="Arial"/>
        </w:rPr>
        <w:tab/>
        <w:t>Despain, Tim - EGF</w:t>
      </w:r>
    </w:p>
    <w:p>
      <w:pPr>
        <w:pStyle w:val="Normal"/>
        <w:tabs>
          <w:tab w:val="clear" w:pos="540"/>
        </w:tabs>
        <w:autoSpaceDE w:val="false"/>
        <w:rPr>
          <w:rFonts w:cs="Arial"/>
        </w:rPr>
      </w:pPr>
      <w:r>
        <w:rPr>
          <w:rFonts w:cs="Arial"/>
        </w:rPr>
        <w:tab/>
        <w:t>Glisan, Ben – EGF Treasurer</w:t>
      </w:r>
    </w:p>
    <w:p>
      <w:pPr>
        <w:pStyle w:val="Normal"/>
        <w:tabs>
          <w:tab w:val="clear" w:pos="540"/>
        </w:tabs>
        <w:autoSpaceDE w:val="false"/>
        <w:rPr>
          <w:rFonts w:cs="Arial"/>
        </w:rPr>
      </w:pPr>
      <w:r>
        <w:rPr>
          <w:rFonts w:cs="Arial"/>
        </w:rPr>
        <w:tab/>
        <w:t>Hayslett, Rod – ET&amp;S</w:t>
      </w:r>
    </w:p>
    <w:p>
      <w:pPr>
        <w:pStyle w:val="Normal"/>
        <w:tabs>
          <w:tab w:val="clear" w:pos="540"/>
        </w:tabs>
        <w:autoSpaceDE w:val="false"/>
        <w:rPr>
          <w:rFonts w:cs="Arial"/>
        </w:rPr>
      </w:pPr>
      <w:r>
        <w:rPr>
          <w:rFonts w:cs="Arial"/>
        </w:rPr>
        <w:tab/>
        <w:t>Howard, Kevin - EBS</w:t>
      </w:r>
    </w:p>
    <w:p>
      <w:pPr>
        <w:pStyle w:val="Normal"/>
        <w:tabs>
          <w:tab w:val="clear" w:pos="540"/>
        </w:tabs>
        <w:autoSpaceDE w:val="false"/>
        <w:rPr>
          <w:rFonts w:cs="Arial"/>
        </w:rPr>
      </w:pPr>
      <w:r>
        <w:rPr>
          <w:rFonts w:cs="Arial"/>
        </w:rPr>
        <w:tab/>
        <w:t>Lindholm, Tod – Enron Wind</w:t>
      </w:r>
    </w:p>
    <w:p>
      <w:pPr>
        <w:pStyle w:val="Normal"/>
        <w:tabs>
          <w:tab w:val="clear" w:pos="540"/>
        </w:tabs>
        <w:autoSpaceDE w:val="false"/>
        <w:rPr>
          <w:rFonts w:cs="Arial"/>
        </w:rPr>
      </w:pPr>
      <w:r>
        <w:rPr>
          <w:rFonts w:cs="Arial"/>
        </w:rPr>
        <w:tab/>
        <w:t>Lipshutz, Cheryl – EES</w:t>
      </w:r>
    </w:p>
    <w:p>
      <w:pPr>
        <w:pStyle w:val="Normal"/>
        <w:tabs>
          <w:tab w:val="clear" w:pos="540"/>
        </w:tabs>
        <w:autoSpaceDE w:val="false"/>
        <w:rPr>
          <w:rFonts w:cs="Arial"/>
        </w:rPr>
      </w:pPr>
      <w:r>
        <w:rPr>
          <w:rFonts w:cs="Arial"/>
        </w:rPr>
        <w:tab/>
        <w:t>McKean, George – EGF</w:t>
      </w:r>
    </w:p>
    <w:p>
      <w:pPr>
        <w:pStyle w:val="Normal"/>
        <w:tabs>
          <w:tab w:val="clear" w:pos="540"/>
        </w:tabs>
        <w:autoSpaceDE w:val="false"/>
        <w:rPr>
          <w:rFonts w:cs="Arial"/>
        </w:rPr>
      </w:pPr>
      <w:r>
        <w:rPr>
          <w:rFonts w:cs="Arial"/>
        </w:rPr>
        <w:tab/>
        <w:t>McKillop, Gordon – EGF</w:t>
      </w:r>
    </w:p>
    <w:p>
      <w:pPr>
        <w:pStyle w:val="Normal"/>
        <w:tabs>
          <w:tab w:val="clear" w:pos="540"/>
        </w:tabs>
        <w:autoSpaceDE w:val="false"/>
        <w:rPr>
          <w:rFonts w:cs="Arial"/>
        </w:rPr>
      </w:pPr>
      <w:r>
        <w:rPr>
          <w:rFonts w:cs="Arial"/>
        </w:rPr>
        <w:tab/>
        <w:t>Schnapper, Barry - EGF</w:t>
      </w:r>
    </w:p>
    <w:p>
      <w:pPr>
        <w:pStyle w:val="Normal"/>
        <w:tabs>
          <w:tab w:val="clear" w:pos="540"/>
        </w:tabs>
        <w:autoSpaceDE w:val="false"/>
        <w:rPr>
          <w:rFonts w:cs="Arial"/>
        </w:rPr>
      </w:pPr>
      <w:r>
        <w:rPr>
          <w:rFonts w:cs="Arial"/>
        </w:rPr>
      </w:r>
    </w:p>
    <w:p>
      <w:pPr>
        <w:pStyle w:val="Normal"/>
        <w:tabs>
          <w:tab w:val="clear" w:pos="540"/>
        </w:tabs>
        <w:autoSpaceDE w:val="false"/>
        <w:rPr>
          <w:rFonts w:cs="Arial"/>
        </w:rPr>
      </w:pPr>
      <w:r>
        <w:rPr>
          <w:rFonts w:cs="Arial"/>
        </w:rPr>
        <w:t>Cc:</w:t>
        <w:tab/>
        <w:t>Business Unit General Counsels and Other Legal</w:t>
      </w:r>
    </w:p>
    <w:p>
      <w:pPr>
        <w:pStyle w:val="Footer"/>
        <w:tabs>
          <w:tab w:val="clear" w:pos="4320"/>
          <w:tab w:val="clear" w:pos="8640"/>
          <w:tab w:val="left" w:pos="1080" w:leader="none"/>
        </w:tabs>
        <w:autoSpaceDE w:val="false"/>
        <w:rPr/>
      </w:pPr>
      <w:r>
        <w:rPr/>
        <w:tab/>
        <w:t xml:space="preserve">Ale, John - Azurix </w:t>
      </w:r>
    </w:p>
    <w:p>
      <w:pPr>
        <w:pStyle w:val="Normal"/>
        <w:tabs>
          <w:tab w:val="clear" w:pos="540"/>
          <w:tab w:val="left" w:pos="1080" w:leader="none"/>
        </w:tabs>
        <w:autoSpaceDE w:val="false"/>
        <w:rPr>
          <w:rFonts w:cs="Arial"/>
        </w:rPr>
      </w:pPr>
      <w:r>
        <w:rPr>
          <w:rFonts w:cs="Arial"/>
        </w:rPr>
        <w:tab/>
        <w:t>Evans, Mark – Enron Europe</w:t>
      </w:r>
    </w:p>
    <w:p>
      <w:pPr>
        <w:pStyle w:val="Normal"/>
        <w:tabs>
          <w:tab w:val="clear" w:pos="540"/>
          <w:tab w:val="left" w:pos="1080" w:leader="none"/>
        </w:tabs>
        <w:autoSpaceDE w:val="false"/>
        <w:rPr>
          <w:rFonts w:cs="Arial"/>
        </w:rPr>
      </w:pPr>
      <w:r>
        <w:rPr>
          <w:rFonts w:cs="Arial"/>
        </w:rPr>
        <w:tab/>
        <w:t>Haedicke, Mark – Americas</w:t>
      </w:r>
    </w:p>
    <w:p>
      <w:pPr>
        <w:pStyle w:val="Normal"/>
        <w:tabs>
          <w:tab w:val="clear" w:pos="540"/>
          <w:tab w:val="left" w:pos="1080" w:leader="none"/>
        </w:tabs>
        <w:autoSpaceDE w:val="false"/>
        <w:rPr>
          <w:rFonts w:cs="Arial"/>
        </w:rPr>
      </w:pPr>
      <w:r>
        <w:rPr>
          <w:rFonts w:cs="Arial"/>
        </w:rPr>
        <w:tab/>
        <w:t>Labanowski, Elizabeth – EPSC (Property)</w:t>
      </w:r>
    </w:p>
    <w:p>
      <w:pPr>
        <w:pStyle w:val="Normal"/>
        <w:tabs>
          <w:tab w:val="clear" w:pos="540"/>
          <w:tab w:val="left" w:pos="1080" w:leader="none"/>
        </w:tabs>
        <w:autoSpaceDE w:val="false"/>
        <w:rPr>
          <w:rFonts w:cs="Arial"/>
        </w:rPr>
      </w:pPr>
      <w:r>
        <w:rPr>
          <w:rFonts w:cs="Arial"/>
        </w:rPr>
        <w:tab/>
        <w:t>Moran, Mike – ET&amp;S</w:t>
      </w:r>
    </w:p>
    <w:p>
      <w:pPr>
        <w:pStyle w:val="Normal"/>
        <w:tabs>
          <w:tab w:val="clear" w:pos="540"/>
          <w:tab w:val="left" w:pos="1080" w:leader="none"/>
        </w:tabs>
        <w:autoSpaceDE w:val="false"/>
        <w:rPr>
          <w:rFonts w:cs="Arial"/>
        </w:rPr>
      </w:pPr>
      <w:r>
        <w:rPr>
          <w:rFonts w:cs="Arial"/>
        </w:rPr>
        <w:tab/>
        <w:t>Mordaunt, Kristina - EBS</w:t>
      </w:r>
    </w:p>
    <w:p>
      <w:pPr>
        <w:pStyle w:val="Normal"/>
        <w:tabs>
          <w:tab w:val="clear" w:pos="540"/>
          <w:tab w:val="left" w:pos="1080" w:leader="none"/>
        </w:tabs>
        <w:autoSpaceDE w:val="false"/>
        <w:rPr>
          <w:rFonts w:cs="Arial"/>
        </w:rPr>
      </w:pPr>
      <w:r>
        <w:rPr>
          <w:rFonts w:cs="Arial"/>
        </w:rPr>
        <w:tab/>
        <w:t>Newell, Eric – Enron Wind</w:t>
      </w:r>
    </w:p>
    <w:p>
      <w:pPr>
        <w:pStyle w:val="Normal"/>
        <w:tabs>
          <w:tab w:val="clear" w:pos="540"/>
          <w:tab w:val="left" w:pos="1080" w:leader="none"/>
        </w:tabs>
        <w:autoSpaceDE w:val="false"/>
        <w:rPr>
          <w:rFonts w:cs="Arial"/>
        </w:rPr>
      </w:pPr>
      <w:r>
        <w:rPr>
          <w:rFonts w:cs="Arial"/>
        </w:rPr>
        <w:tab/>
        <w:t>Rogers, Rex – Corp.</w:t>
      </w:r>
    </w:p>
    <w:p>
      <w:pPr>
        <w:pStyle w:val="Normal"/>
        <w:tabs>
          <w:tab w:val="clear" w:pos="540"/>
          <w:tab w:val="left" w:pos="1080" w:leader="none"/>
        </w:tabs>
        <w:autoSpaceDE w:val="false"/>
        <w:rPr>
          <w:rFonts w:cs="Arial"/>
        </w:rPr>
      </w:pPr>
      <w:r>
        <w:rPr>
          <w:rFonts w:cs="Arial"/>
        </w:rPr>
        <w:tab/>
        <w:t>Sharp, Vicki - EES</w:t>
      </w:r>
    </w:p>
    <w:p>
      <w:pPr>
        <w:pStyle w:val="Normal"/>
        <w:tabs>
          <w:tab w:val="clear" w:pos="540"/>
          <w:tab w:val="left" w:pos="1080" w:leader="none"/>
        </w:tabs>
        <w:autoSpaceDE w:val="false"/>
        <w:rPr>
          <w:rFonts w:cs="Arial"/>
        </w:rPr>
      </w:pPr>
      <w:r>
        <w:rPr>
          <w:rFonts w:cs="Arial"/>
        </w:rPr>
        <w:tab/>
        <w:t>Walls, Rob – Corp.</w:t>
      </w:r>
    </w:p>
    <w:p>
      <w:pPr>
        <w:pStyle w:val="Normal"/>
        <w:tabs>
          <w:tab w:val="clear" w:pos="540"/>
          <w:tab w:val="left" w:pos="1080" w:leader="none"/>
        </w:tabs>
        <w:autoSpaceDE w:val="false"/>
        <w:rPr>
          <w:rFonts w:cs="Arial"/>
        </w:rPr>
      </w:pPr>
      <w:r>
        <w:rPr>
          <w:rFonts w:cs="Arial"/>
        </w:rPr>
      </w:r>
    </w:p>
    <w:p>
      <w:pPr>
        <w:pStyle w:val="Normal"/>
        <w:tabs>
          <w:tab w:val="clear" w:pos="540"/>
        </w:tabs>
        <w:autoSpaceDE w:val="false"/>
        <w:ind w:firstLine="720" w:end="0"/>
        <w:rPr>
          <w:rFonts w:cs="Arial"/>
        </w:rPr>
      </w:pPr>
      <w:r>
        <w:rPr>
          <w:rFonts w:cs="Arial"/>
        </w:rPr>
        <w:t>EGF-Legal</w:t>
      </w:r>
    </w:p>
    <w:p>
      <w:pPr>
        <w:pStyle w:val="Normal"/>
        <w:tabs>
          <w:tab w:val="clear" w:pos="540"/>
        </w:tabs>
        <w:autoSpaceDE w:val="false"/>
        <w:ind w:firstLine="720" w:end="0"/>
        <w:rPr>
          <w:rFonts w:cs="Arial"/>
        </w:rPr>
      </w:pPr>
      <w:r>
        <w:rPr>
          <w:rFonts w:cs="Arial"/>
        </w:rPr>
        <w:tab/>
        <w:t>Bahlmann, Gareth</w:t>
      </w:r>
    </w:p>
    <w:p>
      <w:pPr>
        <w:pStyle w:val="Normal"/>
        <w:tabs>
          <w:tab w:val="clear" w:pos="540"/>
        </w:tabs>
        <w:autoSpaceDE w:val="false"/>
        <w:ind w:firstLine="720" w:end="0"/>
        <w:rPr>
          <w:rFonts w:cs="Arial"/>
        </w:rPr>
      </w:pPr>
      <w:r>
        <w:rPr>
          <w:rFonts w:cs="Arial"/>
        </w:rPr>
        <w:tab/>
        <w:t>Chin, Julia</w:t>
      </w:r>
    </w:p>
    <w:p>
      <w:pPr>
        <w:pStyle w:val="Normal"/>
        <w:tabs>
          <w:tab w:val="clear" w:pos="540"/>
        </w:tabs>
        <w:autoSpaceDE w:val="false"/>
        <w:ind w:firstLine="720" w:end="0"/>
        <w:rPr>
          <w:rFonts w:cs="Arial"/>
        </w:rPr>
      </w:pPr>
      <w:r>
        <w:rPr>
          <w:rFonts w:cs="Arial"/>
        </w:rPr>
        <w:tab/>
        <w:t>Dobin, Nora</w:t>
      </w:r>
    </w:p>
    <w:p>
      <w:pPr>
        <w:pStyle w:val="Normal"/>
        <w:tabs>
          <w:tab w:val="clear" w:pos="540"/>
        </w:tabs>
        <w:autoSpaceDE w:val="false"/>
        <w:ind w:firstLine="720" w:end="0"/>
        <w:rPr>
          <w:rFonts w:cs="Arial"/>
        </w:rPr>
      </w:pPr>
      <w:r>
        <w:rPr>
          <w:rFonts w:cs="Arial"/>
        </w:rPr>
        <w:tab/>
        <w:t>Engeldorf, Rose</w:t>
      </w:r>
    </w:p>
    <w:p>
      <w:pPr>
        <w:pStyle w:val="Normal"/>
        <w:tabs>
          <w:tab w:val="clear" w:pos="540"/>
        </w:tabs>
        <w:autoSpaceDE w:val="false"/>
        <w:ind w:firstLine="720" w:end="0"/>
        <w:rPr>
          <w:rFonts w:cs="Arial"/>
        </w:rPr>
      </w:pPr>
      <w:r>
        <w:rPr>
          <w:rFonts w:cs="Arial"/>
        </w:rPr>
        <w:tab/>
        <w:t>Ephross, Joel</w:t>
      </w:r>
    </w:p>
    <w:p>
      <w:pPr>
        <w:pStyle w:val="Normal"/>
        <w:tabs>
          <w:tab w:val="clear" w:pos="540"/>
        </w:tabs>
        <w:autoSpaceDE w:val="false"/>
        <w:ind w:firstLine="720" w:end="0"/>
        <w:rPr>
          <w:rFonts w:cs="Arial"/>
        </w:rPr>
      </w:pPr>
      <w:r>
        <w:rPr>
          <w:rFonts w:cs="Arial"/>
        </w:rPr>
        <w:tab/>
        <w:t>Funk, Brenda</w:t>
      </w:r>
    </w:p>
    <w:p>
      <w:pPr>
        <w:pStyle w:val="Normal"/>
        <w:tabs>
          <w:tab w:val="clear" w:pos="540"/>
        </w:tabs>
        <w:autoSpaceDE w:val="false"/>
        <w:ind w:firstLine="720" w:end="0"/>
        <w:rPr>
          <w:rFonts w:cs="Arial"/>
        </w:rPr>
      </w:pPr>
      <w:r>
        <w:rPr>
          <w:rFonts w:cs="Arial"/>
        </w:rPr>
        <w:tab/>
        <w:t>Karathanos, Gina</w:t>
      </w:r>
    </w:p>
    <w:p>
      <w:pPr>
        <w:pStyle w:val="Normal"/>
        <w:tabs>
          <w:tab w:val="clear" w:pos="540"/>
        </w:tabs>
        <w:autoSpaceDE w:val="false"/>
        <w:ind w:firstLine="720" w:end="0"/>
        <w:rPr>
          <w:rFonts w:cs="Arial"/>
        </w:rPr>
      </w:pPr>
      <w:r>
        <w:rPr>
          <w:rFonts w:cs="Arial"/>
        </w:rPr>
        <w:tab/>
        <w:t>Trevino, Maricela</w:t>
      </w:r>
    </w:p>
    <w:p>
      <w:pPr>
        <w:pStyle w:val="Normal"/>
        <w:tabs>
          <w:tab w:val="clear" w:pos="540"/>
        </w:tabs>
        <w:autoSpaceDE w:val="false"/>
        <w:rPr>
          <w:rFonts w:cs="Arial"/>
        </w:rPr>
      </w:pPr>
      <w:r>
        <w:rPr>
          <w:rFonts w:cs="Arial"/>
        </w:rPr>
      </w:r>
    </w:p>
    <w:p>
      <w:pPr>
        <w:pStyle w:val="Normal"/>
        <w:tabs>
          <w:tab w:val="clear" w:pos="540"/>
        </w:tabs>
        <w:autoSpaceDE w:val="false"/>
        <w:rPr>
          <w:rFonts w:cs="Arial"/>
        </w:rPr>
      </w:pPr>
      <w:r>
        <w:rPr>
          <w:rFonts w:cs="Arial"/>
        </w:rPr>
        <w:tab/>
        <w:t>Tax</w:t>
      </w:r>
    </w:p>
    <w:p>
      <w:pPr>
        <w:pStyle w:val="Normal"/>
        <w:tabs>
          <w:tab w:val="clear" w:pos="540"/>
        </w:tabs>
        <w:autoSpaceDE w:val="false"/>
        <w:rPr>
          <w:rFonts w:cs="Arial"/>
        </w:rPr>
      </w:pPr>
      <w:r>
        <w:rPr>
          <w:rFonts w:cs="Arial"/>
        </w:rPr>
        <w:tab/>
        <w:tab/>
        <w:t>Sandt, Jim</w:t>
      </w:r>
    </w:p>
    <w:p>
      <w:pPr>
        <w:pStyle w:val="Normal"/>
        <w:tabs>
          <w:tab w:val="clear" w:pos="540"/>
        </w:tabs>
        <w:autoSpaceDE w:val="false"/>
        <w:rPr>
          <w:rFonts w:cs="Arial"/>
        </w:rPr>
      </w:pPr>
      <w:r>
        <w:rPr>
          <w:rFonts w:cs="Arial"/>
        </w:rPr>
      </w:r>
    </w:p>
    <w:p>
      <w:pPr>
        <w:pStyle w:val="Normal"/>
        <w:tabs>
          <w:tab w:val="clear" w:pos="540"/>
        </w:tabs>
        <w:autoSpaceDE w:val="false"/>
        <w:rPr>
          <w:rFonts w:cs="Arial"/>
        </w:rPr>
      </w:pPr>
      <w:r>
        <w:rPr>
          <w:rFonts w:cs="Arial"/>
        </w:rPr>
      </w:r>
    </w:p>
    <w:p>
      <w:pPr>
        <w:pStyle w:val="Normal"/>
        <w:tabs>
          <w:tab w:val="clear" w:pos="540"/>
        </w:tabs>
        <w:autoSpaceDE w:val="false"/>
        <w:ind w:firstLine="720" w:end="0"/>
        <w:rPr>
          <w:rFonts w:cs="Arial"/>
        </w:rPr>
      </w:pPr>
      <w:r>
        <w:rPr>
          <w:rFonts w:cs="Arial"/>
        </w:rPr>
        <w:t>Administrative Assistants</w:t>
      </w:r>
    </w:p>
    <w:p>
      <w:pPr>
        <w:pStyle w:val="Normal"/>
        <w:tabs>
          <w:tab w:val="clear" w:pos="540"/>
        </w:tabs>
        <w:autoSpaceDE w:val="false"/>
        <w:ind w:firstLine="720" w:end="0"/>
        <w:rPr>
          <w:rFonts w:cs="Arial"/>
        </w:rPr>
      </w:pPr>
      <w:r>
        <w:rPr>
          <w:rFonts w:cs="Arial"/>
        </w:rPr>
        <w:tab/>
        <w:t>Forsyth, Darlene</w:t>
      </w:r>
    </w:p>
    <w:p>
      <w:pPr>
        <w:pStyle w:val="Normal"/>
        <w:tabs>
          <w:tab w:val="clear" w:pos="540"/>
        </w:tabs>
        <w:autoSpaceDE w:val="false"/>
        <w:ind w:firstLine="720" w:end="0"/>
        <w:rPr>
          <w:rFonts w:cs="Arial"/>
        </w:rPr>
      </w:pPr>
      <w:r>
        <w:rPr>
          <w:rFonts w:cs="Arial"/>
        </w:rPr>
        <w:tab/>
        <w:t>Kumbalek, Lisa</w:t>
      </w:r>
    </w:p>
    <w:p>
      <w:pPr>
        <w:pStyle w:val="Normal"/>
        <w:tabs>
          <w:tab w:val="clear" w:pos="540"/>
        </w:tabs>
        <w:autoSpaceDE w:val="false"/>
        <w:ind w:firstLine="720" w:end="0"/>
        <w:rPr>
          <w:rFonts w:cs="Arial"/>
        </w:rPr>
      </w:pPr>
      <w:r>
        <w:rPr>
          <w:rFonts w:cs="Arial"/>
        </w:rPr>
        <w:tab/>
        <w:t>Trevino, Melba</w:t>
      </w:r>
    </w:p>
    <w:p>
      <w:pPr>
        <w:pStyle w:val="Normal"/>
        <w:tabs>
          <w:tab w:val="clear" w:pos="540"/>
        </w:tabs>
        <w:autoSpaceDE w:val="false"/>
        <w:rPr>
          <w:rFonts w:cs="Arial"/>
        </w:rPr>
      </w:pPr>
      <w:r>
        <w:rPr>
          <w:rFonts w:cs="Arial"/>
        </w:rPr>
      </w:r>
    </w:p>
    <w:p>
      <w:pPr>
        <w:pStyle w:val="Normal"/>
        <w:tabs>
          <w:tab w:val="clear" w:pos="540"/>
        </w:tabs>
        <w:autoSpaceDE w:val="false"/>
        <w:spacing w:lineRule="atLeast" w:line="240"/>
        <w:rPr>
          <w:rFonts w:cs="Arial"/>
        </w:rPr>
      </w:pPr>
      <w:r>
        <w:rPr>
          <w:rFonts w:cs="Arial"/>
        </w:rPr>
      </w:r>
    </w:p>
    <w:sectPr>
      <w:headerReference w:type="default" r:id="rId3"/>
      <w:headerReference w:type="first" r:id="rId4"/>
      <w:footerReference w:type="default" r:id="rId5"/>
      <w:footerReference w:type="first" r:id="rId6"/>
      <w:type w:val="nextPage"/>
      <w:pgSz w:w="12240" w:h="15840"/>
      <w:pgMar w:left="720" w:right="99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left" w:pos="2430" w:leader="none"/>
        <w:tab w:val="left" w:pos="5310" w:leader="none"/>
        <w:tab w:val="right" w:pos="10080" w:leader="none"/>
        <w:tab w:val="right" w:pos="10800" w:leader="none"/>
      </w:tabs>
      <w:rPr>
        <w:sz w:val="16"/>
      </w:rPr>
    </w:pPr>
    <w:r>
      <w:rPr>
        <w:b/>
        <w:sz w:val="16"/>
      </w:rPr>
      <w:t>Respect</w:t>
      <w:tab/>
      <w:t>Integrity</w:t>
      <w:tab/>
      <w:t>Communication</w:t>
      <w:tab/>
      <w:t>Excellence</w:t>
    </w:r>
  </w:p>
  <w:p>
    <w:pPr>
      <w:pStyle w:val="Footer"/>
      <w:tabs>
        <w:tab w:val="clear" w:pos="4320"/>
        <w:tab w:val="left" w:pos="3780" w:leader="none"/>
        <w:tab w:val="center" w:pos="7560" w:leader="none"/>
        <w:tab w:val="right" w:pos="8640" w:leader="none"/>
        <w:tab w:val="right" w:pos="10800" w:leader="none"/>
      </w:tabs>
      <w:rPr>
        <w:sz w:val="12"/>
      </w:rPr>
    </w:pPr>
    <w:r>
      <w:rPr>
        <w:sz w:val="12"/>
      </w:rPr>
      <w:t>Form 000-469-1 (7/92)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-285115</wp:posOffset>
              </wp:positionV>
              <wp:extent cx="3877310" cy="58102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581025"/>
                      </a:xfrm>
                      <a:prstGeom prst="rect"/>
                      <a:solidFill>
                        <a:srgbClr val="FFFFFF">
                          <a:alpha val="0"/>
                        </a:srgbClr>
                      </a:solidFill>
                    </wps:spPr>
                    <wps:txbx>
                      <w:txbxContent>
                        <w:p>
                          <w:pPr>
                            <w:pStyle w:val="Heading1"/>
                            <w:rPr/>
                          </w:pPr>
                          <w:r>
                            <w:rPr/>
                            <w:t>Interoffice</w:t>
                          </w:r>
                        </w:p>
                      </w:txbxContent>
                    </wps:txbx>
                    <wps:bodyPr anchor="t" lIns="0" tIns="0" rIns="0" bIns="0">
                      <a:noAutofit/>
                    </wps:bodyPr>
                  </wps:wsp>
                </a:graphicData>
              </a:graphic>
            </wp:anchor>
          </w:drawing>
        </mc:Choice>
        <mc:Fallback>
          <w:pict>
            <v:rect fillcolor="#FFFFFF" style="position:absolute;rotation:-0;width:305.3pt;height:45.75pt;mso-wrap-distance-left:9.35pt;mso-wrap-distance-right:9.35pt;mso-wrap-distance-top:0pt;mso-wrap-distance-bottom:0pt;margin-top:-22.45pt;mso-position-vertical-relative:text;margin-left:201.3pt;mso-position-horizontal-relative:page">
              <v:fill opacity="0f"/>
              <v:textbox inset="0in,0in,0in,0in">
                <w:txbxContent>
                  <w:p>
                    <w:pPr>
                      <w:pStyle w:val="Heading1"/>
                      <w:rPr/>
                    </w:pPr>
                    <w:r>
                      <w:rPr/>
                      <w:t>Interoffice</w:t>
                    </w:r>
                  </w:p>
                </w:txbxContent>
              </v:textbox>
              <w10:wrap type="square"/>
            </v:rect>
          </w:pict>
        </mc:Fallback>
      </mc:AlternateContent>
    </w:r>
    <w:r>
      <mc:AlternateContent>
        <mc:Choice Requires="wps">
          <w:drawing>
            <wp:anchor behindDoc="0" distT="0" distB="0" distL="118745" distR="118745" simplePos="0" locked="0" layoutInCell="0" allowOverlap="1" relativeHeight="4">
              <wp:simplePos x="0" y="0"/>
              <wp:positionH relativeFrom="page">
                <wp:posOffset>2556510</wp:posOffset>
              </wp:positionH>
              <wp:positionV relativeFrom="paragraph">
                <wp:posOffset>-56515</wp:posOffset>
              </wp:positionV>
              <wp:extent cx="3877310" cy="352425"/>
              <wp:effectExtent l="0" t="0" r="0" b="0"/>
              <wp:wrapSquare wrapText="bothSides"/>
              <wp:docPr id="3" name="Frame2"/>
              <a:graphic xmlns:a="http://schemas.openxmlformats.org/drawingml/2006/main">
                <a:graphicData uri="http://schemas.microsoft.com/office/word/2010/wordprocessingShape">
                  <wps:wsp>
                    <wps:cNvSpPr txBox="1"/>
                    <wps:spPr>
                      <a:xfrm>
                        <a:off x="0" y="0"/>
                        <a:ext cx="3877310" cy="352425"/>
                      </a:xfrm>
                      <a:prstGeom prst="rect"/>
                      <a:solidFill>
                        <a:srgbClr val="FFFFFF">
                          <a:alpha val="0"/>
                        </a:srgbClr>
                      </a:solidFill>
                    </wps:spPr>
                    <wps:txbx>
                      <w:txbxContent>
                        <w:p>
                          <w:pPr>
                            <w:pStyle w:val="Normal"/>
                            <w:ind w:start="3600" w:end="0"/>
                            <w:rPr>
                              <w:b/>
                              <w:sz w:val="32"/>
                            </w:rPr>
                          </w:pPr>
                          <w:r>
                            <w:rPr>
                              <w:b/>
                              <w:sz w:val="32"/>
                            </w:rPr>
                            <w:t>Memorandum</w:t>
                          </w:r>
                        </w:p>
                      </w:txbxContent>
                    </wps:txbx>
                    <wps:bodyPr anchor="t" lIns="0" tIns="0" rIns="0" bIns="0">
                      <a:noAutofit/>
                    </wps:bodyPr>
                  </wps:wsp>
                </a:graphicData>
              </a:graphic>
            </wp:anchor>
          </w:drawing>
        </mc:Choice>
        <mc:Fallback>
          <w:pict>
            <v:rect fillcolor="#FFFFFF" style="position:absolute;rotation:-0;width:305.3pt;height:27.75pt;mso-wrap-distance-left:9.35pt;mso-wrap-distance-right:9.35pt;mso-wrap-distance-top:0pt;mso-wrap-distance-bottom:0pt;margin-top:-4.45pt;mso-position-vertical-relative:text;margin-left:201.3pt;mso-position-horizontal-relative:page">
              <v:fill opacity="0f"/>
              <v:textbox inset="0in,0in,0in,0in">
                <w:txbxContent>
                  <w:p>
                    <w:pPr>
                      <w:pStyle w:val="Normal"/>
                      <w:ind w:start="3600" w:end="0"/>
                      <w:rPr>
                        <w:b/>
                        <w:sz w:val="32"/>
                      </w:rPr>
                    </w:pPr>
                    <w:r>
                      <w:rPr>
                        <w:b/>
                        <w:sz w:val="32"/>
                      </w:rPr>
                      <w:t>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440"/>
        </w:tabs>
        <w:ind w:start="1440" w:hanging="720"/>
      </w:pPr>
      <w:rPr/>
    </w:lvl>
  </w:abstractNum>
  <w:num w:numId="1">
    <w:abstractNumId w:val="1"/>
  </w:num>
  <w:num w:numId="2">
    <w:abstractNumId w:val="2"/>
  </w:num>
</w:numbering>
</file>

<file path=word/settings.xml><?xml version="1.0" encoding="utf-8"?>
<w:settings xmlns:w="http://schemas.openxmlformats.org/wordprocessingml/2006/main">
  <w:zoom w:percent="75"/>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bidi="ar-SA" w:eastAsia="zh-CN"/>
    </w:rPr>
  </w:style>
  <w:style w:type="paragraph" w:styleId="Heading1">
    <w:name w:val="heading 1"/>
    <w:basedOn w:val="Normal"/>
    <w:next w:val="Normal"/>
    <w:qFormat/>
    <w:pPr>
      <w:keepNext w:val="true"/>
      <w:numPr>
        <w:ilvl w:val="0"/>
        <w:numId w:val="1"/>
      </w:numPr>
      <w:ind w:hanging="0" w:start="3600" w:end="0"/>
      <w:outlineLvl w:val="0"/>
    </w:pPr>
    <w:rPr>
      <w:b/>
      <w:sz w:val="32"/>
    </w:rPr>
  </w:style>
  <w:style w:type="paragraph" w:styleId="Heading2">
    <w:name w:val="heading 2"/>
    <w:basedOn w:val="Normal"/>
    <w:next w:val="Normal"/>
    <w:qFormat/>
    <w:pPr>
      <w:keepNext w:val="true"/>
      <w:numPr>
        <w:ilvl w:val="1"/>
        <w:numId w:val="1"/>
      </w:numPr>
      <w:ind w:hanging="0" w:start="0" w:end="540"/>
      <w:outlineLvl w:val="1"/>
    </w:pPr>
    <w:rPr>
      <w:b/>
      <w:sz w:val="22"/>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paragraph" w:styleId="Heading4">
    <w:name w:val="heading 4"/>
    <w:basedOn w:val="Normal"/>
    <w:next w:val="Normal"/>
    <w:qFormat/>
    <w:pPr>
      <w:keepNext w:val="true"/>
      <w:numPr>
        <w:ilvl w:val="3"/>
        <w:numId w:val="1"/>
      </w:numPr>
      <w:tabs>
        <w:tab w:val="clear" w:pos="540"/>
        <w:tab w:val="left" w:pos="720" w:leader="none"/>
        <w:tab w:val="left" w:pos="1080" w:leader="none"/>
      </w:tabs>
      <w:outlineLvl w:val="3"/>
    </w:pPr>
    <w:rPr>
      <w:b/>
      <w:sz w:val="22"/>
    </w:rPr>
  </w:style>
  <w:style w:type="paragraph" w:styleId="Heading5">
    <w:name w:val="heading 5"/>
    <w:basedOn w:val="Normal"/>
    <w:next w:val="Normal"/>
    <w:qFormat/>
    <w:pPr>
      <w:keepNext w:val="true"/>
      <w:numPr>
        <w:ilvl w:val="4"/>
        <w:numId w:val="1"/>
      </w:numPr>
      <w:ind w:hanging="468" w:start="540" w:end="0"/>
      <w:outlineLvl w:val="4"/>
    </w:pPr>
    <w:rPr>
      <w:b/>
    </w:rPr>
  </w:style>
  <w:style w:type="paragraph" w:styleId="Heading6">
    <w:name w:val="heading 6"/>
    <w:basedOn w:val="Normal"/>
    <w:next w:val="Normal"/>
    <w:qFormat/>
    <w:pPr>
      <w:keepNext w:val="true"/>
      <w:numPr>
        <w:ilvl w:val="5"/>
        <w:numId w:val="1"/>
      </w:numPr>
      <w:ind w:hanging="0" w:start="0" w:end="540"/>
      <w:outlineLvl w:val="5"/>
    </w:pPr>
    <w:rPr>
      <w:sz w:val="22"/>
      <w:u w:val="single"/>
    </w:rPr>
  </w:style>
  <w:style w:type="paragraph" w:styleId="Heading7">
    <w:name w:val="heading 7"/>
    <w:basedOn w:val="Normal"/>
    <w:next w:val="Normal"/>
    <w:qFormat/>
    <w:pPr>
      <w:keepNext w:val="true"/>
      <w:numPr>
        <w:ilvl w:val="6"/>
        <w:numId w:val="1"/>
      </w:numPr>
      <w:jc w:val="end"/>
      <w:outlineLvl w:val="6"/>
    </w:pPr>
    <w:rPr>
      <w:b/>
      <w:sz w:val="28"/>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u w:val="none"/>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sz w:val="20"/>
    </w:rPr>
  </w:style>
  <w:style w:type="paragraph" w:styleId="Body">
    <w:name w:val="Body"/>
    <w:basedOn w:val="Normal"/>
    <w:qFormat/>
    <w:pPr>
      <w:tabs>
        <w:tab w:val="clear" w:pos="540"/>
      </w:tabs>
      <w:ind w:hanging="0" w:start="72" w:end="0"/>
    </w:pPr>
    <w:rPr>
      <w:color w:val="000080"/>
      <w:sz w:val="20"/>
    </w:rPr>
  </w:style>
  <w:style w:type="paragraph" w:styleId="Department">
    <w:name w:val="Department"/>
    <w:basedOn w:val="Normal"/>
    <w:qFormat/>
    <w:pPr>
      <w:tabs>
        <w:tab w:val="clear" w:pos="540"/>
      </w:tabs>
    </w:pPr>
    <w:rPr>
      <w:sz w:val="20"/>
    </w:rPr>
  </w:style>
  <w:style w:type="paragraph" w:styleId="BlockText">
    <w:name w:val="Block Text"/>
    <w:basedOn w:val="Normal"/>
    <w:qFormat/>
    <w:pPr>
      <w:ind w:hanging="0" w:start="72" w:end="54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2001-04-25T20:26:00Z</dcterms:created>
  <dc:creator>Enron</dc:creator>
  <dc:description>AttachmentPlease have John sign and return the original document to me.Attached is a Services Agreement for Financial Transactions between ECT and ECTC which Greg Whalley has executed.  Confirmed that service fee would not hit John’s P &amp; L.  Please l</dc:description>
  <cp:keywords>service please john if financial</cp:keywords>
  <dc:language>en-CA</dc:language>
  <cp:lastModifiedBy>dforsyt</cp:lastModifiedBy>
  <cp:lastPrinted>2001-04-11T15:10:00Z</cp:lastPrinted>
  <dcterms:modified xsi:type="dcterms:W3CDTF">2001-04-25T20:26:00Z</dcterms:modified>
  <cp:revision>2</cp:revision>
  <dc:subject/>
  <dc:title>Eron Capital &amp; Trade Resources Memo</dc:title>
</cp:coreProperties>
</file>