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Business Continuity Customer Communication Plan</w:t>
      </w:r>
    </w:p>
    <w:p>
      <w:pPr>
        <w:pStyle w:val="Normal"/>
        <w:autoSpaceDE w:val="false"/>
        <w:jc w:val="center"/>
        <w:rPr>
          <w:rFonts w:ascii="Arial" w:hAnsi="Arial" w:cs="Arial"/>
          <w:b/>
          <w:bCs/>
          <w:szCs w:val="20"/>
        </w:rPr>
      </w:pPr>
      <w:r>
        <w:rPr>
          <w:rFonts w:cs="Arial" w:ascii="Arial" w:hAnsi="Arial"/>
          <w:b/>
          <w:bCs/>
          <w:szCs w:val="20"/>
        </w:rPr>
        <w:t>Gas Logistics/Marketing</w:t>
      </w:r>
    </w:p>
    <w:p>
      <w:pPr>
        <w:pStyle w:val="Heading1"/>
        <w:ind w:hanging="0" w:start="0"/>
        <w:rPr/>
      </w:pPr>
      <w:r>
        <w:rPr/>
        <w:t>September 27, 2001</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sz w:val="20"/>
          <w:szCs w:val="20"/>
          <w:u w:val="single"/>
        </w:rPr>
        <w:t>Customer Notification</w:t>
      </w:r>
      <w:r>
        <w:rPr>
          <w:rFonts w:cs="Arial" w:ascii="Arial" w:hAnsi="Arial"/>
          <w:sz w:val="20"/>
          <w:szCs w:val="20"/>
        </w:rPr>
        <w:t xml:space="preserve">: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Goal: Communicating to key customer personnel accurate and timely information concerning the administrative operations of the gas pipelines during a crisis or emergency situation.  </w:t>
      </w:r>
    </w:p>
    <w:p>
      <w:pPr>
        <w:pStyle w:val="Normal"/>
        <w:autoSpaceDE w:val="false"/>
        <w:rPr>
          <w:rFonts w:ascii="Arial" w:hAnsi="Arial" w:cs="Arial"/>
          <w:sz w:val="20"/>
          <w:szCs w:val="20"/>
        </w:rPr>
      </w:pPr>
      <w:r>
        <w:rPr>
          <w:rFonts w:cs="Arial" w:ascii="Arial" w:hAnsi="Arial"/>
          <w:sz w:val="20"/>
          <w:szCs w:val="20"/>
        </w:rPr>
      </w:r>
    </w:p>
    <w:p>
      <w:pPr>
        <w:pStyle w:val="Normal"/>
        <w:autoSpaceDE w:val="false"/>
        <w:ind w:start="360" w:end="0"/>
        <w:rPr/>
      </w:pPr>
      <w:r>
        <w:rPr>
          <w:rFonts w:cs="Arial" w:ascii="Arial" w:hAnsi="Arial"/>
          <w:sz w:val="20"/>
          <w:szCs w:val="20"/>
          <w:u w:val="single"/>
        </w:rPr>
        <w:t xml:space="preserve">E-Mail: </w:t>
      </w:r>
      <w:r>
        <w:rPr>
          <w:rFonts w:cs="Arial" w:ascii="Arial" w:hAnsi="Arial"/>
          <w:sz w:val="20"/>
          <w:szCs w:val="20"/>
        </w:rPr>
        <w:t xml:space="preserve"> </w:t>
      </w:r>
    </w:p>
    <w:p>
      <w:pPr>
        <w:pStyle w:val="Normal"/>
        <w:autoSpaceDE w:val="false"/>
        <w:ind w:start="360" w:end="0"/>
        <w:rPr>
          <w:rFonts w:ascii="Arial" w:hAnsi="Arial" w:cs="Arial"/>
          <w:sz w:val="20"/>
          <w:szCs w:val="20"/>
        </w:rPr>
      </w:pPr>
      <w:r>
        <w:rPr>
          <w:rFonts w:cs="Arial" w:ascii="Arial" w:hAnsi="Arial"/>
          <w:sz w:val="20"/>
          <w:szCs w:val="20"/>
        </w:rPr>
        <w:t xml:space="preserve">Develop an efficient method of e-mail distribution inside and outside the Enron firewall. Distribution lists should be developed at two contact levels, daily business and management/executive.  The lists should also be able to be sorted by pipeline customer and EDI user.  The distribution lists should be periodically updated and maintained through the PLE system or from the Gas Logistics/Commercial organization.  An additional step is to contract with a third party ISP for e-mail distribution outside the Enron firewall.  This will allow notifications to be mailed when the normal communications through the internet or Outlook are disrupted. </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u w:val="single"/>
        </w:rPr>
      </w:pPr>
      <w:r>
        <w:rPr>
          <w:rFonts w:cs="Arial" w:ascii="Arial" w:hAnsi="Arial"/>
          <w:sz w:val="20"/>
          <w:szCs w:val="20"/>
          <w:u w:val="single"/>
        </w:rPr>
        <w:t>Phone/Pager:</w:t>
      </w:r>
    </w:p>
    <w:p>
      <w:pPr>
        <w:pStyle w:val="BodyText"/>
        <w:ind w:start="360" w:end="0"/>
        <w:rPr>
          <w:sz w:val="20"/>
        </w:rPr>
      </w:pPr>
      <w:r>
        <w:rPr>
          <w:sz w:val="20"/>
        </w:rPr>
        <w:t xml:space="preserve">A current phone and pager number list should be available.  This list would be used to contact customers in crisis and emergency situations.  </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u w:val="single"/>
        </w:rPr>
      </w:pPr>
      <w:r>
        <w:rPr>
          <w:rFonts w:cs="Arial" w:ascii="Arial" w:hAnsi="Arial"/>
          <w:sz w:val="20"/>
          <w:szCs w:val="20"/>
          <w:u w:val="single"/>
        </w:rPr>
        <w:t>Pop-up/Internet Notification:</w:t>
      </w:r>
    </w:p>
    <w:p>
      <w:pPr>
        <w:pStyle w:val="Normal"/>
        <w:autoSpaceDE w:val="false"/>
        <w:ind w:start="360" w:end="0"/>
        <w:rPr>
          <w:rFonts w:ascii="Arial" w:hAnsi="Arial" w:cs="Arial"/>
          <w:sz w:val="20"/>
          <w:szCs w:val="20"/>
          <w:u w:val="single"/>
        </w:rPr>
      </w:pPr>
      <w:r>
        <w:rPr>
          <w:rFonts w:cs="Arial" w:ascii="Arial" w:hAnsi="Arial"/>
          <w:sz w:val="20"/>
          <w:szCs w:val="20"/>
          <w:u w:val="single"/>
        </w:rPr>
      </w:r>
    </w:p>
    <w:p>
      <w:pPr>
        <w:pStyle w:val="Normal"/>
        <w:autoSpaceDE w:val="false"/>
        <w:ind w:start="360" w:end="0"/>
        <w:rPr>
          <w:rFonts w:ascii="Arial" w:hAnsi="Arial" w:cs="Arial"/>
          <w:sz w:val="20"/>
          <w:szCs w:val="20"/>
        </w:rPr>
      </w:pPr>
      <w:r>
        <w:rPr>
          <w:rFonts w:cs="Arial" w:ascii="Arial" w:hAnsi="Arial"/>
          <w:sz w:val="20"/>
          <w:szCs w:val="20"/>
        </w:rPr>
        <w:t xml:space="preserve">Notify on-line customers through a “pop-up” screen that a situation exists that could disrupt their business.  This “pop-up” mechanism is the most immediate method of communication but will most likely reach the fewest number of customers.  </w:t>
      </w:r>
    </w:p>
    <w:p>
      <w:pPr>
        <w:pStyle w:val="Normal"/>
        <w:autoSpaceDE w:val="false"/>
        <w:rPr>
          <w:rFonts w:ascii="Arial" w:hAnsi="Arial" w:cs="Arial"/>
          <w:sz w:val="20"/>
          <w:szCs w:val="20"/>
        </w:rPr>
      </w:pPr>
      <w:r>
        <w:rPr>
          <w:rFonts w:cs="Arial" w:ascii="Arial" w:hAnsi="Arial"/>
          <w:sz w:val="20"/>
          <w:szCs w:val="20"/>
        </w:rPr>
      </w:r>
    </w:p>
    <w:p>
      <w:pPr>
        <w:pStyle w:val="Heading2"/>
        <w:ind w:hanging="0" w:start="0"/>
        <w:rPr>
          <w:sz w:val="20"/>
        </w:rPr>
      </w:pPr>
      <w:r>
        <w:rPr>
          <w:sz w:val="20"/>
        </w:rPr>
        <w:t xml:space="preserve">IT Business Application Status Communication </w:t>
      </w:r>
    </w:p>
    <w:p>
      <w:pPr>
        <w:pStyle w:val="Normal"/>
        <w:autoSpaceDE w:val="false"/>
        <w:rPr>
          <w:rFonts w:ascii="Arial" w:hAnsi="Arial" w:cs="Arial"/>
          <w:sz w:val="20"/>
          <w:szCs w:val="20"/>
          <w:u w:val="single"/>
        </w:rPr>
      </w:pPr>
      <w:r>
        <w:rPr>
          <w:rFonts w:cs="Arial" w:ascii="Arial" w:hAnsi="Arial"/>
          <w:sz w:val="20"/>
          <w:szCs w:val="20"/>
          <w:u w:val="single"/>
        </w:rPr>
      </w:r>
    </w:p>
    <w:p>
      <w:pPr>
        <w:pStyle w:val="BodyText"/>
        <w:rPr>
          <w:sz w:val="20"/>
        </w:rPr>
      </w:pPr>
      <w:r>
        <w:rPr>
          <w:sz w:val="20"/>
        </w:rPr>
        <w:t xml:space="preserve">Goal:  Determine the status of critical business applications through processes and/or a diagnostic tool and communicating that status to external customers in a consistent and timely manner.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The following applications and responsible groups were identified: </w:t>
      </w:r>
    </w:p>
    <w:p>
      <w:pPr>
        <w:pStyle w:val="Normal"/>
        <w:autoSpaceDE w:val="false"/>
        <w:rPr>
          <w:rFonts w:ascii="Arial" w:hAnsi="Arial" w:cs="Arial"/>
          <w:sz w:val="20"/>
          <w:szCs w:val="20"/>
        </w:rPr>
      </w:pPr>
      <w:r>
        <w:rPr>
          <w:rFonts w:cs="Arial" w:ascii="Arial" w:hAnsi="Arial"/>
          <w:sz w:val="20"/>
          <w:szCs w:val="20"/>
        </w:rPr>
      </w:r>
    </w:p>
    <w:tbl>
      <w:tblPr>
        <w:tblW w:w="8856" w:type="dxa"/>
        <w:jc w:val="start"/>
        <w:tblInd w:w="0" w:type="dxa"/>
        <w:tblLayout w:type="fixed"/>
        <w:tblCellMar>
          <w:top w:w="0" w:type="dxa"/>
          <w:start w:w="108" w:type="dxa"/>
          <w:bottom w:w="0" w:type="dxa"/>
          <w:end w:w="108" w:type="dxa"/>
        </w:tblCellMar>
      </w:tblPr>
      <w:tblGrid>
        <w:gridCol w:w="1481"/>
        <w:gridCol w:w="3022"/>
        <w:gridCol w:w="4353"/>
      </w:tblGrid>
      <w:tr>
        <w:trPr/>
        <w:tc>
          <w:tcPr>
            <w:tcW w:w="4503"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APPLICATION</w:t>
            </w:r>
          </w:p>
        </w:tc>
        <w:tc>
          <w:tcPr>
            <w:tcW w:w="43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RESPONSIBLE GROUP</w:t>
            </w:r>
          </w:p>
        </w:tc>
      </w:tr>
      <w:tr>
        <w:trPr/>
        <w:tc>
          <w:tcPr>
            <w:tcW w:w="4503"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Outlook (Exchange servers)</w:t>
            </w:r>
          </w:p>
        </w:tc>
        <w:tc>
          <w:tcPr>
            <w:tcW w:w="43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Corporate</w:t>
            </w:r>
          </w:p>
        </w:tc>
      </w:tr>
      <w:tr>
        <w:trPr/>
        <w:tc>
          <w:tcPr>
            <w:tcW w:w="4503"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Mailman.Enron.com</w:t>
            </w:r>
          </w:p>
        </w:tc>
        <w:tc>
          <w:tcPr>
            <w:tcW w:w="43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Corporate</w:t>
            </w:r>
          </w:p>
        </w:tc>
      </w:tr>
      <w:tr>
        <w:trPr/>
        <w:tc>
          <w:tcPr>
            <w:tcW w:w="148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Websites</w:t>
            </w:r>
          </w:p>
          <w:p>
            <w:pPr>
              <w:pStyle w:val="Normal"/>
              <w:rPr>
                <w:rFonts w:ascii="Arial" w:hAnsi="Arial" w:cs="Arial"/>
                <w:sz w:val="20"/>
              </w:rPr>
            </w:pPr>
            <w:r>
              <w:rPr>
                <w:rFonts w:cs="Arial" w:ascii="Arial" w:hAnsi="Arial"/>
                <w:sz w:val="20"/>
              </w:rPr>
              <w:t>Servers</w:t>
            </w:r>
          </w:p>
        </w:tc>
        <w:tc>
          <w:tcPr>
            <w:tcW w:w="3022" w:type="dxa"/>
            <w:tcBorders>
              <w:top w:val="single" w:sz="4" w:space="0" w:color="000000"/>
              <w:start w:val="single" w:sz="4" w:space="0" w:color="000000"/>
              <w:bottom w:val="single" w:sz="4" w:space="0" w:color="000000"/>
              <w:end w:val="single" w:sz="4" w:space="0" w:color="000000"/>
            </w:tcBorders>
          </w:tcPr>
          <w:p>
            <w:pPr>
              <w:pStyle w:val="Normal"/>
              <w:autoSpaceDE w:val="false"/>
              <w:rPr>
                <w:rFonts w:ascii="Arial" w:hAnsi="Arial" w:cs="Arial"/>
                <w:sz w:val="20"/>
              </w:rPr>
            </w:pPr>
            <w:r>
              <w:rPr>
                <w:rFonts w:cs="Arial" w:ascii="Arial" w:hAnsi="Arial"/>
                <w:sz w:val="20"/>
                <w:u w:val="single"/>
              </w:rPr>
              <w:t>www.hottap.enron.com</w:t>
            </w:r>
          </w:p>
          <w:p>
            <w:pPr>
              <w:pStyle w:val="Normal"/>
              <w:autoSpaceDE w:val="false"/>
              <w:rPr>
                <w:rFonts w:ascii="Arial" w:hAnsi="Arial" w:cs="Arial"/>
                <w:sz w:val="20"/>
              </w:rPr>
            </w:pPr>
            <w:r>
              <w:rPr>
                <w:rFonts w:cs="Arial" w:ascii="Arial" w:hAnsi="Arial"/>
                <w:sz w:val="20"/>
                <w:u w:val="single"/>
              </w:rPr>
              <w:t>www.hottap2.enron.com</w:t>
            </w:r>
          </w:p>
          <w:p>
            <w:pPr>
              <w:pStyle w:val="Normal"/>
              <w:autoSpaceDE w:val="false"/>
              <w:rPr>
                <w:rFonts w:ascii="Arial" w:hAnsi="Arial" w:cs="Arial"/>
                <w:sz w:val="20"/>
                <w:u w:val="single"/>
              </w:rPr>
            </w:pPr>
            <w:r>
              <w:rPr>
                <w:rFonts w:cs="Arial" w:ascii="Arial" w:hAnsi="Arial"/>
                <w:sz w:val="20"/>
                <w:u w:val="single"/>
              </w:rPr>
              <w:t>www.hottap.enroncorp.com</w:t>
            </w:r>
          </w:p>
          <w:p>
            <w:pPr>
              <w:pStyle w:val="Normal"/>
              <w:autoSpaceDE w:val="false"/>
              <w:rPr>
                <w:rFonts w:ascii="Arial" w:hAnsi="Arial" w:cs="Arial"/>
                <w:sz w:val="20"/>
              </w:rPr>
            </w:pPr>
            <w:r>
              <w:rPr>
                <w:rFonts w:cs="Arial" w:ascii="Arial" w:hAnsi="Arial"/>
                <w:sz w:val="20"/>
                <w:u w:val="single"/>
              </w:rPr>
              <w:t>www.hottap2.enroncorp.com</w:t>
            </w:r>
          </w:p>
          <w:p>
            <w:pPr>
              <w:pStyle w:val="Normal"/>
              <w:autoSpaceDE w:val="false"/>
              <w:rPr>
                <w:rFonts w:ascii="Arial" w:hAnsi="Arial" w:cs="Arial"/>
                <w:sz w:val="20"/>
                <w:u w:val="single"/>
              </w:rPr>
            </w:pPr>
            <w:r>
              <w:rPr>
                <w:rFonts w:cs="Arial" w:ascii="Arial" w:hAnsi="Arial"/>
                <w:sz w:val="20"/>
                <w:u w:val="single"/>
              </w:rPr>
              <w:t>hottap.enroncorp.com</w:t>
            </w:r>
          </w:p>
          <w:p>
            <w:pPr>
              <w:pStyle w:val="Normal"/>
              <w:rPr>
                <w:rFonts w:ascii="Arial" w:hAnsi="Arial" w:cs="Arial"/>
                <w:sz w:val="20"/>
                <w:u w:val="single"/>
              </w:rPr>
            </w:pPr>
            <w:r>
              <w:rPr>
                <w:rFonts w:cs="Arial" w:ascii="Arial" w:hAnsi="Arial"/>
                <w:sz w:val="20"/>
                <w:u w:val="single"/>
              </w:rPr>
              <w:t>hottap2.enron.com</w:t>
            </w:r>
          </w:p>
          <w:p>
            <w:pPr>
              <w:pStyle w:val="Normal"/>
              <w:rPr>
                <w:rFonts w:ascii="Arial" w:hAnsi="Arial" w:cs="Arial"/>
                <w:sz w:val="20"/>
                <w:u w:val="single"/>
              </w:rPr>
            </w:pPr>
            <w:hyperlink r:id="rId2">
              <w:r>
                <w:rPr>
                  <w:rStyle w:val="Hyperlink"/>
                  <w:rFonts w:cs="Arial" w:ascii="Arial" w:hAnsi="Arial"/>
                  <w:color w:val="000000"/>
                  <w:sz w:val="20"/>
                </w:rPr>
                <w:t>www.infosource.enron.com</w:t>
              </w:r>
            </w:hyperlink>
          </w:p>
          <w:p>
            <w:pPr>
              <w:pStyle w:val="Normal"/>
              <w:rPr>
                <w:rFonts w:ascii="Arial" w:hAnsi="Arial" w:cs="Arial"/>
                <w:sz w:val="20"/>
              </w:rPr>
            </w:pPr>
            <w:r>
              <w:rPr>
                <w:rFonts w:cs="Arial" w:ascii="Arial" w:hAnsi="Arial"/>
                <w:sz w:val="20"/>
                <w:u w:val="single"/>
              </w:rPr>
              <w:t>hottap2.enron.com\alt.htm</w:t>
            </w:r>
          </w:p>
        </w:tc>
        <w:tc>
          <w:tcPr>
            <w:tcW w:w="43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ETS</w:t>
            </w:r>
          </w:p>
        </w:tc>
      </w:tr>
      <w:tr>
        <w:trPr/>
        <w:tc>
          <w:tcPr>
            <w:tcW w:w="4503"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EDI Hub</w:t>
            </w:r>
          </w:p>
        </w:tc>
        <w:tc>
          <w:tcPr>
            <w:tcW w:w="43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Corporate</w:t>
            </w:r>
          </w:p>
        </w:tc>
      </w:tr>
      <w:tr>
        <w:trPr/>
        <w:tc>
          <w:tcPr>
            <w:tcW w:w="4503"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EDI Net</w:t>
            </w:r>
          </w:p>
        </w:tc>
        <w:tc>
          <w:tcPr>
            <w:tcW w:w="43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Corporate</w:t>
            </w:r>
          </w:p>
        </w:tc>
      </w:tr>
      <w:tr>
        <w:trPr/>
        <w:tc>
          <w:tcPr>
            <w:tcW w:w="4503"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VPN</w:t>
            </w:r>
          </w:p>
        </w:tc>
        <w:tc>
          <w:tcPr>
            <w:tcW w:w="43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Corporate</w:t>
            </w:r>
          </w:p>
        </w:tc>
      </w:tr>
      <w:tr>
        <w:trPr/>
        <w:tc>
          <w:tcPr>
            <w:tcW w:w="4503"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Pgas</w:t>
            </w:r>
          </w:p>
        </w:tc>
        <w:tc>
          <w:tcPr>
            <w:tcW w:w="43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ETS</w:t>
            </w:r>
          </w:p>
        </w:tc>
      </w:tr>
      <w:tr>
        <w:trPr/>
        <w:tc>
          <w:tcPr>
            <w:tcW w:w="4503"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TMS</w:t>
            </w:r>
          </w:p>
        </w:tc>
        <w:tc>
          <w:tcPr>
            <w:tcW w:w="43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ETS</w:t>
            </w:r>
          </w:p>
        </w:tc>
      </w:tr>
      <w:tr>
        <w:trPr/>
        <w:tc>
          <w:tcPr>
            <w:tcW w:w="4503"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CMS  (as of 10/01)</w:t>
            </w:r>
          </w:p>
        </w:tc>
        <w:tc>
          <w:tcPr>
            <w:tcW w:w="43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ETS</w:t>
            </w:r>
          </w:p>
        </w:tc>
      </w:tr>
      <w:tr>
        <w:trPr/>
        <w:tc>
          <w:tcPr>
            <w:tcW w:w="4503"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CRS  (as of 10/01)</w:t>
            </w:r>
          </w:p>
        </w:tc>
        <w:tc>
          <w:tcPr>
            <w:tcW w:w="43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ETS</w:t>
            </w:r>
          </w:p>
        </w:tc>
      </w:tr>
    </w:tbl>
    <w:p>
      <w:pPr>
        <w:pStyle w:val="Normal"/>
        <w:rPr>
          <w:rFonts w:ascii="Arial" w:hAnsi="Arial" w:cs="Arial"/>
          <w:sz w:val="20"/>
        </w:rPr>
      </w:pPr>
      <w:r>
        <w:rPr>
          <w:rFonts w:cs="Arial" w:ascii="Arial" w:hAnsi="Arial"/>
          <w:sz w:val="20"/>
        </w:rPr>
      </w:r>
    </w:p>
    <w:p>
      <w:pPr>
        <w:pStyle w:val="Normal"/>
        <w:autoSpaceDE w:val="false"/>
        <w:rPr>
          <w:rFonts w:ascii="Arial" w:hAnsi="Arial" w:cs="Arial"/>
          <w:sz w:val="20"/>
          <w:szCs w:val="20"/>
        </w:rPr>
      </w:pPr>
      <w:r>
        <w:rPr>
          <w:rFonts w:cs="Arial" w:ascii="Arial" w:hAnsi="Arial"/>
          <w:sz w:val="20"/>
          <w:szCs w:val="20"/>
        </w:rPr>
      </w:r>
    </w:p>
    <w:p>
      <w:pPr>
        <w:pStyle w:val="BodyText2"/>
        <w:rPr/>
      </w:pPr>
      <w:r>
        <w:rPr/>
        <w:t xml:space="preserve">In terms of the Outlook and mailman.Enron.com sites, Jean McFarland is notified whenever an Exchange server is down or the mailman.Enron.com site is down.  In the future, the HotTap help desk will also receive the page and they will become the central point of distribution with the outage information.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Scott Abshire and Jean McFarland have been assigned a follow up to determine a similar process for the EDI Hub, EDI Net and the VPN.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By the end of the year, a diagnostic tool will be available for the ETS responsible infrastructure.   The tool will provide an internet dashboard indicator which will allow specific users to determine the status of a particular system.   </w:t>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sectPr>
      <w:type w:val="nextPage"/>
      <w:pgSz w:w="12240" w:h="15840"/>
      <w:pgMar w:left="1800" w:right="1800" w:gutter="0" w:header="0" w:top="144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Arial" w:hAnsi="Arial" w:cs="Arial"/>
      <w:b/>
      <w:bCs/>
      <w:szCs w:val="20"/>
    </w:rPr>
  </w:style>
  <w:style w:type="paragraph" w:styleId="Heading2">
    <w:name w:val="heading 2"/>
    <w:basedOn w:val="Normal"/>
    <w:next w:val="Normal"/>
    <w:qFormat/>
    <w:pPr>
      <w:keepNext w:val="true"/>
      <w:numPr>
        <w:ilvl w:val="1"/>
        <w:numId w:val="1"/>
      </w:numPr>
      <w:autoSpaceDE w:val="false"/>
      <w:outlineLvl w:val="1"/>
    </w:pPr>
    <w:rPr>
      <w:rFonts w:ascii="Arial" w:hAnsi="Arial" w:cs="Arial"/>
      <w:sz w:val="22"/>
      <w:szCs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autoSpaceDE w:val="false"/>
      <w:jc w:val="center"/>
    </w:pPr>
    <w:rPr>
      <w:rFonts w:ascii="Arial" w:hAnsi="Arial" w:cs="Arial"/>
      <w:b/>
      <w:bCs/>
      <w:szCs w:val="20"/>
    </w:rPr>
  </w:style>
  <w:style w:type="paragraph" w:styleId="BodyText">
    <w:name w:val="Body Text"/>
    <w:basedOn w:val="Normal"/>
    <w:pPr>
      <w:autoSpaceDE w:val="false"/>
    </w:pPr>
    <w:rPr>
      <w:rFonts w:ascii="Arial" w:hAnsi="Arial" w:cs="Arial"/>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nfosource.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2001-09-27T20:12:00Z</dcterms:created>
  <dc:creator>bholmes</dc:creator>
  <dc:description/>
  <dc:language>en-CA</dc:language>
  <cp:lastModifiedBy>bholmes</cp:lastModifiedBy>
  <cp:lastPrinted>2001-09-25T08:58:00Z</cp:lastPrinted>
  <dcterms:modified xsi:type="dcterms:W3CDTF">2001-09-27T20:12:00Z</dcterms:modified>
  <cp:revision>2</cp:revision>
  <dc:subject/>
  <dc:title>Critical Business Applications for Customer Communications and Transactions</dc:title>
</cp:coreProperties>
</file>