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40" w:after="40"/>
        <w:rPr/>
      </w:pPr>
      <w:r>
        <w:rPr/>
        <w:t xml:space="preserve">Filename: ENR152PO </w:t>
      </w:r>
    </w:p>
    <w:p>
      <w:pPr>
        <w:pStyle w:val="Clntinfo"/>
        <w:rPr/>
      </w:pPr>
      <w:r>
        <w:rPr/>
        <w:t>Translated: 21 July 2000</w:t>
      </w:r>
    </w:p>
    <w:p>
      <w:pPr>
        <w:pStyle w:val="Clntinfo"/>
        <w:rPr/>
      </w:pPr>
      <w:r>
        <w:rPr/>
        <w:t>Edited: 21 July 2000</w:t>
      </w:r>
    </w:p>
    <w:p>
      <w:pPr>
        <w:pStyle w:val="DefaultText"/>
        <w:tabs>
          <w:tab w:val="clear" w:pos="720"/>
          <w:tab w:val="left" w:pos="544" w:leader="none"/>
          <w:tab w:val="left" w:pos="7064" w:leader="none"/>
        </w:tabs>
        <w:spacing w:before="40" w:after="40"/>
        <w:rPr>
          <w:sz w:val="22"/>
          <w:lang w:val="en-GB"/>
        </w:rPr>
      </w:pPr>
      <w:r>
        <w:rPr>
          <w:sz w:val="22"/>
          <w:lang w:val="en-GB"/>
        </w:rPr>
      </w:r>
    </w:p>
    <w:p>
      <w:pPr>
        <w:pStyle w:val="DefaultText"/>
        <w:tabs>
          <w:tab w:val="clear" w:pos="720"/>
          <w:tab w:val="left" w:pos="544" w:leader="none"/>
          <w:tab w:val="left" w:pos="7064" w:leader="none"/>
        </w:tabs>
        <w:spacing w:before="40" w:after="40"/>
        <w:jc w:val="center"/>
        <w:rPr>
          <w:b/>
          <w:sz w:val="22"/>
          <w:lang w:val="en-GB"/>
        </w:rPr>
      </w:pPr>
      <w:r>
        <w:rPr>
          <w:b/>
          <w:sz w:val="22"/>
          <w:lang w:val="en-GB"/>
        </w:rPr>
        <w:t>Energy Regulatory Authority (URE)</w:t>
      </w:r>
    </w:p>
    <w:p>
      <w:pPr>
        <w:pStyle w:val="DefaultText"/>
        <w:tabs>
          <w:tab w:val="clear" w:pos="720"/>
          <w:tab w:val="left" w:pos="1678" w:leader="none"/>
          <w:tab w:val="left" w:pos="4796" w:leader="none"/>
          <w:tab w:val="left" w:pos="6497" w:leader="none"/>
        </w:tabs>
        <w:spacing w:before="40" w:after="40"/>
        <w:rPr>
          <w:b/>
          <w:sz w:val="22"/>
          <w:lang w:val="en-GB"/>
        </w:rPr>
      </w:pPr>
      <w:r>
        <w:rPr>
          <w:b/>
          <w:sz w:val="22"/>
          <w:lang w:val="en-GB"/>
        </w:rPr>
        <w:tab/>
        <w:t>[URE President’s position]</w:t>
        <w:tab/>
        <w:t>[URE Bulletin]</w:t>
        <w:tab/>
        <w:t>[Diary]</w:t>
      </w:r>
    </w:p>
    <w:p>
      <w:pPr>
        <w:pStyle w:val="DefaultText"/>
        <w:tabs>
          <w:tab w:val="clear" w:pos="720"/>
          <w:tab w:val="left" w:pos="1678" w:leader="none"/>
          <w:tab w:val="left" w:pos="4796" w:leader="none"/>
          <w:tab w:val="left" w:pos="6497" w:leader="none"/>
        </w:tabs>
        <w:spacing w:before="40" w:after="40"/>
        <w:jc w:val="center"/>
        <w:rPr>
          <w:b/>
          <w:sz w:val="22"/>
          <w:lang w:val="en-GB"/>
        </w:rPr>
      </w:pPr>
      <w:r>
        <w:rPr>
          <w:b/>
          <w:sz w:val="22"/>
          <w:lang w:val="en-GB"/>
        </w:rPr>
        <w:t>THE POSITION OF THE PRESIDENT OF THE</w:t>
      </w:r>
    </w:p>
    <w:p>
      <w:pPr>
        <w:pStyle w:val="DefaultText"/>
        <w:tabs>
          <w:tab w:val="clear" w:pos="720"/>
          <w:tab w:val="left" w:pos="1678" w:leader="none"/>
          <w:tab w:val="left" w:pos="4796" w:leader="none"/>
          <w:tab w:val="left" w:pos="6497" w:leader="none"/>
        </w:tabs>
        <w:spacing w:before="40" w:after="40"/>
        <w:jc w:val="center"/>
        <w:rPr>
          <w:b/>
          <w:sz w:val="22"/>
          <w:lang w:val="en-GB"/>
        </w:rPr>
      </w:pPr>
      <w:r>
        <w:rPr>
          <w:b/>
          <w:sz w:val="22"/>
          <w:lang w:val="en-GB"/>
        </w:rPr>
        <w:t>ENERGY REGULATORY AUTHORITY</w:t>
      </w:r>
    </w:p>
    <w:p>
      <w:pPr>
        <w:pStyle w:val="DefaultText"/>
        <w:tabs>
          <w:tab w:val="clear" w:pos="720"/>
          <w:tab w:val="left" w:pos="1678" w:leader="none"/>
          <w:tab w:val="left" w:pos="4796" w:leader="none"/>
          <w:tab w:val="left" w:pos="6497" w:leader="none"/>
        </w:tabs>
        <w:spacing w:before="40" w:after="40"/>
        <w:jc w:val="center"/>
        <w:rPr>
          <w:b/>
          <w:sz w:val="22"/>
          <w:lang w:val="en-GB"/>
        </w:rPr>
      </w:pPr>
      <w:r>
        <w:rPr>
          <w:b/>
          <w:sz w:val="22"/>
          <w:lang w:val="en-GB"/>
        </w:rPr>
        <w:t>regarding</w:t>
      </w:r>
    </w:p>
    <w:p>
      <w:pPr>
        <w:pStyle w:val="DefaultText"/>
        <w:tabs>
          <w:tab w:val="clear" w:pos="720"/>
          <w:tab w:val="left" w:pos="1678" w:leader="none"/>
          <w:tab w:val="left" w:pos="4796" w:leader="none"/>
          <w:tab w:val="left" w:pos="6497" w:leader="none"/>
        </w:tabs>
        <w:spacing w:before="40" w:after="40"/>
        <w:jc w:val="center"/>
        <w:rPr>
          <w:b/>
          <w:sz w:val="22"/>
          <w:lang w:val="en-GB"/>
        </w:rPr>
      </w:pPr>
      <w:r>
        <w:rPr>
          <w:b/>
          <w:sz w:val="22"/>
          <w:lang w:val="en-GB"/>
        </w:rPr>
        <w:t>CRITERIA FOR RECOGNISING THE ELECTRICAL ENERGY MARKET AS A COMPETITIVE MARKET</w:t>
      </w:r>
    </w:p>
    <w:p>
      <w:pPr>
        <w:pStyle w:val="DefaultText"/>
        <w:tabs>
          <w:tab w:val="clear" w:pos="720"/>
          <w:tab w:val="left" w:pos="828" w:leader="none"/>
          <w:tab w:val="left" w:pos="4796" w:leader="none"/>
          <w:tab w:val="left" w:pos="6497" w:leader="none"/>
        </w:tabs>
        <w:spacing w:before="40" w:after="40"/>
        <w:rPr>
          <w:sz w:val="22"/>
          <w:lang w:val="en-GB"/>
        </w:rPr>
      </w:pPr>
      <w:r>
        <w:rPr>
          <w:sz w:val="22"/>
          <w:lang w:val="en-GB"/>
        </w:rPr>
        <w:t>The progressive introduction of market mechanisms forms the basic trend in the reorganisation of the energy sector in Poland.  However, it will not be possible to initiate such mechanisms without undertaking a number of steps, legal as well as organisational, including property conversions and the development of competitive processes according to article 1 section 2 of the Act of 10 April 1997 - the Energy Law.  Considering the above, the Cabinet has authorised the “President of the Energy Regulatory Authority to prepare and publish criteria before the end of the second quarter in the year 2000, which he will apply when issuing an administrative decision to recognise a given enterprise as operating on the competitive market”. This was done in point 6.3, on the basis of a document titled “Assumptions on Poland’s energy policy up to the year 2020” (passed on 22 February 2000) based on article 13 section 1 of the above-mentioned Law.</w:t>
      </w:r>
    </w:p>
    <w:p>
      <w:pPr>
        <w:pStyle w:val="DefaultText"/>
        <w:tabs>
          <w:tab w:val="clear" w:pos="720"/>
          <w:tab w:val="left" w:pos="828" w:leader="none"/>
          <w:tab w:val="left" w:pos="4796" w:leader="none"/>
          <w:tab w:val="left" w:pos="6497" w:leader="none"/>
        </w:tabs>
        <w:spacing w:before="40" w:after="40"/>
        <w:rPr>
          <w:sz w:val="22"/>
          <w:lang w:val="en-GB"/>
        </w:rPr>
      </w:pPr>
      <w:r>
        <w:rPr>
          <w:sz w:val="22"/>
          <w:lang w:val="en-GB"/>
        </w:rPr>
        <w:t>This is directly connected to the powers of the President of the URE arising from article 49 of the Energy Law, which stipulates that “the President of the URE can release an energy enterprise from the obligation to submit schedules of charges for approval if he finds that it is operating on the competitive market, or revoke a given approval in cases where the conditions justifying such a release have ceased to exist” (section 1) and that “the release, as mentioned above, (...) can concern a specified part of activities in which the energy enterprise is engaged, within the range in which this activity is carried out on the competitive market” (section 2).</w:t>
      </w:r>
    </w:p>
    <w:p>
      <w:pPr>
        <w:pStyle w:val="DefaultText"/>
        <w:tabs>
          <w:tab w:val="clear" w:pos="720"/>
          <w:tab w:val="left" w:pos="828" w:leader="none"/>
          <w:tab w:val="left" w:pos="4796" w:leader="none"/>
          <w:tab w:val="left" w:pos="6497" w:leader="none"/>
        </w:tabs>
        <w:spacing w:before="40" w:after="40"/>
        <w:rPr>
          <w:sz w:val="22"/>
          <w:lang w:val="en-GB"/>
        </w:rPr>
      </w:pPr>
      <w:r>
        <w:rPr>
          <w:sz w:val="22"/>
          <w:lang w:val="en-GB"/>
        </w:rPr>
        <w:t>I.  By making this position generally known, the President of the URE is motivated inter alia by the principle, which arises from article 32 section 1 of the Constitution of the Republic of Poland, according to which “everybody has the right to be treated equally by public authorities”, and by the principle of informing citizens about the activities of such authorities, which arises from article 61 section 1. The Authority’s President defines the competitive market as a market where the transaction price is determined as a result of free interplay between supply and demand, and the customer has the right to choose the supplier without restraint, and to change it without excessive costs to himself, as well as being able to decide the quantity of purchases. Each of the subjects on the competitive market functions within similar external conditions. The transactions concluded on this market are subject to civil and legal regulations, or customary ones, and the information regarding the prices of goods on offer are generally accessible. The President of the URE estimates that as far as electric power is concerned, a supplier’s market rather than a competitive market is still in operation, because the customers are not able to exert economic pressure where their preferences are taken into account. The market is not a self-contained creation. It is always a result of laws and decisions, political as well as economic or administrative. First of all, it requires an appropriate legal and organisational infrastructure and appropriate institutionalisation. This does not so much require the controlling of its members, as the setting of rules for their conduct. It is clear that the creation of a competitive market is not a one-off action, but a highly complex and long-lasting process. In the Polish energy sector, the process of creating a market i.e. the introduction of competition mechanisms, turning their advantages into profit and benefiting from the consequences of their effects, has only just begun.</w:t>
      </w:r>
    </w:p>
    <w:p>
      <w:pPr>
        <w:pStyle w:val="DefaultText"/>
        <w:tabs>
          <w:tab w:val="clear" w:pos="720"/>
          <w:tab w:val="center" w:pos="4513" w:leader="none"/>
          <w:tab w:val="left" w:pos="7914" w:leader="none"/>
          <w:tab w:val="right" w:pos="9026" w:leader="none"/>
        </w:tabs>
        <w:spacing w:before="40" w:after="40"/>
        <w:rPr>
          <w:sz w:val="22"/>
          <w:lang w:val="en-GB"/>
        </w:rPr>
      </w:pPr>
      <w:r>
        <w:rPr>
          <w:sz w:val="22"/>
          <w:lang w:val="en-GB"/>
        </w:rPr>
        <w:t>http://www.ure.gov.pl/ure/informacje/st_prezesa_2.html</w:t>
        <w:tab/>
        <w:t>19.07.2000</w:t>
      </w:r>
    </w:p>
    <w:p>
      <w:pPr>
        <w:pStyle w:val="DefaultText"/>
        <w:tabs>
          <w:tab w:val="clear" w:pos="720"/>
          <w:tab w:val="left" w:pos="828" w:leader="none"/>
          <w:tab w:val="left" w:pos="4796" w:leader="none"/>
          <w:tab w:val="left" w:pos="6497" w:leader="none"/>
        </w:tabs>
        <w:spacing w:before="40" w:after="40"/>
        <w:rPr>
          <w:sz w:val="22"/>
          <w:lang w:val="en-GB"/>
        </w:rPr>
      </w:pPr>
      <w:r>
        <w:rPr>
          <w:sz w:val="22"/>
          <w:lang w:val="en-GB"/>
        </w:rPr>
        <w:t>[p3]</w:t>
      </w:r>
    </w:p>
    <w:p>
      <w:pPr>
        <w:pStyle w:val="DefaultText"/>
        <w:tabs>
          <w:tab w:val="clear" w:pos="720"/>
          <w:tab w:val="left" w:pos="828" w:leader="none"/>
          <w:tab w:val="left" w:pos="4796" w:leader="none"/>
          <w:tab w:val="left" w:pos="6497" w:leader="none"/>
        </w:tabs>
        <w:spacing w:before="40" w:after="40"/>
        <w:rPr>
          <w:sz w:val="22"/>
          <w:lang w:val="en-GB"/>
        </w:rPr>
      </w:pPr>
      <w:r>
        <w:rPr>
          <w:sz w:val="22"/>
          <w:lang w:val="en-GB"/>
        </w:rPr>
        <w:t>II.  In this context and considering in each case the decision to be taken regarding the release of a given enterprise from the obligation to submit a schedule of rates for approval, the President of the URE will identify and assess the competitiveness of the market on which the enterprise is operating, taking into consideration the following criteria/attributes of the market:</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1.</w:t>
        <w:tab/>
        <w:t>an appropriate number of participants,</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2.</w:t>
        <w:tab/>
        <w:t>the position of the enterprise determined by its participation in the market,</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3.</w:t>
        <w:tab/>
        <w:t>the barriers to entering and leaving the market,</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4.</w:t>
        <w:tab/>
        <w:t>the commercial homogeneity of the goods or services,</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5.</w:t>
        <w:tab/>
        <w:t>the clarity of the structure and principles of performance,</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6.</w:t>
        <w:tab/>
        <w:t>the equality of rights and principles of access to the market information by members,</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7.</w:t>
        <w:tab/>
        <w:t>control and supervision to protect against market cartelisation (collusion),</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8.</w:t>
        <w:tab/>
        <w:t>access to highly productive technologies.</w:t>
      </w:r>
    </w:p>
    <w:p>
      <w:pPr>
        <w:pStyle w:val="DefaultText"/>
        <w:tabs>
          <w:tab w:val="clear" w:pos="720"/>
          <w:tab w:val="left" w:pos="828" w:leader="none"/>
          <w:tab w:val="left" w:pos="4796" w:leader="none"/>
          <w:tab w:val="left" w:pos="6497" w:leader="none"/>
        </w:tabs>
        <w:spacing w:before="40" w:after="40"/>
        <w:rPr>
          <w:sz w:val="22"/>
          <w:lang w:val="en-GB"/>
        </w:rPr>
      </w:pPr>
      <w:r>
        <w:rPr>
          <w:sz w:val="22"/>
          <w:lang w:val="en-GB"/>
        </w:rPr>
        <w:t>The President of the URE is of the opinion that the actual situation on the electrical energy market, the state of progress of reforms in this sector and the process of initiating the Energy Law, merit reference to certain circumstances which are conducive to the setting in motion of competitive processes. They include:</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1.</w:t>
        <w:tab/>
        <w:t>a surplus of electrical energy supplies over demand;</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2.</w:t>
        <w:tab/>
        <w:t>the successive introduction of principles of access for third parties to the grid (TPA);</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3.</w:t>
        <w:tab/>
        <w:t>a diversified entity structure (producer, trading enterprise);</w:t>
      </w:r>
    </w:p>
    <w:p>
      <w:pPr>
        <w:pStyle w:val="DefaultText"/>
        <w:tabs>
          <w:tab w:val="clear" w:pos="720"/>
          <w:tab w:val="left" w:pos="828" w:leader="none"/>
          <w:tab w:val="left" w:pos="4796" w:leader="none"/>
          <w:tab w:val="left" w:pos="6497" w:leader="none"/>
        </w:tabs>
        <w:spacing w:before="40" w:after="40"/>
        <w:ind w:hanging="284" w:start="828" w:end="0"/>
        <w:rPr>
          <w:sz w:val="22"/>
          <w:lang w:val="en-GB"/>
        </w:rPr>
      </w:pPr>
      <w:r>
        <w:rPr>
          <w:sz w:val="22"/>
          <w:lang w:val="en-GB"/>
        </w:rPr>
        <w:t>4.</w:t>
        <w:tab/>
        <w:t>a system of licensing, minimising the administrative barriers of entry to and exit form the market;</w:t>
      </w:r>
    </w:p>
    <w:p>
      <w:pPr>
        <w:pStyle w:val="DefaultText"/>
        <w:tabs>
          <w:tab w:val="clear" w:pos="720"/>
          <w:tab w:val="left" w:pos="828" w:leader="none"/>
          <w:tab w:val="left" w:pos="4796" w:leader="none"/>
          <w:tab w:val="left" w:pos="6497" w:leader="none"/>
        </w:tabs>
        <w:spacing w:before="40" w:after="40"/>
        <w:ind w:firstLine="544" w:end="0"/>
        <w:rPr>
          <w:sz w:val="22"/>
          <w:lang w:val="en-GB"/>
        </w:rPr>
      </w:pPr>
      <w:r>
        <w:rPr>
          <w:sz w:val="22"/>
          <w:lang w:val="en-GB"/>
        </w:rPr>
        <w:t>5.</w:t>
        <w:tab/>
        <w:t>the beginning of the process of privatisation of entities within the sector;</w:t>
      </w:r>
    </w:p>
    <w:p>
      <w:pPr>
        <w:pStyle w:val="DefaultText"/>
        <w:tabs>
          <w:tab w:val="clear" w:pos="720"/>
          <w:tab w:val="left" w:pos="828" w:leader="none"/>
          <w:tab w:val="left" w:pos="4796" w:leader="none"/>
          <w:tab w:val="left" w:pos="6497" w:leader="none"/>
        </w:tabs>
        <w:spacing w:before="40" w:after="40"/>
        <w:ind w:hanging="284" w:start="828" w:end="0"/>
        <w:rPr>
          <w:sz w:val="22"/>
          <w:lang w:val="en-GB"/>
        </w:rPr>
      </w:pPr>
      <w:r>
        <w:rPr>
          <w:sz w:val="22"/>
          <w:lang w:val="en-GB"/>
        </w:rPr>
        <w:t>6.</w:t>
        <w:tab/>
        <w:t>the creation of an institutionalised market infrastructure (e.g. an electrical energy exchange).</w:t>
      </w:r>
    </w:p>
    <w:p>
      <w:pPr>
        <w:pStyle w:val="DefaultText"/>
        <w:tabs>
          <w:tab w:val="clear" w:pos="720"/>
          <w:tab w:val="left" w:pos="828" w:leader="none"/>
          <w:tab w:val="left" w:pos="4796" w:leader="none"/>
          <w:tab w:val="left" w:pos="6497" w:leader="none"/>
        </w:tabs>
        <w:spacing w:before="40" w:after="40"/>
        <w:rPr>
          <w:sz w:val="22"/>
          <w:lang w:val="en-GB"/>
        </w:rPr>
      </w:pPr>
      <w:r>
        <w:rPr>
          <w:sz w:val="22"/>
          <w:lang w:val="en-GB"/>
        </w:rPr>
        <w:t>III.  However, the circumstances mentioned are not enough to accept the given market (or segment thereof) on which a given enterprise is operating, as a competitive market. Because of that, the President of the URE will also take into consideration the following conditions when making administrative decisions that concern the acceptance of a given market as a competitive one:</w:t>
      </w:r>
    </w:p>
    <w:p>
      <w:pPr>
        <w:pStyle w:val="DefaultText"/>
        <w:tabs>
          <w:tab w:val="clear" w:pos="720"/>
          <w:tab w:val="left" w:pos="828" w:leader="none"/>
          <w:tab w:val="left" w:pos="4796" w:leader="none"/>
          <w:tab w:val="left" w:pos="6497" w:leader="none"/>
        </w:tabs>
        <w:spacing w:before="40" w:after="40"/>
        <w:ind w:hanging="284" w:start="828" w:end="0"/>
        <w:rPr>
          <w:sz w:val="22"/>
          <w:lang w:val="en-GB"/>
        </w:rPr>
      </w:pPr>
      <w:r>
        <w:rPr>
          <w:sz w:val="22"/>
          <w:lang w:val="en-GB"/>
        </w:rPr>
        <w:t>1.</w:t>
        <w:tab/>
        <w:t>the level of development of commercial electrical energy markets.</w:t>
      </w:r>
    </w:p>
    <w:p>
      <w:pPr>
        <w:pStyle w:val="DefaultText"/>
        <w:tabs>
          <w:tab w:val="clear" w:pos="720"/>
          <w:tab w:val="left" w:pos="828" w:leader="none"/>
          <w:tab w:val="left" w:pos="4796" w:leader="none"/>
          <w:tab w:val="left" w:pos="6497" w:leader="none"/>
        </w:tabs>
        <w:spacing w:before="40" w:after="40"/>
        <w:ind w:hanging="284" w:start="828" w:end="0"/>
        <w:rPr>
          <w:sz w:val="22"/>
          <w:lang w:val="en-GB"/>
        </w:rPr>
      </w:pPr>
      <w:r>
        <w:rPr>
          <w:sz w:val="22"/>
          <w:lang w:val="en-GB"/>
        </w:rPr>
        <w:tab/>
        <w:t>About 70% of energy trading in Poland is carried out as part of long-term contracts, and in this context only part of the energy produced can be subjected to the rules of market forces. The range, construction and conditions of those contracts are not conducive to the development of competition: on the contrary, they influence the high degree of monopolisation of the electrical energy market. A successful restructuring of the long-term contracts is therefore essential. A developed commercial market should ensure both the possibility of making agreements for current supplies, and medium-term and long-term contracts. An efficient functioning of an electrical energy exchange will be one of the indications of the development of commercial markets. It will make it possible to achieve a realistic electrical energy price. The exchange price, which will be made generally known, will exert a favourable influence on the taking of appropriate decisions regarding the purchase of energy on bilateral contracts, especially for less experienced market participants.</w:t>
      </w:r>
    </w:p>
    <w:p>
      <w:pPr>
        <w:pStyle w:val="DefaultText"/>
        <w:tabs>
          <w:tab w:val="clear" w:pos="720"/>
          <w:tab w:val="left" w:pos="828" w:leader="none"/>
          <w:tab w:val="left" w:pos="4796" w:leader="none"/>
          <w:tab w:val="left" w:pos="6497" w:leader="none"/>
        </w:tabs>
        <w:spacing w:before="40" w:after="40"/>
        <w:ind w:hanging="284" w:start="828" w:end="0"/>
        <w:rPr>
          <w:sz w:val="22"/>
          <w:lang w:val="en-GB"/>
        </w:rPr>
      </w:pPr>
      <w:r>
        <w:rPr>
          <w:sz w:val="22"/>
          <w:lang w:val="en-GB"/>
        </w:rPr>
        <w:t>2.</w:t>
        <w:tab/>
        <w:t>equal access to information.</w:t>
      </w:r>
    </w:p>
    <w:p>
      <w:pPr>
        <w:pStyle w:val="DefaultText"/>
        <w:tabs>
          <w:tab w:val="clear" w:pos="720"/>
          <w:tab w:val="left" w:pos="828" w:leader="none"/>
          <w:tab w:val="left" w:pos="4796" w:leader="none"/>
          <w:tab w:val="left" w:pos="6497" w:leader="none"/>
        </w:tabs>
        <w:spacing w:before="40" w:after="40"/>
        <w:ind w:hanging="284" w:start="828" w:end="0"/>
        <w:rPr>
          <w:sz w:val="22"/>
          <w:lang w:val="en-GB"/>
        </w:rPr>
      </w:pPr>
      <w:r>
        <w:rPr>
          <w:sz w:val="22"/>
          <w:lang w:val="en-GB"/>
        </w:rPr>
        <w:tab/>
        <w:t>Due to the specific nature of the energy market, and especially in the interest of proper functioning of the TPA principle, increasing importance is being given to equal access to information on transmission opportunities offered by the system, anticipated limitations and shutdowns of individual lines, and the information connected with commercial activities of other entities. A potential source of conflict in this area, which represents a threat to the development of competition, is the association by electric-power enterprises of network activity (transmission and distribution) with commercial activities (electrical energy trading). In view of the above, it is essential:</w:t>
      </w:r>
    </w:p>
    <w:p>
      <w:pPr>
        <w:pStyle w:val="DefaultText"/>
        <w:tabs>
          <w:tab w:val="clear" w:pos="720"/>
          <w:tab w:val="left" w:pos="828" w:leader="none"/>
          <w:tab w:val="left" w:pos="1111" w:leader="none"/>
          <w:tab w:val="left" w:pos="6497" w:leader="none"/>
        </w:tabs>
        <w:spacing w:before="40" w:after="40"/>
        <w:ind w:hanging="283" w:start="1111" w:end="0"/>
        <w:rPr>
          <w:sz w:val="22"/>
          <w:lang w:val="en-GB"/>
        </w:rPr>
      </w:pPr>
      <w:r>
        <w:rPr>
          <w:sz w:val="22"/>
          <w:lang w:val="en-GB"/>
        </w:rPr>
        <w:t>a.</w:t>
        <w:tab/>
        <w:t>to initiate mechanisms for the transfer of information between the transmission system operator and distribution system operators on one hand, and the individual subjects which participate actively on the market on the other hand. Guaranteeing the flow of information in both directions is a precondition for the effective operation of this mechanism,</w:t>
      </w:r>
    </w:p>
    <w:p>
      <w:pPr>
        <w:pStyle w:val="DefaultText"/>
        <w:tabs>
          <w:tab w:val="clear" w:pos="720"/>
          <w:tab w:val="center" w:pos="4513" w:leader="none"/>
          <w:tab w:val="left" w:pos="7914" w:leader="none"/>
          <w:tab w:val="right" w:pos="9026" w:leader="none"/>
        </w:tabs>
        <w:spacing w:before="40" w:after="40"/>
        <w:rPr>
          <w:sz w:val="22"/>
          <w:lang w:val="en-GB"/>
        </w:rPr>
      </w:pPr>
      <w:r>
        <w:rPr>
          <w:sz w:val="22"/>
          <w:lang w:val="en-GB"/>
        </w:rPr>
        <w:t>http://www.ure.gov.pl/ure/informacje/st_prezesa_2.html</w:t>
      </w:r>
    </w:p>
    <w:p>
      <w:pPr>
        <w:pStyle w:val="DefaultText"/>
        <w:tabs>
          <w:tab w:val="clear" w:pos="720"/>
          <w:tab w:val="center" w:pos="4513" w:leader="none"/>
          <w:tab w:val="left" w:pos="7914" w:leader="none"/>
          <w:tab w:val="right" w:pos="9026" w:leader="none"/>
        </w:tabs>
        <w:spacing w:before="40" w:after="40"/>
        <w:rPr>
          <w:sz w:val="22"/>
          <w:lang w:val="en-GB"/>
        </w:rPr>
      </w:pPr>
      <w:r>
        <w:rPr>
          <w:sz w:val="22"/>
          <w:lang w:val="en-GB"/>
        </w:rPr>
        <w:t>[p4]</w:t>
      </w:r>
    </w:p>
    <w:p>
      <w:pPr>
        <w:pStyle w:val="DefaultText"/>
        <w:tabs>
          <w:tab w:val="clear" w:pos="720"/>
          <w:tab w:val="center" w:pos="4513" w:leader="none"/>
          <w:tab w:val="left" w:pos="7914" w:leader="none"/>
          <w:tab w:val="right" w:pos="9026" w:leader="none"/>
        </w:tabs>
        <w:spacing w:before="40" w:after="40"/>
        <w:rPr>
          <w:sz w:val="22"/>
          <w:lang w:val="en-GB"/>
        </w:rPr>
      </w:pPr>
      <w:r>
        <w:rPr>
          <w:sz w:val="22"/>
          <w:lang w:val="en-GB"/>
        </w:rPr>
        <w:tab/>
        <w:t>19.07.2000</w:t>
      </w:r>
    </w:p>
    <w:p>
      <w:pPr>
        <w:pStyle w:val="DefaultText"/>
        <w:tabs>
          <w:tab w:val="clear" w:pos="720"/>
          <w:tab w:val="left" w:pos="828" w:leader="none"/>
          <w:tab w:val="left" w:pos="1111" w:leader="none"/>
          <w:tab w:val="left" w:pos="6497" w:leader="none"/>
        </w:tabs>
        <w:spacing w:before="40" w:after="40"/>
        <w:ind w:hanging="283" w:start="1111" w:end="0"/>
        <w:rPr>
          <w:sz w:val="22"/>
          <w:lang w:val="en-GB"/>
        </w:rPr>
      </w:pPr>
      <w:r>
        <w:rPr>
          <w:sz w:val="22"/>
          <w:lang w:val="en-GB"/>
        </w:rPr>
        <w:t>b.</w:t>
        <w:tab/>
        <w:t>to prepare, publish and introduce procedures to be used by the transmission and distribution system operators for the implementation of energy supply agreements which have been concluded,</w:t>
      </w:r>
    </w:p>
    <w:p>
      <w:pPr>
        <w:pStyle w:val="DefaultText"/>
        <w:tabs>
          <w:tab w:val="clear" w:pos="720"/>
          <w:tab w:val="left" w:pos="828" w:leader="none"/>
          <w:tab w:val="left" w:pos="1111" w:leader="none"/>
          <w:tab w:val="left" w:pos="6497" w:leader="none"/>
        </w:tabs>
        <w:spacing w:before="40" w:after="40"/>
        <w:ind w:hanging="283" w:start="1111" w:end="0"/>
        <w:rPr>
          <w:sz w:val="22"/>
          <w:lang w:val="en-GB"/>
        </w:rPr>
      </w:pPr>
      <w:r>
        <w:rPr>
          <w:sz w:val="22"/>
          <w:lang w:val="en-GB"/>
        </w:rPr>
        <w:t>c.</w:t>
        <w:tab/>
        <w:t>to create mechanisms in enterprises which are system operators and also trade in electrical energy, which make it impossible for commercial-type information to pass between branches or separate companies conducting such activities;</w:t>
      </w:r>
    </w:p>
    <w:p>
      <w:pPr>
        <w:pStyle w:val="DefaultText"/>
        <w:tabs>
          <w:tab w:val="clear" w:pos="720"/>
          <w:tab w:val="left" w:pos="828" w:leader="none"/>
          <w:tab w:val="left" w:pos="1111" w:leader="none"/>
          <w:tab w:val="left" w:pos="6497" w:leader="none"/>
        </w:tabs>
        <w:spacing w:before="40" w:after="40"/>
        <w:ind w:hanging="284" w:start="828" w:end="0"/>
        <w:rPr>
          <w:sz w:val="22"/>
          <w:lang w:val="en-GB"/>
        </w:rPr>
      </w:pPr>
      <w:r>
        <w:rPr>
          <w:sz w:val="22"/>
          <w:lang w:val="en-GB"/>
        </w:rPr>
        <w:t>3.</w:t>
        <w:tab/>
        <w:t>the market strength of enterprises.</w:t>
      </w:r>
    </w:p>
    <w:p>
      <w:pPr>
        <w:pStyle w:val="DefaultText"/>
        <w:tabs>
          <w:tab w:val="clear" w:pos="720"/>
          <w:tab w:val="left" w:pos="828" w:leader="none"/>
          <w:tab w:val="left" w:pos="1111" w:leader="none"/>
          <w:tab w:val="left" w:pos="6497" w:leader="none"/>
        </w:tabs>
        <w:spacing w:before="40" w:after="40"/>
        <w:ind w:hanging="284" w:start="828" w:end="0"/>
        <w:rPr>
          <w:sz w:val="22"/>
          <w:lang w:val="en-GB"/>
        </w:rPr>
      </w:pPr>
      <w:r>
        <w:rPr>
          <w:sz w:val="22"/>
          <w:lang w:val="en-GB"/>
        </w:rPr>
        <w:tab/>
        <w:t>If a competitive market is to exist, it is important that none of the entities operating in it should have the opportunity to exert direct influence on the level of prices. It is therefore essential that an appropriate entity structure be maintained, so that an enterprise or a group of interconnected enterprises cannot become a dominant force on the market. Relationships, both horizontal and vertical, take on additional importance.  It is important that the subject should not be able to take advantage of these connections in order to strengthen its market position (resulting in the ability to dictate higher prices);</w:t>
      </w:r>
    </w:p>
    <w:p>
      <w:pPr>
        <w:pStyle w:val="DefaultText"/>
        <w:tabs>
          <w:tab w:val="clear" w:pos="720"/>
          <w:tab w:val="left" w:pos="828" w:leader="none"/>
          <w:tab w:val="left" w:pos="1111" w:leader="none"/>
          <w:tab w:val="left" w:pos="6497" w:leader="none"/>
        </w:tabs>
        <w:spacing w:before="40" w:after="40"/>
        <w:ind w:hanging="284" w:start="828" w:end="0"/>
        <w:rPr>
          <w:sz w:val="22"/>
          <w:lang w:val="en-GB"/>
        </w:rPr>
      </w:pPr>
      <w:r>
        <w:rPr>
          <w:sz w:val="22"/>
          <w:lang w:val="en-GB"/>
        </w:rPr>
        <w:t>4.</w:t>
        <w:tab/>
        <w:t>diversification of the ownership structure.</w:t>
      </w:r>
    </w:p>
    <w:p>
      <w:pPr>
        <w:pStyle w:val="DefaultText"/>
        <w:tabs>
          <w:tab w:val="clear" w:pos="720"/>
          <w:tab w:val="left" w:pos="828" w:leader="none"/>
          <w:tab w:val="left" w:pos="1111" w:leader="none"/>
          <w:tab w:val="left" w:pos="6497" w:leader="none"/>
        </w:tabs>
        <w:spacing w:before="40" w:after="40"/>
        <w:ind w:hanging="284" w:start="828" w:end="0"/>
        <w:rPr>
          <w:sz w:val="22"/>
          <w:lang w:val="en-GB"/>
        </w:rPr>
      </w:pPr>
      <w:r>
        <w:rPr>
          <w:sz w:val="22"/>
          <w:lang w:val="en-GB"/>
        </w:rPr>
        <w:tab/>
        <w:t>At present, the Treasury is the principle owner of the majority of companies producing electrical energy. In this situation, there are two factors that overlap and exert a negative influence on the development of competition processes: the homogeneous structure of ownership and state ownership. Privatisation activities are essential, not only to exert pressure on the limitation of costs and prices, but also to create the opportunity for a renegotiation of long-term contracts entered into between PSW S.A. and power stations (e.g. a conversion of liabilities into shares).</w:t>
      </w:r>
    </w:p>
    <w:p>
      <w:pPr>
        <w:pStyle w:val="DefaultText"/>
        <w:tabs>
          <w:tab w:val="clear" w:pos="720"/>
          <w:tab w:val="left" w:pos="0" w:leader="none"/>
        </w:tabs>
        <w:spacing w:before="40" w:after="40"/>
        <w:rPr>
          <w:sz w:val="22"/>
          <w:lang w:val="en-GB"/>
        </w:rPr>
      </w:pPr>
      <w:r>
        <w:rPr>
          <w:sz w:val="22"/>
          <w:lang w:val="en-GB"/>
        </w:rPr>
        <w:t>IV.  Within his statutory obligation of  “cooperation with appropriate bodies in working against monopolistic practices by energy enterprises” (article 23, section 2 point 7 of the Energy Law), the President of the URE will confer with the President of the Office for the Protection of Competition and Consumers when making decisions regarding the evaluation of the competitiveness of the market.  The need for the individualised character of such an evaluation has to be stressed as well, because one cannot allow a situation to develop in which decisions about the exemption from the approval of a schedule of charges, which are concentrated in time and of a general character, would result in a marked increase in prices for final customers. Such activities would also be incompatible with the spirit and letter of the Energy Law. The threat of a price increase is also present when “the costs of the changeover” into a developed market (inter alia connected with the restructuring of long-term contracts, the development of information and computer systems, privatisation) are to be transferred to the final customers.</w:t>
      </w:r>
    </w:p>
    <w:p>
      <w:pPr>
        <w:pStyle w:val="DefaultText"/>
        <w:tabs>
          <w:tab w:val="clear" w:pos="720"/>
          <w:tab w:val="left" w:pos="828" w:leader="none"/>
          <w:tab w:val="left" w:pos="1395" w:leader="none"/>
          <w:tab w:val="left" w:pos="6497" w:leader="none"/>
        </w:tabs>
        <w:spacing w:before="40" w:after="40"/>
        <w:rPr>
          <w:sz w:val="22"/>
          <w:lang w:val="en-GB"/>
        </w:rPr>
      </w:pPr>
      <w:r>
        <w:rPr>
          <w:sz w:val="22"/>
          <w:lang w:val="en-GB"/>
        </w:rPr>
        <w:t>In accordance with the decisions in article 49 of the Energy Law, as already mentioned, the President of the URE is authorised to revoke a decision regarding an exemption from the obligation to submit a schedule of charges for approval. In this context, he is obliged permanently to monitor the competitiveness of the electrical energy market and to examine whether the conditions which led to the decision are still being complied with. It has to be stressed that administrative decisions connected with the above-mentioned article will also be issued “officially”, and thus frequently against the interests and wishes of an electrical energy enterprise.</w:t>
      </w:r>
    </w:p>
    <w:p>
      <w:pPr>
        <w:pStyle w:val="DefaultText"/>
        <w:tabs>
          <w:tab w:val="clear" w:pos="720"/>
          <w:tab w:val="left" w:pos="828" w:leader="none"/>
          <w:tab w:val="left" w:pos="1395" w:leader="none"/>
          <w:tab w:val="left" w:pos="6497" w:leader="none"/>
        </w:tabs>
        <w:spacing w:before="40" w:after="40"/>
        <w:ind w:hanging="284" w:start="828" w:end="0"/>
        <w:jc w:val="end"/>
        <w:rPr>
          <w:sz w:val="22"/>
          <w:lang w:val="en-GB"/>
        </w:rPr>
      </w:pPr>
      <w:r>
        <w:rPr>
          <w:sz w:val="22"/>
          <w:lang w:val="en-GB"/>
        </w:rPr>
        <w:t>Warsaw, 30 June 2000</w:t>
      </w:r>
    </w:p>
    <w:p>
      <w:pPr>
        <w:pStyle w:val="DefaultText"/>
        <w:tabs>
          <w:tab w:val="clear" w:pos="720"/>
          <w:tab w:val="center" w:pos="4513" w:leader="none"/>
          <w:tab w:val="left" w:pos="7914" w:leader="none"/>
          <w:tab w:val="right" w:pos="9026" w:leader="none"/>
        </w:tabs>
        <w:spacing w:before="40" w:after="40"/>
        <w:rPr>
          <w:sz w:val="22"/>
          <w:lang w:val="en-GB"/>
        </w:rPr>
      </w:pPr>
      <w:r>
        <w:rPr>
          <w:sz w:val="22"/>
          <w:lang w:val="en-GB"/>
        </w:rPr>
        <w:t>http://www.ure.gov.pl/ure/informacje/st_prezesa_2.html</w:t>
        <w:tab/>
        <w:t>19.07.2000</w:t>
      </w:r>
    </w:p>
    <w:p>
      <w:pPr>
        <w:pStyle w:val="Clntinfo"/>
        <w:spacing w:before="40" w:after="40"/>
        <w:rPr/>
      </w:pPr>
      <w:r>
        <w:rPr/>
        <w:t>***END</w:t>
      </w:r>
    </w:p>
    <w:sectPr>
      <w:type w:val="nextPage"/>
      <w:pgSz w:w="11906" w:h="16838"/>
      <w:pgMar w:left="1701" w:right="1701" w:gutter="0" w:header="0" w:top="1701"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55">
    <w:altName w:val="Monotype.com"/>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709"/>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40" w:after="40"/>
    </w:pPr>
    <w:rPr>
      <w:rFonts w:ascii="Times New Roman" w:hAnsi="Times New Roman" w:eastAsia="Times New Roman" w:cs="Times New Roman"/>
      <w:color w:val="auto"/>
      <w:sz w:val="22"/>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Bullet">
    <w:name w:val="Bullet"/>
    <w:basedOn w:val="Normal"/>
    <w:qFormat/>
    <w:pPr>
      <w:numPr>
        <w:ilvl w:val="0"/>
        <w:numId w:val="1"/>
      </w:numPr>
      <w:ind w:hanging="706" w:start="706" w:end="0"/>
    </w:pPr>
    <w:rPr/>
  </w:style>
  <w:style w:type="paragraph" w:styleId="Clntinfo">
    <w:name w:val="Clntinfo"/>
    <w:basedOn w:val="Normal"/>
    <w:qFormat/>
    <w:pPr/>
    <w:rPr>
      <w:rFonts w:ascii="Univers 55;Monotype.com" w:hAnsi="Univers 55;Monotype.com" w:cs="Univers 55;Monotype.com"/>
      <w:b/>
      <w:sz w:val="22"/>
    </w:rPr>
  </w:style>
  <w:style w:type="paragraph" w:styleId="Hangindent">
    <w:name w:val="Hangindent"/>
    <w:basedOn w:val="Normal"/>
    <w:qFormat/>
    <w:pPr>
      <w:ind w:hanging="720" w:start="720" w:end="0"/>
    </w:pPr>
    <w:rPr/>
  </w:style>
  <w:style w:type="paragraph" w:styleId="Dbleindent">
    <w:name w:val="Dbleindent"/>
    <w:basedOn w:val="Hangindent"/>
    <w:qFormat/>
    <w:pPr>
      <w:ind w:hanging="720" w:start="1440" w:end="0"/>
    </w:pPr>
    <w:rPr/>
  </w:style>
  <w:style w:type="paragraph" w:styleId="DiaBullet">
    <w:name w:val="DiaBullet"/>
    <w:basedOn w:val="Dbleindent"/>
    <w:qFormat/>
    <w:pPr>
      <w:numPr>
        <w:ilvl w:val="0"/>
        <w:numId w:val="2"/>
      </w:numPr>
    </w:pPr>
    <w:rPr/>
  </w:style>
  <w:style w:type="paragraph" w:styleId="WfxTime">
    <w:name w:val="WfxTime"/>
    <w:basedOn w:val="Normal"/>
    <w:qFormat/>
    <w:pPr/>
    <w:rPr/>
  </w:style>
  <w:style w:type="paragraph" w:styleId="WfxDate">
    <w:name w:val="WfxDate"/>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DefaultText">
    <w:name w:val="Default Text"/>
    <w:basedOn w:val="Normal"/>
    <w:qFormat/>
    <w:pPr>
      <w:spacing w:before="0" w:after="0"/>
    </w:pPr>
    <w:rPr>
      <w:sz w:val="24"/>
      <w:lang w:val="en-US"/>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msi.dot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2000-07-24T05:59:00Z</dcterms:created>
  <dc:creator>MSI TC</dc:creator>
  <dc:description/>
  <dc:language>en-CA</dc:language>
  <cp:lastModifiedBy>PDAVIES</cp:lastModifiedBy>
  <cp:lastPrinted>2000-07-21T23:06:00Z</cp:lastPrinted>
  <dcterms:modified xsi:type="dcterms:W3CDTF">2000-07-24T05:59:00Z</dcterms:modified>
  <cp:revision>2</cp:revision>
  <dc:subject/>
  <dc:title>enr152po</dc:title>
</cp:coreProperties>
</file>