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drawing>
          <wp:inline distT="0" distB="0" distL="0" distR="0">
            <wp:extent cx="1074420" cy="1139825"/>
            <wp:effectExtent l="0" t="0" r="0" b="0"/>
            <wp:docPr id="1" name="GrnHnv"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nHnv" descr="" title=""/>
                    <pic:cNvPicPr>
                      <a:picLocks noChangeAspect="1" noChangeArrowheads="1"/>
                    </pic:cNvPicPr>
                  </pic:nvPicPr>
                  <pic:blipFill>
                    <a:blip r:embed="rId2"/>
                    <a:srcRect l="-19" t="-18" r="-19" b="-18"/>
                    <a:stretch>
                      <a:fillRect/>
                    </a:stretch>
                  </pic:blipFill>
                  <pic:spPr bwMode="auto">
                    <a:xfrm>
                      <a:off x="0" y="0"/>
                      <a:ext cx="1074420" cy="1139825"/>
                    </a:xfrm>
                    <a:prstGeom prst="rect">
                      <a:avLst/>
                    </a:prstGeom>
                    <a:noFill/>
                  </pic:spPr>
                </pic:pic>
              </a:graphicData>
            </a:graphic>
          </wp:inline>
        </w:drawing>
      </w:r>
    </w:p>
    <w:p>
      <w:pPr>
        <w:pStyle w:val="Heading2"/>
        <w:ind w:hanging="0" w:start="0"/>
        <w:rPr/>
      </w:pPr>
      <w:r>
        <w:rPr/>
        <w:t>1600 W. Vandament</w:t>
      </w:r>
    </w:p>
    <w:p>
      <w:pPr>
        <w:pStyle w:val="Heading5"/>
        <w:ind w:hanging="0" w:start="0"/>
        <w:rPr/>
      </w:pPr>
      <w:r>
        <w:rPr/>
        <w:t>Yukon, OK 73099</w:t>
      </w:r>
    </w:p>
    <w:p>
      <w:pPr>
        <w:pStyle w:val="Normal"/>
        <w:tabs>
          <w:tab w:val="clear" w:pos="720"/>
          <w:tab w:val="left" w:pos="3600" w:leader="none"/>
        </w:tabs>
        <w:rPr>
          <w:rFonts w:ascii="Arial" w:hAnsi="Arial" w:cs="Arial"/>
          <w:b/>
          <w:sz w:val="20"/>
          <w:vertAlign w:val="subscript"/>
        </w:rPr>
      </w:pPr>
      <w:r>
        <w:rPr>
          <w:rFonts w:cs="Arial" w:ascii="Arial" w:hAnsi="Arial"/>
          <w:b/>
          <w:sz w:val="20"/>
          <w:vertAlign w:val="subscript"/>
        </w:rPr>
        <w:t>Telephone (405) 672-3400</w:t>
      </w:r>
    </w:p>
    <w:p>
      <w:pPr>
        <w:pStyle w:val="Normal"/>
        <w:rPr>
          <w:rFonts w:ascii="Arial" w:hAnsi="Arial" w:eastAsia="Arial" w:cs="Arial"/>
          <w:b/>
          <w:sz w:val="20"/>
          <w:vertAlign w:val="subscript"/>
        </w:rPr>
      </w:pPr>
      <w:r>
        <w:rPr>
          <w:rFonts w:eastAsia="Arial" w:cs="Arial" w:ascii="Arial" w:hAnsi="Arial"/>
          <w:b/>
          <w:sz w:val="20"/>
          <w:vertAlign w:val="subscript"/>
        </w:rPr>
        <w:t xml:space="preserve">    </w:t>
      </w:r>
    </w:p>
    <w:p>
      <w:pPr>
        <w:pStyle w:val="Normal"/>
        <w:rPr>
          <w:rFonts w:ascii="Arial" w:hAnsi="Arial" w:cs="Arial"/>
          <w:b/>
          <w:sz w:val="20"/>
          <w:vertAlign w:val="subscript"/>
        </w:rPr>
      </w:pPr>
      <w:r>
        <w:rPr>
          <w:rFonts w:cs="Arial" w:ascii="Arial" w:hAnsi="Arial"/>
          <w:b/>
          <w:sz w:val="20"/>
          <w:vertAlign w:val="subscript"/>
        </w:rPr>
      </w:r>
    </w:p>
    <w:p>
      <w:pPr>
        <w:pStyle w:val="Header"/>
        <w:tabs>
          <w:tab w:val="clear" w:pos="4320"/>
          <w:tab w:val="clear" w:pos="8640"/>
          <w:tab w:val="left" w:pos="-720" w:leader="none"/>
          <w:tab w:val="left" w:pos="360" w:leader="none"/>
        </w:tabs>
        <w:spacing w:lineRule="atLeast" w:line="200"/>
        <w:rPr>
          <w:rFonts w:ascii="Tms Rmn;Times New Roman" w:hAnsi="Tms Rmn;Times New Roman" w:cs="Tms Rmn;Times New Roman"/>
          <w:b/>
          <w:sz w:val="20"/>
          <w:vertAlign w:val="subscript"/>
        </w:rPr>
      </w:pPr>
      <w:r>
        <w:rPr>
          <w:rFonts w:cs="Tms Rmn;Times New Roman" w:ascii="Tms Rmn;Times New Roman" w:hAnsi="Tms Rmn;Times New Roman"/>
          <w:b/>
          <w:sz w:val="20"/>
          <w:vertAlign w:val="subscript"/>
        </w:rPr>
      </w:r>
    </w:p>
    <w:p>
      <w:pPr>
        <w:pStyle w:val="Header"/>
        <w:tabs>
          <w:tab w:val="clear" w:pos="4320"/>
          <w:tab w:val="clear" w:pos="8640"/>
          <w:tab w:val="left" w:pos="-720" w:leader="none"/>
          <w:tab w:val="left" w:pos="360" w:leader="none"/>
        </w:tabs>
        <w:spacing w:lineRule="atLeast" w:line="200"/>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360" w:leader="none"/>
        </w:tabs>
        <w:spacing w:lineRule="atLeast" w:line="200"/>
        <w:rPr>
          <w:rFonts w:ascii="Tms Rmn;Times New Roman" w:hAnsi="Tms Rmn;Times New Roman" w:cs="Tms Rmn;Times New Roman"/>
        </w:rPr>
      </w:pPr>
      <w:r>
        <w:rPr>
          <w:rFonts w:cs="Tms Rmn;Times New Roman" w:ascii="Tms Rmn;Times New Roman" w:hAnsi="Tms Rmn;Times New Roman"/>
        </w:rPr>
        <w:t>December 13, 2000</w:t>
      </w:r>
    </w:p>
    <w:p>
      <w:pPr>
        <w:pStyle w:val="Header"/>
        <w:tabs>
          <w:tab w:val="clear" w:pos="4320"/>
          <w:tab w:val="clear" w:pos="8640"/>
          <w:tab w:val="left" w:pos="-720" w:leader="none"/>
          <w:tab w:val="left" w:pos="360" w:leader="none"/>
        </w:tabs>
        <w:spacing w:lineRule="atLeast" w:line="200"/>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t>Crestone Gathering Services, L.L.C.</w:t>
      </w:r>
    </w:p>
    <w:p>
      <w:pPr>
        <w:pStyle w:val="Header"/>
        <w:tabs>
          <w:tab w:val="clear" w:pos="4320"/>
          <w:tab w:val="clear" w:pos="8640"/>
          <w:tab w:val="left" w:pos="-720" w:leader="none"/>
          <w:tab w:val="left" w:pos="360" w:leader="none"/>
        </w:tabs>
        <w:spacing w:lineRule="atLeast" w:line="200"/>
        <w:jc w:val="both"/>
        <w:rPr/>
      </w:pPr>
      <w:r>
        <w:rPr>
          <w:rFonts w:cs="Tms Rmn;Times New Roman" w:ascii="Tms Rmn;Times New Roman" w:hAnsi="Tms Rmn;Times New Roman"/>
        </w:rPr>
        <w:t>1200 17</w:t>
      </w:r>
      <w:r>
        <w:rPr>
          <w:rFonts w:cs="Tms Rmn;Times New Roman" w:ascii="Tms Rmn;Times New Roman" w:hAnsi="Tms Rmn;Times New Roman"/>
          <w:vertAlign w:val="superscript"/>
        </w:rPr>
        <w:t>th</w:t>
      </w:r>
      <w:r>
        <w:rPr>
          <w:rFonts w:cs="Tms Rmn;Times New Roman" w:ascii="Tms Rmn;Times New Roman" w:hAnsi="Tms Rmn;Times New Roman"/>
        </w:rPr>
        <w:t xml:space="preserve"> Street, Suite 2750</w:t>
      </w: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t>Denver, Co 80202</w:t>
      </w: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t>Re: Enron Midstream Services, L.L.C. (Crestone) / Hanover Compressor Company,  Compression and Facilities Management Agreement, Dated August 27, 1999.</w:t>
      </w: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r>
    </w:p>
    <w:p>
      <w:pPr>
        <w:sectPr>
          <w:type w:val="nextPage"/>
          <w:pgSz w:w="12240" w:h="15840"/>
          <w:pgMar w:left="1440" w:right="1440" w:gutter="0" w:header="0" w:top="360" w:footer="0" w:bottom="302"/>
          <w:pgNumType w:start="1" w:fmt="decimal"/>
          <w:formProt w:val="false"/>
          <w:textDirection w:val="lrTb"/>
          <w:docGrid w:type="default" w:linePitch="360" w:charSpace="0"/>
        </w:sectPr>
      </w:pP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t>Dear Brian:</w:t>
      </w: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t>Thank you for your proposal, dated December 5, 2000. To achieve a mutually beneficial “compressor agreement” we have a number of issues to address. Hopefully, this letter will remove doubt as to Hanover’s position and what actions we immediately propose to implement.</w:t>
      </w: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360" w:leader="none"/>
        </w:tabs>
        <w:spacing w:lineRule="atLeast" w:line="200"/>
        <w:jc w:val="both"/>
        <w:rPr/>
      </w:pPr>
      <w:r>
        <w:rPr>
          <w:rFonts w:cs="Tms Rmn;Times New Roman" w:ascii="Tms Rmn;Times New Roman" w:hAnsi="Tms Rmn;Times New Roman"/>
        </w:rPr>
        <w:t>As in your proposal, I will discuss on-going issues and propose solutions to these issues, either through an asset purchase offer or modified compressor agreement. Let me first address some points in your December 5</w:t>
      </w:r>
      <w:r>
        <w:rPr>
          <w:rFonts w:cs="Tms Rmn;Times New Roman" w:ascii="Tms Rmn;Times New Roman" w:hAnsi="Tms Rmn;Times New Roman"/>
          <w:vertAlign w:val="superscript"/>
        </w:rPr>
        <w:t>th</w:t>
      </w:r>
      <w:r>
        <w:rPr>
          <w:rFonts w:cs="Tms Rmn;Times New Roman" w:ascii="Tms Rmn;Times New Roman" w:hAnsi="Tms Rmn;Times New Roman"/>
        </w:rPr>
        <w:t xml:space="preserve"> letter. </w:t>
      </w:r>
    </w:p>
    <w:p>
      <w:pPr>
        <w:pStyle w:val="Header"/>
        <w:tabs>
          <w:tab w:val="clear" w:pos="4320"/>
          <w:tab w:val="clear" w:pos="8640"/>
          <w:tab w:val="left" w:pos="-720" w:leader="none"/>
          <w:tab w:val="left" w:pos="36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360" w:leader="none"/>
        </w:tabs>
        <w:spacing w:lineRule="atLeast" w:line="200"/>
        <w:jc w:val="both"/>
        <w:rPr/>
      </w:pPr>
      <w:r>
        <w:rPr>
          <w:rFonts w:cs="Times New Roman" w:ascii="Times New Roman" w:hAnsi="Times New Roman"/>
        </w:rPr>
        <w:t xml:space="preserve">Hanover based our economic model on forecasts of gas throughput from CGS projections that (in almost every case) have not materialized in the time frame anticipated. This has kept our Powder River Basin compression assets below standard industry rates and far below the rates needed for a positive ROI. The existing fee structure along with CGS’s on-going reluctance to pay legitimate invoices has put a great deal of pressure and attention on the Powder River project, from both an operational and financial/management standpoint.  Therefore, </w:t>
      </w:r>
      <w:r>
        <w:rPr>
          <w:rFonts w:cs="Tms Rmn;Times New Roman" w:ascii="Tms Rmn;Times New Roman" w:hAnsi="Tms Rmn;Times New Roman"/>
        </w:rPr>
        <w:t>H</w:t>
      </w:r>
      <w:r>
        <w:rPr>
          <w:rFonts w:cs="Times New Roman" w:ascii="Times New Roman" w:hAnsi="Times New Roman"/>
        </w:rPr>
        <w:t>anover would like to renegotiate the contract as it pertains to the fee structure.</w:t>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t>We appreciate the time CGS put into preparing the spreadsheet that was enclosed with your last letter. This spreadsheet clearly shows the following:</w:t>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numPr>
          <w:ilvl w:val="0"/>
          <w:numId w:val="2"/>
        </w:numP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u w:val="single"/>
        </w:rPr>
        <w:t>Overdue Invoices</w:t>
      </w:r>
      <w:r>
        <w:rPr>
          <w:rFonts w:cs="Times New Roman" w:ascii="Times New Roman" w:hAnsi="Times New Roman"/>
        </w:rPr>
        <w:t xml:space="preserve">.  Crestone has disregarded their obligation to pay Hanover’s invoices in a timely manner, which constitutes a breach of contract terms in </w:t>
      </w:r>
      <w:r>
        <w:rPr>
          <w:rFonts w:cs="Times New Roman" w:ascii="Times New Roman" w:hAnsi="Times New Roman"/>
          <w:u w:val="single"/>
        </w:rPr>
        <w:t>Section 5.1</w:t>
      </w:r>
      <w:r>
        <w:rPr>
          <w:rFonts w:cs="Times New Roman" w:ascii="Times New Roman" w:hAnsi="Times New Roman"/>
        </w:rPr>
        <w:t xml:space="preserve"> stating “invoices will be paid within 15 days from time of receipt.”  Exhibit A1 reflects past due, undisputed invoices, dating back to December 1999 and also discloses invoices held due to inadequate backup (A 2). Many of these invoices are accepted to be legitimate charges for services outside the contractual obligation of Hanover that CGS requested Hanover to perform, and to date remain outstanding. Some of these invoices are aged over 6 months and Hanover is just now being advised that there is not sufficient back up for payment. (Your letter references exhibits “A”, “A1”, “A2” and “B”. The only exhibits I received are “A1” and “A2”)</w:t>
      </w:r>
    </w:p>
    <w:p>
      <w:pPr>
        <w:pStyle w:val="Header"/>
        <w:tabs>
          <w:tab w:val="clear" w:pos="4320"/>
          <w:tab w:val="clear" w:pos="8640"/>
          <w:tab w:val="left" w:pos="-720" w:leader="none"/>
          <w:tab w:val="left" w:pos="360" w:leader="none"/>
        </w:tabs>
        <w:spacing w:lineRule="atLeast" w:line="200"/>
        <w:ind w:start="360" w:end="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ind w:start="360" w:end="0"/>
        <w:jc w:val="both"/>
        <w:rPr>
          <w:rFonts w:ascii="Times New Roman" w:hAnsi="Times New Roman" w:cs="Times New Roman"/>
        </w:rPr>
      </w:pPr>
      <w:r>
        <w:rPr>
          <w:rFonts w:cs="Times New Roman" w:ascii="Times New Roman" w:hAnsi="Times New Roman"/>
        </w:rPr>
      </w:r>
    </w:p>
    <w:p>
      <w:pPr>
        <w:pStyle w:val="Header"/>
        <w:numPr>
          <w:ilvl w:val="0"/>
          <w:numId w:val="2"/>
        </w:numP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u w:val="single"/>
        </w:rPr>
        <w:t>Interest Payment on Capital</w:t>
      </w:r>
      <w:r>
        <w:rPr>
          <w:rFonts w:cs="Times New Roman" w:ascii="Times New Roman" w:hAnsi="Times New Roman"/>
        </w:rPr>
        <w:t xml:space="preserve">.  In June 2000, Hanover drafted a letter outlining a procedure on how CGS was to order and then be obligated to pay for, new rental compressors. We have built over 25 units (again based on your projected needs and timing) that in some cases have sat for idle for 12 months. These units were built and were ready to deliver on the dates CGS specified.  In our last meeting, you clearly stated that an interest payment to Hanover would be fair. Hanover sent two spreadsheets in September this year outlining our position of this interest amount compared against the rental invoices charged to these units. In the three months since the spreadsheets were submitted, we have received no communication from Crestone on this subject. This amount represents substantial overdue revenue to Hanover, which should be paid immediately. </w:t>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ind w:start="360" w:end="0"/>
        <w:jc w:val="both"/>
        <w:rPr>
          <w:rFonts w:ascii="Times New Roman" w:hAnsi="Times New Roman" w:cs="Times New Roman"/>
        </w:rPr>
      </w:pPr>
      <w:r>
        <w:rPr>
          <w:rFonts w:cs="Times New Roman" w:ascii="Times New Roman" w:hAnsi="Times New Roman"/>
        </w:rPr>
      </w:r>
    </w:p>
    <w:p>
      <w:pPr>
        <w:pStyle w:val="Header"/>
        <w:numPr>
          <w:ilvl w:val="0"/>
          <w:numId w:val="2"/>
        </w:numP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u w:val="single"/>
        </w:rPr>
        <w:t>Operational Issues</w:t>
      </w:r>
      <w:r>
        <w:rPr>
          <w:rFonts w:cs="Times New Roman" w:ascii="Times New Roman" w:hAnsi="Times New Roman"/>
        </w:rPr>
        <w:t>. Our operations group in Wyoming has performed above and beyond the contractual terms of their obligations over the last fourteen-(14) months. Even though Hanover has not been paid on undisputed invoices to CGS, dating back into 1999, the operations group has never questioned performing their duties as spelled out in the contract, or, performing other duties as directed by CGS personnel from time to time.  Many jobs have involved hiring 3</w:t>
      </w:r>
      <w:r>
        <w:rPr>
          <w:rFonts w:cs="Times New Roman" w:ascii="Times New Roman" w:hAnsi="Times New Roman"/>
          <w:vertAlign w:val="superscript"/>
        </w:rPr>
        <w:t>rd</w:t>
      </w:r>
      <w:r>
        <w:rPr>
          <w:rFonts w:cs="Times New Roman" w:ascii="Times New Roman" w:hAnsi="Times New Roman"/>
        </w:rPr>
        <w:t xml:space="preserve"> party contractors and then paying for these services. Some of these items are clearly the responsibility of CGS (in the Compression Agreement) such as building compressor pads, de-bugging outside contractor’s problems and other measurement issues.  Additional jobs might be in a “gray” area of the contract, however this did not stop or delay in any way our operations group from proceeding with this work. Hanover’s objective has been to get the equipment online as fast as possible and to keep it running, which has obviously reflected positively in the marketplace for CGS. As a result of these actions that benefited CGS, there are invoices totaling hundreds of thousands of dollars currently overdue to Hanover (your exhibit A 2).</w:t>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0" w:leader="none"/>
        </w:tabs>
        <w:spacing w:lineRule="atLeast" w:line="200"/>
        <w:jc w:val="both"/>
        <w:rPr>
          <w:rFonts w:ascii="Times New Roman" w:hAnsi="Times New Roman" w:cs="Times New Roman"/>
        </w:rPr>
      </w:pPr>
      <w:r>
        <w:rPr>
          <w:rFonts w:cs="Times New Roman" w:ascii="Times New Roman" w:hAnsi="Times New Roman"/>
        </w:rPr>
        <w:t>The following are Hanover’s three proposal options to remedy the ongoing issues:</w:t>
      </w:r>
    </w:p>
    <w:p>
      <w:pPr>
        <w:pStyle w:val="Header"/>
        <w:tabs>
          <w:tab w:val="clear" w:pos="4320"/>
          <w:tab w:val="clear" w:pos="8640"/>
          <w:tab w:val="left" w:pos="-720" w:leader="none"/>
          <w:tab w:val="left" w:pos="0" w:leader="none"/>
        </w:tabs>
        <w:spacing w:lineRule="atLeast" w:line="200"/>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360" w:leader="none"/>
        </w:tabs>
        <w:spacing w:lineRule="atLeast" w:line="200"/>
        <w:ind w:start="360" w:end="0"/>
        <w:jc w:val="both"/>
        <w:rPr>
          <w:rFonts w:ascii="Times New Roman" w:hAnsi="Times New Roman" w:cs="Times New Roman"/>
        </w:rPr>
      </w:pPr>
      <w:r>
        <w:rPr>
          <w:rFonts w:cs="Times New Roman" w:ascii="Times New Roman" w:hAnsi="Times New Roman"/>
        </w:rPr>
      </w:r>
    </w:p>
    <w:p>
      <w:pPr>
        <w:pStyle w:val="BodyText"/>
        <w:jc w:val="both"/>
        <w:rPr/>
      </w:pPr>
      <w:r>
        <w:rPr>
          <w:rFonts w:cs="Times New Roman" w:ascii="Times New Roman" w:hAnsi="Times New Roman"/>
          <w:sz w:val="24"/>
          <w:u w:val="single"/>
        </w:rPr>
        <w:t>Purchase of Hanover Equipment</w:t>
      </w:r>
      <w:r>
        <w:rPr>
          <w:rFonts w:cs="Times New Roman" w:ascii="Times New Roman" w:hAnsi="Times New Roman"/>
          <w:sz w:val="24"/>
        </w:rPr>
        <w:t xml:space="preserve">: Although Hanover would prefer to continue to rent the equipment and initiate the proposed rate modifications defined below, Hanover extends a purchase offer of eighteen million, one hundred and eighty thousand dollars ($18,180,000.00) for the purchase of the twenty-seven (27) H-24 screws and the thirteen (13) reciprocating compressors (including unit #74678 just shipped to the South Kitty Booster #2). The equipment is offered for sale on an “AS IS WHERE IS” bases with all of the manufacture’s warranties included in this price. Crestone would remain liable for all-outstanding rental invoices issued for rental services after the startup of the rental packages and any and all outstanding service invoices issued to date. This offer is contingent upon Hanover and Crestone entering into an operations and maintenance agreement, whereby Hanover will be the exclusive contractor to provide all compressor packages (sale and rental) to CGS as well as all operations, maintenance and related compressor services for the compressors, at a negotiated price, for a twenty four (24) month minimum term, commencing January 1, 2001. </w:t>
      </w:r>
    </w:p>
    <w:p>
      <w:pPr>
        <w:pStyle w:val="BodyText"/>
        <w:jc w:val="both"/>
        <w:rPr>
          <w:rFonts w:ascii="Times New Roman" w:hAnsi="Times New Roman" w:cs="Times New Roman"/>
          <w:sz w:val="24"/>
        </w:rPr>
      </w:pPr>
      <w:r>
        <w:rPr>
          <w:rFonts w:cs="Times New Roman" w:ascii="Times New Roman" w:hAnsi="Times New Roman"/>
          <w:sz w:val="24"/>
        </w:rPr>
      </w:r>
    </w:p>
    <w:p>
      <w:pPr>
        <w:pStyle w:val="BodyText"/>
        <w:jc w:val="both"/>
        <w:rPr>
          <w:rFonts w:ascii="Times New Roman" w:hAnsi="Times New Roman" w:cs="Times New Roman"/>
          <w:sz w:val="24"/>
        </w:rPr>
      </w:pPr>
      <w:r>
        <w:rPr>
          <w:rFonts w:cs="Times New Roman" w:ascii="Times New Roman" w:hAnsi="Times New Roman"/>
          <w:sz w:val="24"/>
        </w:rPr>
        <w:t xml:space="preserve">Additionally, this offer is subject to Crestone remitting the $18,180,000.00 for the purchase of the equipment and payment of all outstanding rental and service invoices by December 29, 2000. Hanover is under no obligation to continue this purchase option after December 29, 2000, should Crestone fail to exercise this option.  </w:t>
      </w:r>
    </w:p>
    <w:p>
      <w:pPr>
        <w:pStyle w:val="Header"/>
        <w:tabs>
          <w:tab w:val="clear" w:pos="4320"/>
          <w:tab w:val="clear" w:pos="8640"/>
          <w:tab w:val="left" w:pos="-720" w:leader="none"/>
          <w:tab w:val="left" w:pos="0" w:leader="none"/>
        </w:tabs>
        <w:spacing w:lineRule="atLeast" w:line="200"/>
        <w:ind w:hanging="90" w:end="0"/>
        <w:jc w:val="both"/>
        <w:rPr>
          <w:rFonts w:ascii="Times New Roman" w:hAnsi="Times New Roman" w:cs="Times New Roman"/>
          <w:sz w:val="24"/>
        </w:rPr>
      </w:pPr>
      <w:r>
        <w:rPr>
          <w:rFonts w:cs="Times New Roman" w:ascii="Times New Roman" w:hAnsi="Times New Roman"/>
          <w:sz w:val="24"/>
        </w:rPr>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imes New Roman" w:ascii="Times New Roman" w:hAnsi="Times New Roman"/>
        </w:rPr>
        <w:t xml:space="preserve">  </w:t>
      </w:r>
      <w:r>
        <w:rPr>
          <w:rFonts w:cs="Times New Roman" w:ascii="Times New Roman" w:hAnsi="Times New Roman"/>
        </w:rPr>
        <w:t>-or-</w:t>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ind w:hanging="90" w:end="0"/>
        <w:jc w:val="both"/>
        <w:rPr/>
      </w:pPr>
      <w:r>
        <w:rPr>
          <w:rFonts w:eastAsia="Tms Rmn;Times New Roman" w:cs="Tms Rmn;Times New Roman" w:ascii="Tms Rmn;Times New Roman" w:hAnsi="Tms Rmn;Times New Roman"/>
          <w:u w:val="single"/>
        </w:rPr>
        <w:t xml:space="preserve"> </w:t>
      </w:r>
      <w:r>
        <w:rPr>
          <w:rFonts w:cs="Tms Rmn;Times New Roman" w:ascii="Tms Rmn;Times New Roman" w:hAnsi="Tms Rmn;Times New Roman"/>
          <w:u w:val="single"/>
        </w:rPr>
        <w:t>Proposed Modification of Existing Agreement (proposed rate change).</w:t>
      </w:r>
      <w:r>
        <w:rPr>
          <w:rFonts w:cs="Tms Rmn;Times New Roman" w:ascii="Tms Rmn;Times New Roman" w:hAnsi="Tms Rmn;Times New Roman"/>
        </w:rPr>
        <w:t xml:space="preserve">  In addition to immediate payment of all due invoices, and to offset the lack of revenue not generated by the gas volumes anticipated by CGS and to recoup some compensation for the invoices that are past due from Crestone, Hanover proposes to implement the following pricing structure modification, applying to the minimum percentages to be invoiced, on a go forward basis, beginning January 1, 2001. Compressors invoiced for 0-6 months will remain subject to the 50% minimum billing;  compressors that have been invoiced 7 to 12 months, a 75% minimum floor; and units that have been invoiced for 13 months or longer, there will be a 90% minimum billing of the maximum possible monthly invoicing. With this new pricing structure, CGS will have the continued commitment of the Hanover service and operations division, which is the largest service network in the industry. Hanover will continue to make any equipment changes as warranted by conditions or as directed by CGS.</w:t>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eastAsia="Tms Rmn;Times New Roman" w:cs="Tms Rmn;Times New Roman" w:ascii="Tms Rmn;Times New Roman" w:hAnsi="Tms Rmn;Times New Roman"/>
        </w:rPr>
        <w:t xml:space="preserve"> </w:t>
      </w:r>
      <w:r>
        <w:rPr>
          <w:rFonts w:cs="Tms Rmn;Times New Roman" w:ascii="Tms Rmn;Times New Roman" w:hAnsi="Tms Rmn;Times New Roman"/>
        </w:rPr>
        <w:t>-or-</w:t>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ind w:hanging="90" w:end="0"/>
        <w:jc w:val="both"/>
        <w:rPr/>
      </w:pPr>
      <w:r>
        <w:rPr>
          <w:rFonts w:eastAsia="Tms Rmn;Times New Roman" w:cs="Tms Rmn;Times New Roman" w:ascii="Tms Rmn;Times New Roman" w:hAnsi="Tms Rmn;Times New Roman"/>
          <w:u w:val="single"/>
        </w:rPr>
        <w:t xml:space="preserve"> </w:t>
      </w:r>
      <w:r>
        <w:rPr>
          <w:rFonts w:cs="Tms Rmn;Times New Roman" w:ascii="Tms Rmn;Times New Roman" w:hAnsi="Tms Rmn;Times New Roman"/>
          <w:u w:val="single"/>
        </w:rPr>
        <w:t>Proposed MCFD Rates Increase.</w:t>
      </w:r>
      <w:r>
        <w:rPr>
          <w:rFonts w:cs="Tms Rmn;Times New Roman" w:ascii="Tms Rmn;Times New Roman" w:hAnsi="Tms Rmn;Times New Roman"/>
        </w:rPr>
        <w:t xml:space="preserve"> In addition to the immediate payment of all due invoices and interest payments, Hanover proposes a two cent ($0.02) per MCFD across-the-board rate increase for all compressors leased to CGS. This rate will be effective January 1, 2001 for all current and future units in the Powder River basin. The throughput minimums would remain at 50%.</w:t>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ind w:hanging="90" w:end="0"/>
        <w:jc w:val="both"/>
        <w:rPr/>
      </w:pPr>
      <w:r>
        <w:rPr>
          <w:rFonts w:eastAsia="Tms Rmn;Times New Roman" w:cs="Tms Rmn;Times New Roman" w:ascii="Tms Rmn;Times New Roman" w:hAnsi="Tms Rmn;Times New Roman"/>
        </w:rPr>
        <w:t xml:space="preserve"> </w:t>
      </w:r>
      <w:r>
        <w:rPr>
          <w:rFonts w:cs="Tms Rmn;Times New Roman" w:ascii="Tms Rmn;Times New Roman" w:hAnsi="Tms Rmn;Times New Roman"/>
        </w:rPr>
        <w:t>Either of these last two options would allow original contract wording to remain in place, except for changes agreed to in the September 8</w:t>
      </w:r>
      <w:r>
        <w:rPr>
          <w:rFonts w:cs="Tms Rmn;Times New Roman" w:ascii="Tms Rmn;Times New Roman" w:hAnsi="Tms Rmn;Times New Roman"/>
          <w:vertAlign w:val="superscript"/>
        </w:rPr>
        <w:t>th</w:t>
      </w:r>
      <w:r>
        <w:rPr>
          <w:rFonts w:cs="Tms Rmn;Times New Roman" w:ascii="Tms Rmn;Times New Roman" w:hAnsi="Tms Rmn;Times New Roman"/>
        </w:rPr>
        <w:t xml:space="preserve"> meeting, and either the rate change or the minimum billing structure change.</w:t>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r>
        <w:br w:type="page"/>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imes New Roman" w:ascii="Times New Roman" w:hAnsi="Times New Roman"/>
        </w:rPr>
        <w:t xml:space="preserve">  </w:t>
      </w:r>
      <w:r>
        <w:rPr>
          <w:rFonts w:cs="Times New Roman" w:ascii="Times New Roman" w:hAnsi="Times New Roman"/>
        </w:rPr>
        <w:t>Hanover must take any necessary steps required to protect its interests and avoid any unnecessary financial adjustments, as a result of our inability to rectify this matter with Crestone by December 29, 2000. Therefore, resolution of this matter by December 29, 2000 is required to avoid any unnecessary legal proceeding filings. We regret to impose such a demand and trust that Crestone will work diligently with Hanover to avoid such actions from occurring.</w:t>
      </w:r>
    </w:p>
    <w:p>
      <w:pPr>
        <w:pStyle w:val="Header"/>
        <w:tabs>
          <w:tab w:val="clear" w:pos="4320"/>
          <w:tab w:val="clear" w:pos="8640"/>
          <w:tab w:val="left" w:pos="-720" w:leader="none"/>
          <w:tab w:val="left" w:pos="0" w:leader="none"/>
          <w:tab w:val="left" w:pos="27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 w:val="left" w:pos="270" w:leader="none"/>
        </w:tabs>
        <w:spacing w:lineRule="atLeast" w:line="200"/>
        <w:ind w:hanging="90" w:end="0"/>
        <w:jc w:val="both"/>
        <w:rPr>
          <w:rFonts w:ascii="Tms Rmn;Times New Roman" w:hAnsi="Tms Rmn;Times New Roman" w:cs="Tms Rmn;Times New Roman"/>
        </w:rPr>
      </w:pPr>
      <w:r>
        <w:rPr>
          <w:rFonts w:eastAsia="Tms Rmn;Times New Roman" w:cs="Tms Rmn;Times New Roman" w:ascii="Tms Rmn;Times New Roman" w:hAnsi="Tms Rmn;Times New Roman"/>
        </w:rPr>
        <w:t xml:space="preserve">  </w:t>
      </w:r>
      <w:r>
        <w:rPr>
          <w:rFonts w:cs="Tms Rmn;Times New Roman" w:ascii="Tms Rmn;Times New Roman" w:hAnsi="Tms Rmn;Times New Roman"/>
        </w:rPr>
        <w:t>In closing, this letter is a firm offer and has a commitment deadline of December 29, 2000. Hanover’s most significant issue with Crestone is lack of timely payment of invoices, as specified in the Compressor Agreement and the lack of effort demonstrated to the resolution of the disputed invoices. I propose a meeting as soon as possible to discuss a closure to these issues and the direction our relationship.  Hanover is committed to resolving these issues to the satisfaction of both parties and continuing a successful Powder River Operation.</w:t>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t>Regards,</w:t>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t>Alan d. LaVenue</w:t>
      </w:r>
    </w:p>
    <w:p>
      <w:pPr>
        <w:pStyle w:val="Header"/>
        <w:tabs>
          <w:tab w:val="clear" w:pos="4320"/>
          <w:tab w:val="clear" w:pos="8640"/>
          <w:tab w:val="left" w:pos="-720" w:leader="none"/>
          <w:tab w:val="left" w:pos="0" w:leader="none"/>
        </w:tabs>
        <w:spacing w:lineRule="atLeast" w:line="200"/>
        <w:ind w:hanging="90" w:end="0"/>
        <w:jc w:val="both"/>
        <w:rPr>
          <w:rFonts w:ascii="Tms Rmn;Times New Roman" w:hAnsi="Tms Rmn;Times New Roman" w:cs="Tms Rmn;Times New Roman"/>
        </w:rPr>
      </w:pPr>
      <w:r>
        <w:rPr>
          <w:rFonts w:cs="Tms Rmn;Times New Roman" w:ascii="Tms Rmn;Times New Roman" w:hAnsi="Tms Rmn;Times New Roman"/>
        </w:rPr>
        <w:t>VP Sales, NR</w:t>
      </w:r>
    </w:p>
    <w:sectPr>
      <w:type w:val="continuous"/>
      <w:pgSz w:w="12240" w:h="15840"/>
      <w:pgMar w:left="1440" w:right="1440" w:gutter="0" w:header="0" w:top="360" w:footer="0" w:bottom="30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Bookman Old Style">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Times New Roman" w:cs="Helvetica"/>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22"/>
    </w:rPr>
  </w:style>
  <w:style w:type="paragraph" w:styleId="Heading2">
    <w:name w:val="heading 2"/>
    <w:basedOn w:val="Normal"/>
    <w:next w:val="Normal"/>
    <w:qFormat/>
    <w:pPr>
      <w:keepNext w:val="true"/>
      <w:numPr>
        <w:ilvl w:val="1"/>
        <w:numId w:val="1"/>
      </w:numPr>
      <w:tabs>
        <w:tab w:val="clear" w:pos="720"/>
        <w:tab w:val="left" w:pos="3600" w:leader="none"/>
      </w:tabs>
      <w:outlineLvl w:val="1"/>
    </w:pPr>
    <w:rPr>
      <w:rFonts w:ascii="Arial" w:hAnsi="Arial" w:cs="Arial"/>
      <w:b/>
      <w:sz w:val="18"/>
      <w:vertAlign w:val="subscript"/>
    </w:rPr>
  </w:style>
  <w:style w:type="paragraph" w:styleId="Heading3">
    <w:name w:val="heading 3"/>
    <w:basedOn w:val="Normal"/>
    <w:next w:val="Normal"/>
    <w:qFormat/>
    <w:pPr>
      <w:keepNext w:val="true"/>
      <w:numPr>
        <w:ilvl w:val="2"/>
        <w:numId w:val="1"/>
      </w:numPr>
      <w:tabs>
        <w:tab w:val="clear" w:pos="720"/>
        <w:tab w:val="left" w:pos="2160" w:leader="none"/>
      </w:tabs>
      <w:ind w:hanging="720" w:start="720" w:end="0"/>
      <w:jc w:val="both"/>
      <w:outlineLvl w:val="2"/>
    </w:pPr>
    <w:rPr>
      <w:rFonts w:ascii="Times New Roman" w:hAnsi="Times New Roman" w:cs="Times New Roman"/>
      <w:b/>
      <w:sz w:val="22"/>
    </w:rPr>
  </w:style>
  <w:style w:type="paragraph" w:styleId="Heading4">
    <w:name w:val="heading 4"/>
    <w:basedOn w:val="Normal"/>
    <w:next w:val="Normal"/>
    <w:qFormat/>
    <w:pPr>
      <w:keepNext w:val="true"/>
      <w:numPr>
        <w:ilvl w:val="3"/>
        <w:numId w:val="1"/>
      </w:numPr>
      <w:outlineLvl w:val="3"/>
    </w:pPr>
    <w:rPr>
      <w:rFonts w:ascii="Bookman Old Style" w:hAnsi="Bookman Old Style" w:cs="Bookman Old Style"/>
      <w:b/>
    </w:rPr>
  </w:style>
  <w:style w:type="paragraph" w:styleId="Heading5">
    <w:name w:val="heading 5"/>
    <w:basedOn w:val="Normal"/>
    <w:next w:val="Normal"/>
    <w:qFormat/>
    <w:pPr>
      <w:keepNext w:val="true"/>
      <w:numPr>
        <w:ilvl w:val="4"/>
        <w:numId w:val="1"/>
      </w:numPr>
      <w:tabs>
        <w:tab w:val="clear" w:pos="720"/>
        <w:tab w:val="left" w:pos="3600" w:leader="none"/>
      </w:tabs>
      <w:outlineLvl w:val="4"/>
    </w:pPr>
    <w:rPr>
      <w:rFonts w:ascii="Arial" w:hAnsi="Arial" w:cs="Arial"/>
      <w:b/>
      <w:sz w:val="20"/>
      <w:vertAlign w:val="subscript"/>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2000-12-13T22:24:00Z</dcterms:created>
  <dc:creator>Hanover User</dc:creator>
  <dc:description/>
  <dc:language>en-CA</dc:language>
  <cp:lastModifiedBy>Hanover User</cp:lastModifiedBy>
  <cp:lastPrinted>2000-12-13T17:53:00Z</cp:lastPrinted>
  <dcterms:modified xsi:type="dcterms:W3CDTF">2000-12-13T22:24:00Z</dcterms:modified>
  <cp:revision>2</cp:revision>
  <dc:subject/>
  <dc:title> contract form</dc:title>
</cp:coreProperties>
</file>